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96533">
      <w:pPr>
        <w:kinsoku/>
        <w:wordWrap/>
        <w:overflowPunct w:val="0"/>
        <w:topLinePunct/>
        <w:autoSpaceDE/>
        <w:autoSpaceDN/>
        <w:spacing w:line="576" w:lineRule="exact"/>
        <w:jc w:val="both"/>
        <w:rPr>
          <w:rFonts w:hint="eastAsia" w:ascii="黑体" w:eastAsia="黑体"/>
          <w:kern w:val="2"/>
          <w:sz w:val="32"/>
          <w:szCs w:val="32"/>
        </w:rPr>
      </w:pPr>
      <w:r>
        <w:rPr>
          <w:rFonts w:hint="eastAsia" w:ascii="黑体" w:eastAsia="黑体"/>
          <w:kern w:val="2"/>
          <w:sz w:val="32"/>
          <w:szCs w:val="32"/>
        </w:rPr>
        <w:t>附件</w:t>
      </w:r>
    </w:p>
    <w:p w14:paraId="4B904100">
      <w:pPr>
        <w:kinsoku/>
        <w:wordWrap/>
        <w:overflowPunct w:val="0"/>
        <w:topLinePunct/>
        <w:autoSpaceDE/>
        <w:autoSpaceDN/>
        <w:spacing w:line="600" w:lineRule="exact"/>
        <w:jc w:val="center"/>
        <w:rPr>
          <w:rFonts w:hint="default" w:ascii="Times New Roman" w:hAnsi="Times New Roman" w:eastAsia="方正小标宋简体"/>
          <w:kern w:val="2"/>
          <w:sz w:val="44"/>
          <w:szCs w:val="44"/>
        </w:rPr>
      </w:pPr>
      <w:r>
        <w:rPr>
          <w:rFonts w:hint="eastAsia" w:ascii="方正小标宋简体" w:eastAsia="方正小标宋简体" w:cs="Times New Roman"/>
          <w:kern w:val="2"/>
          <w:sz w:val="44"/>
          <w:szCs w:val="44"/>
          <w:lang w:bidi="ar-SA"/>
        </w:rPr>
        <w:t xml:space="preserve">   </w:t>
      </w:r>
      <w:bookmarkStart w:id="0" w:name="_GoBack"/>
      <w:r>
        <w:rPr>
          <w:rFonts w:hint="eastAsia" w:ascii="方正小标宋简体" w:eastAsia="方正小标宋简体" w:cs="Times New Roman"/>
          <w:kern w:val="2"/>
          <w:sz w:val="44"/>
          <w:szCs w:val="44"/>
          <w:lang w:bidi="ar-SA"/>
        </w:rPr>
        <w:t>第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bidi="ar-SA"/>
        </w:rPr>
        <w:t>三</w:t>
      </w:r>
      <w:r>
        <w:rPr>
          <w:rFonts w:hint="eastAsia" w:ascii="方正小标宋简体" w:eastAsia="方正小标宋简体" w:cs="Times New Roman"/>
          <w:kern w:val="2"/>
          <w:sz w:val="44"/>
          <w:szCs w:val="44"/>
          <w:lang w:bidi="ar-SA"/>
        </w:rPr>
        <w:t>轮省级生态环境保护督察第</w:t>
      </w:r>
      <w:r>
        <w:rPr>
          <w:rFonts w:hint="eastAsia" w:eastAsia="方正小标宋简体" w:cs="Times New Roman"/>
          <w:kern w:val="2"/>
          <w:sz w:val="44"/>
          <w:szCs w:val="44"/>
          <w:lang w:val="en-US" w:eastAsia="zh-CN" w:bidi="ar-SA"/>
        </w:rPr>
        <w:t>一</w:t>
      </w:r>
      <w:r>
        <w:rPr>
          <w:rFonts w:hint="eastAsia" w:ascii="方正小标宋简体" w:eastAsia="方正小标宋简体" w:cs="Times New Roman"/>
          <w:kern w:val="2"/>
          <w:sz w:val="44"/>
          <w:szCs w:val="44"/>
          <w:lang w:bidi="ar-SA"/>
        </w:rPr>
        <w:t>项</w:t>
      </w:r>
    </w:p>
    <w:p w14:paraId="2BE112DA">
      <w:pPr>
        <w:kinsoku/>
        <w:wordWrap/>
        <w:overflowPunct w:val="0"/>
        <w:topLinePunct/>
        <w:autoSpaceDE/>
        <w:autoSpaceDN/>
        <w:spacing w:line="600" w:lineRule="exact"/>
        <w:jc w:val="center"/>
        <w:rPr>
          <w:rFonts w:hint="eastAsia" w:ascii="方正小标宋简体" w:eastAsia="方正小标宋简体" w:cs="Times New Roman"/>
          <w:kern w:val="2"/>
          <w:sz w:val="44"/>
          <w:szCs w:val="44"/>
          <w:lang w:bidi="ar-SA"/>
        </w:rPr>
      </w:pPr>
      <w:r>
        <w:rPr>
          <w:rFonts w:hint="eastAsia" w:ascii="方正小标宋简体" w:eastAsia="方正小标宋简体" w:cs="Times New Roman"/>
          <w:kern w:val="2"/>
          <w:sz w:val="44"/>
          <w:szCs w:val="44"/>
          <w:lang w:bidi="ar-SA"/>
        </w:rPr>
        <w:t>整改任务完成情况表</w:t>
      </w:r>
    </w:p>
    <w:bookmarkEnd w:id="0"/>
    <w:p w14:paraId="7964BE38">
      <w:pPr>
        <w:kinsoku/>
        <w:wordWrap/>
        <w:overflowPunct w:val="0"/>
        <w:topLinePunct/>
        <w:autoSpaceDE/>
        <w:autoSpaceDN/>
        <w:spacing w:line="200" w:lineRule="exact"/>
        <w:jc w:val="center"/>
        <w:rPr>
          <w:rFonts w:hint="default" w:eastAsia="方正小标宋简体"/>
          <w:sz w:val="44"/>
          <w:szCs w:val="44"/>
        </w:rPr>
      </w:pPr>
    </w:p>
    <w:tbl>
      <w:tblPr>
        <w:tblStyle w:val="2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022"/>
        <w:gridCol w:w="7418"/>
      </w:tblGrid>
      <w:tr w14:paraId="0F03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864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480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center"/>
              <w:rPr>
                <w:rFonts w:hint="eastAsia" w:ascii="黑体" w:eastAsia="黑体" w:cs="Arial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Arial"/>
                <w:sz w:val="28"/>
                <w:szCs w:val="28"/>
                <w:lang w:bidi="ar-SA"/>
              </w:rPr>
              <w:t>整改任务</w:t>
            </w:r>
          </w:p>
        </w:tc>
        <w:tc>
          <w:tcPr>
            <w:tcW w:w="7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B301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left"/>
              <w:rPr>
                <w:rFonts w:hint="default" w:eastAsia="仿宋_GB2312" w:cs="Arial"/>
                <w:sz w:val="28"/>
                <w:szCs w:val="28"/>
                <w:lang w:bidi="ar-SA"/>
              </w:rPr>
            </w:pPr>
            <w:r>
              <w:rPr>
                <w:rFonts w:hint="eastAsia" w:eastAsia="仿宋_GB2312" w:cs="Arial"/>
                <w:sz w:val="28"/>
                <w:szCs w:val="28"/>
                <w:lang w:bidi="ar-SA"/>
              </w:rPr>
              <w:t>落实习近平生态文明思想有差距，习近平总书记来川视察时强调，要在筑牢长江黄河上游生态屏障上持续发力，把生态文明建设这篇大文章做好，但广元市认识有待提升，行动还有差距，在生态文明建设上持续用力不够，高质量发展的绿色底色仍然不足。</w:t>
            </w:r>
          </w:p>
        </w:tc>
      </w:tr>
      <w:tr w14:paraId="79D6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71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0AE66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center"/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  <w:t>整改责任单位</w:t>
            </w:r>
          </w:p>
        </w:tc>
        <w:tc>
          <w:tcPr>
            <w:tcW w:w="7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A46E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left"/>
              <w:rPr>
                <w:rFonts w:hint="default" w:ascii="Times New Roman" w:hAnsi="Times New Roman" w:eastAsia="楷体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市级</w:t>
            </w:r>
            <w:r>
              <w:rPr>
                <w:rFonts w:hint="eastAsia"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有关部门</w:t>
            </w:r>
            <w:r>
              <w:rPr>
                <w:rFonts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（单位），</w:t>
            </w:r>
            <w:r>
              <w:rPr>
                <w:rFonts w:hint="eastAsia"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各</w:t>
            </w:r>
            <w:r>
              <w:rPr>
                <w:rFonts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县</w:t>
            </w:r>
            <w:r>
              <w:rPr>
                <w:rFonts w:hint="eastAsia"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（</w:t>
            </w:r>
            <w:r>
              <w:rPr>
                <w:rFonts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区</w:t>
            </w:r>
            <w:r>
              <w:rPr>
                <w:rFonts w:hint="eastAsia"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）党委和政府，</w:t>
            </w:r>
            <w:r>
              <w:rPr>
                <w:rFonts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广元经济技术开发区党工委和管委会</w:t>
            </w:r>
          </w:p>
        </w:tc>
      </w:tr>
      <w:tr w14:paraId="07B9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60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6B00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center"/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  <w:t>整改目标</w:t>
            </w:r>
          </w:p>
        </w:tc>
        <w:tc>
          <w:tcPr>
            <w:tcW w:w="7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683FD">
            <w:pPr>
              <w:pStyle w:val="4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 w:firstLine="0"/>
              <w:rPr>
                <w:rFonts w:hint="default" w:ascii="Times New Roman" w:hAnsi="Times New Roman" w:eastAsia="仿宋_GB2312" w:cs="Arial"/>
                <w:lang w:bidi="ar-SA"/>
              </w:rPr>
            </w:pPr>
            <w:r>
              <w:rPr>
                <w:rFonts w:hint="eastAsia" w:ascii="Times New Roman" w:hAnsi="Times New Roman" w:eastAsia="仿宋_GB2312" w:cs="Arial"/>
                <w:color w:val="auto"/>
                <w:kern w:val="2"/>
                <w:lang w:val="en-US" w:eastAsia="en-US" w:bidi="ar-SA"/>
              </w:rPr>
              <w:t>深入贯彻落实习近平生态文明思想，树立正确的发展观和政绩观，提升生态文明建设和生态环境保护水平。</w:t>
            </w:r>
          </w:p>
        </w:tc>
      </w:tr>
      <w:tr w14:paraId="3257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1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019F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center"/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  <w:t>整改措施</w:t>
            </w:r>
          </w:p>
        </w:tc>
        <w:tc>
          <w:tcPr>
            <w:tcW w:w="7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9DBE1">
            <w:pPr>
              <w:pStyle w:val="4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 w:firstLine="0"/>
              <w:rPr>
                <w:rFonts w:hint="eastAsia" w:ascii="仿宋_GB2312" w:eastAsia="仿宋_GB2312" w:cs="仿宋_GB2312"/>
                <w:color w:val="auto"/>
                <w:lang w:val="en-US" w:eastAsia="en-US" w:bidi="ar-SA"/>
              </w:rPr>
            </w:pPr>
            <w:r>
              <w:rPr>
                <w:rFonts w:hint="eastAsia" w:ascii="楷体_GB2312" w:eastAsia="楷体_GB2312" w:cs="楷体_GB2312"/>
                <w:color w:val="auto"/>
                <w:lang w:val="en-US" w:eastAsia="en-US" w:bidi="ar-SA"/>
              </w:rPr>
              <w:t>1.</w:t>
            </w:r>
            <w:r>
              <w:rPr>
                <w:rFonts w:hint="eastAsia" w:ascii="仿宋_GB2312" w:eastAsia="仿宋_GB2312" w:cs="仿宋_GB2312"/>
                <w:color w:val="auto"/>
                <w:lang w:val="en-US" w:eastAsia="en-US" w:bidi="ar-SA"/>
              </w:rPr>
              <w:t>各级党委、政府把学习贯彻落实习近平生态文明思想作为重要政治任务，通过党委（党组）理论学习中心组学习等形式深入学习，做到学懂弄通做实。完整、准确、全面贯彻新发展理念，推进碳达峰碳中和，严控高耗能、高排放、低水平项目盲目上马，统筹推进经济高质量发展和生态环境高水平保护。</w:t>
            </w:r>
          </w:p>
          <w:p w14:paraId="5C42954F">
            <w:pPr>
              <w:pStyle w:val="4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 w:firstLine="0"/>
              <w:rPr>
                <w:rFonts w:hint="eastAsia" w:ascii="仿宋_GB2312" w:eastAsia="仿宋_GB2312" w:cs="仿宋_GB2312"/>
                <w:color w:val="auto"/>
                <w:kern w:val="2"/>
                <w:lang w:val="en-US" w:eastAsia="en-US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kern w:val="2"/>
                <w:shd w:val="clear" w:color="auto" w:fill="FFFFFF"/>
                <w:vertAlign w:val="baseline"/>
                <w:lang w:val="en-US" w:eastAsia="en-US" w:bidi="ar-SA"/>
              </w:rPr>
              <w:t>2.</w:t>
            </w:r>
            <w:r>
              <w:rPr>
                <w:rFonts w:hint="eastAsia" w:ascii="仿宋_GB2312" w:eastAsia="仿宋_GB2312" w:cs="仿宋_GB2312"/>
                <w:color w:val="auto"/>
                <w:kern w:val="2"/>
                <w:lang w:val="en-US" w:eastAsia="en-US" w:bidi="ar-SA"/>
              </w:rPr>
              <w:t>坚持生态环境保护“党政同责、一岗双责”，</w:t>
            </w:r>
            <w:r>
              <w:rPr>
                <w:rFonts w:hint="eastAsia" w:ascii="仿宋_GB2312" w:eastAsia="仿宋_GB2312" w:cs="仿宋_GB2312"/>
                <w:color w:val="auto"/>
                <w:spacing w:val="0"/>
                <w:kern w:val="2"/>
                <w:shd w:val="clear" w:color="auto" w:fill="FFFFFF"/>
                <w:vertAlign w:val="baseline"/>
                <w:lang w:val="en-US" w:eastAsia="en-US" w:bidi="ar-SA"/>
              </w:rPr>
              <w:t>扎实</w:t>
            </w:r>
            <w:r>
              <w:rPr>
                <w:rFonts w:hint="eastAsia" w:ascii="仿宋_GB2312" w:eastAsia="仿宋_GB2312" w:cs="仿宋_GB2312"/>
                <w:color w:val="auto"/>
                <w:kern w:val="2"/>
                <w:lang w:val="en-US" w:eastAsia="en-US" w:bidi="ar-SA"/>
              </w:rPr>
              <w:t>开展生态环境保护党政同责工作目标绩效考评，切实强化底线约束。强化考核考评结果运用，将其作为党政领导干部考核评价、奖惩任免的重要依据。</w:t>
            </w:r>
          </w:p>
          <w:p w14:paraId="67658C5C">
            <w:pPr>
              <w:pStyle w:val="4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 w:firstLine="0"/>
              <w:rPr>
                <w:rFonts w:hint="eastAsia" w:ascii="仿宋_GB2312" w:eastAsia="仿宋_GB2312" w:cs="仿宋_GB2312"/>
                <w:color w:val="auto"/>
                <w:kern w:val="2"/>
                <w:lang w:val="en-US" w:eastAsia="en-US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kern w:val="2"/>
                <w:shd w:val="clear" w:color="auto" w:fill="FFFFFF"/>
                <w:vertAlign w:val="baseline"/>
                <w:lang w:val="en-US" w:eastAsia="en-US" w:bidi="ar-SA"/>
              </w:rPr>
              <w:t>3.强化</w:t>
            </w:r>
            <w:r>
              <w:rPr>
                <w:rFonts w:hint="eastAsia" w:ascii="仿宋_GB2312" w:eastAsia="仿宋_GB2312" w:cs="仿宋_GB2312"/>
                <w:color w:val="auto"/>
                <w:kern w:val="2"/>
                <w:lang w:val="en-US" w:eastAsia="en-US" w:bidi="ar-SA"/>
              </w:rPr>
              <w:t>市级生态环境保护专项督查，每年由市四</w:t>
            </w:r>
            <w:r>
              <w:rPr>
                <w:rFonts w:hint="eastAsia" w:ascii="仿宋_GB2312" w:eastAsia="仿宋_GB2312" w:cs="仿宋_GB2312"/>
                <w:color w:val="auto"/>
                <w:lang w:val="en-US" w:eastAsia="en-US" w:bidi="ar-SA"/>
              </w:rPr>
              <w:t>套</w:t>
            </w:r>
            <w:r>
              <w:rPr>
                <w:rFonts w:hint="eastAsia" w:ascii="仿宋_GB2312" w:eastAsia="仿宋_GB2312" w:cs="仿宋_GB2312"/>
                <w:color w:val="auto"/>
                <w:kern w:val="2"/>
                <w:lang w:val="en-US" w:eastAsia="en-US" w:bidi="ar-SA"/>
              </w:rPr>
              <w:t>班子分管联系领导带队，对各县（区）、市级有关部门（单位）生态环境保护工作开展专项督查，层层压紧压实属地责任和部门监管责任，推动解决生态环境突出问题。</w:t>
            </w:r>
          </w:p>
          <w:p w14:paraId="7993570F">
            <w:pPr>
              <w:pStyle w:val="4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 w:firstLine="0"/>
              <w:rPr>
                <w:rFonts w:hint="eastAsia" w:ascii="仿宋_GB2312" w:eastAsia="仿宋_GB2312" w:cs="仿宋_GB2312"/>
                <w:shd w:val="clear" w:color="auto" w:fill="FFFFFF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hd w:val="clear" w:color="auto" w:fill="FFFFFF"/>
                <w:lang w:val="en-US" w:eastAsia="en-US" w:bidi="ar-SA"/>
              </w:rPr>
              <w:t>4.扎实推进美丽广元建设，出台《美丽广元建设规划（2024—2035年）》，积极推进苍溪县美丽四川先行县建设，推动创建国家生态文明建设示范区、省级生态县。</w:t>
            </w:r>
          </w:p>
        </w:tc>
      </w:tr>
      <w:tr w14:paraId="27FB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26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3908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center"/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  <w:t>整改主要工作</w:t>
            </w:r>
          </w:p>
          <w:p w14:paraId="160D8C5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center"/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  <w:t>及成效</w:t>
            </w:r>
          </w:p>
        </w:tc>
        <w:tc>
          <w:tcPr>
            <w:tcW w:w="7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EF010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.坚持市委常委会会议、市政府常务会议每季度研究生态环境保护工作。2024年以来，市委理论学习中心组带头开展习近平生态文明思想专题学习，各级党委（党组）理论学习中心组开展习近平生态文明思想等专题学习800余次。已开展生态文明建设专题教学20余期、培训2千余人，翠云廊被纳入四川省首批学习践行党的创新理论现场教学点，切实推动习近平生态文明思想入脑入心，见行见效。坚决遏制高耗能、高排放、低水平项目盲目发展，深入开展专项整治行动，经排查，我市无高能耗高排放低水平项目。</w:t>
            </w:r>
          </w:p>
          <w:p w14:paraId="592D9A2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.已将生态环境保护工作纳入市委市政府综合目标绩效考评重要内容，制定2024年度县（区）和市级有关部门生态环境保护工作考评指标和细则并完成考核工作。考核结果已作为党政领导干部考核评价、奖惩任免的重要依据，目前未发现影响2024年市管领导班子和领导干部年度考核评优情形。</w:t>
            </w:r>
          </w:p>
          <w:p w14:paraId="02E9CB1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3.印发《广元市第三轮省级生态环境保护督察反馈问题市领导挂联责任清单》，市级有关部门联合组建工作组于2024年7月、2025年5月对各县区生态环境保护和生态环境问题整改工作进行了专项督查。</w:t>
            </w:r>
          </w:p>
          <w:p w14:paraId="188E119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/>
              <w:jc w:val="left"/>
              <w:rPr>
                <w:rFonts w:hint="default" w:eastAsia="楷体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4.出台了《美丽广元建设规划（2024—2035年）》，苍溪县已被列入美丽四川建设先行试点县，持续推动创建国家生态文明建设示范区、省级生态县。</w:t>
            </w:r>
          </w:p>
        </w:tc>
      </w:tr>
    </w:tbl>
    <w:p w14:paraId="44955F46"/>
    <w:p w14:paraId="6AB77EF0"/>
    <w:p w14:paraId="5BE23661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F2D8F"/>
    <w:rsid w:val="01EF2D8F"/>
    <w:rsid w:val="61F0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Times New Roman" w:hAnsi="Times New Roman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FFFFFF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424" w:lineRule="auto"/>
      <w:ind w:left="0" w:right="0" w:firstLine="400"/>
      <w:jc w:val="both"/>
      <w:textAlignment w:val="auto"/>
      <w:outlineLvl w:val="9"/>
    </w:pPr>
    <w:rPr>
      <w:rFonts w:ascii="MingLiU" w:hAnsi="MingLiU" w:eastAsia="MingLiU" w:cs="MingLiU"/>
      <w:snapToGrid/>
      <w:color w:val="auto"/>
      <w:spacing w:val="0"/>
      <w:w w:val="100"/>
      <w:kern w:val="2"/>
      <w:position w:val="0"/>
      <w:sz w:val="28"/>
      <w:szCs w:val="28"/>
      <w:u w:val="none" w:color="auto"/>
      <w:vertAlign w:val="baseline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1144</Words>
  <Characters>1182</Characters>
  <Lines>0</Lines>
  <Paragraphs>0</Paragraphs>
  <TotalTime>0</TotalTime>
  <ScaleCrop>false</ScaleCrop>
  <LinksUpToDate>false</LinksUpToDate>
  <CharactersWithSpaces>1185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2025-09-01T03:00:00Z</dcterms:created>
  <dc:creator>dell</dc:creator>
  <cp:lastModifiedBy>dell</cp:lastModifiedBy>
  <dcterms:modified xsi:type="dcterms:W3CDTF">2025-09-01T03:08:26Z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CBFDC9DC236B413F8B7071881DB90BAB_11</vt:lpwstr>
  </property>
  <property fmtid="{D5CDD505-2E9C-101B-9397-08002B2CF9AE}" pid="4" name="KSOTemplateDocerSaveRecord">
    <vt:lpwstr>eyJoZGlkIjoiYWFhOTRkYjNlZWJhMzExNTFkOWE0YzlmMGRjOWEyNmQifQ==</vt:lpwstr>
  </property>
</Properties>
</file>