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rPr>
        <w:t>附件</w:t>
      </w:r>
      <w:r>
        <w:rPr>
          <w:rFonts w:hint="eastAsia" w:ascii="黑体" w:hAnsi="黑体" w:eastAsia="黑体" w:cs="宋体"/>
          <w:color w:val="000000"/>
          <w:kern w:val="0"/>
          <w:sz w:val="32"/>
          <w:szCs w:val="32"/>
          <w:lang w:val="en-US" w:eastAsia="zh-CN"/>
        </w:rPr>
        <w:t>1</w:t>
      </w:r>
    </w:p>
    <w:p>
      <w:pPr>
        <w:spacing w:line="576" w:lineRule="exact"/>
        <w:jc w:val="center"/>
        <w:rPr>
          <w:rFonts w:hint="eastAsia"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lang w:eastAsia="zh-CN"/>
        </w:rPr>
        <w:t>旺苍县财政局</w:t>
      </w:r>
      <w:r>
        <w:rPr>
          <w:rFonts w:hint="eastAsia" w:ascii="方正小标宋简体" w:hAnsi="宋体" w:eastAsia="方正小标宋简体" w:cs="宋体"/>
          <w:color w:val="000000"/>
          <w:kern w:val="0"/>
          <w:sz w:val="40"/>
          <w:szCs w:val="40"/>
        </w:rPr>
        <w:t>涉企行政检查事项清单</w:t>
      </w:r>
    </w:p>
    <w:tbl>
      <w:tblPr>
        <w:tblStyle w:val="4"/>
        <w:tblW w:w="15256" w:type="dxa"/>
        <w:jc w:val="center"/>
        <w:tblLayout w:type="autofit"/>
        <w:tblCellMar>
          <w:top w:w="0" w:type="dxa"/>
          <w:left w:w="108" w:type="dxa"/>
          <w:bottom w:w="0" w:type="dxa"/>
          <w:right w:w="108" w:type="dxa"/>
        </w:tblCellMar>
      </w:tblPr>
      <w:tblGrid>
        <w:gridCol w:w="426"/>
        <w:gridCol w:w="811"/>
        <w:gridCol w:w="699"/>
        <w:gridCol w:w="757"/>
        <w:gridCol w:w="3443"/>
        <w:gridCol w:w="2089"/>
        <w:gridCol w:w="865"/>
        <w:gridCol w:w="510"/>
        <w:gridCol w:w="720"/>
        <w:gridCol w:w="691"/>
        <w:gridCol w:w="695"/>
        <w:gridCol w:w="448"/>
        <w:gridCol w:w="426"/>
        <w:gridCol w:w="426"/>
        <w:gridCol w:w="464"/>
        <w:gridCol w:w="426"/>
        <w:gridCol w:w="426"/>
        <w:gridCol w:w="478"/>
        <w:gridCol w:w="456"/>
      </w:tblGrid>
      <w:tr>
        <w:tblPrEx>
          <w:tblCellMar>
            <w:top w:w="0" w:type="dxa"/>
            <w:left w:w="108" w:type="dxa"/>
            <w:bottom w:w="0" w:type="dxa"/>
            <w:right w:w="108" w:type="dxa"/>
          </w:tblCellMar>
        </w:tblPrEx>
        <w:trPr>
          <w:trHeight w:val="378"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81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行政检查事项名称</w:t>
            </w:r>
          </w:p>
        </w:tc>
        <w:tc>
          <w:tcPr>
            <w:tcW w:w="69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检查对象</w:t>
            </w:r>
          </w:p>
        </w:tc>
        <w:tc>
          <w:tcPr>
            <w:tcW w:w="42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实施依据</w:t>
            </w:r>
          </w:p>
        </w:tc>
        <w:tc>
          <w:tcPr>
            <w:tcW w:w="208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检查内容及检查要求</w:t>
            </w:r>
          </w:p>
        </w:tc>
        <w:tc>
          <w:tcPr>
            <w:tcW w:w="8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检查方式（检查类型）</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主体</w:t>
            </w:r>
          </w:p>
        </w:tc>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承办机构</w:t>
            </w:r>
          </w:p>
        </w:tc>
        <w:tc>
          <w:tcPr>
            <w:tcW w:w="69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联合部门</w:t>
            </w:r>
          </w:p>
        </w:tc>
        <w:tc>
          <w:tcPr>
            <w:tcW w:w="69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时间</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安排</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（检查频次）</w:t>
            </w:r>
          </w:p>
        </w:tc>
        <w:tc>
          <w:tcPr>
            <w:tcW w:w="130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实施层级</w:t>
            </w:r>
          </w:p>
        </w:tc>
        <w:tc>
          <w:tcPr>
            <w:tcW w:w="131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第一责任</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层级（建议）</w:t>
            </w:r>
          </w:p>
        </w:tc>
        <w:tc>
          <w:tcPr>
            <w:tcW w:w="4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能否预约</w:t>
            </w:r>
          </w:p>
        </w:tc>
        <w:tc>
          <w:tcPr>
            <w:tcW w:w="45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备注</w:t>
            </w:r>
          </w:p>
        </w:tc>
      </w:tr>
      <w:tr>
        <w:tblPrEx>
          <w:tblCellMar>
            <w:top w:w="0" w:type="dxa"/>
            <w:left w:w="108" w:type="dxa"/>
            <w:bottom w:w="0" w:type="dxa"/>
            <w:right w:w="108" w:type="dxa"/>
          </w:tblCellMar>
        </w:tblPrEx>
        <w:trPr>
          <w:trHeight w:val="104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黑体" w:hAnsi="黑体" w:eastAsia="黑体" w:cs="宋体"/>
                <w:bCs/>
                <w:color w:val="000000"/>
                <w:kern w:val="0"/>
                <w:szCs w:val="21"/>
              </w:rPr>
            </w:pPr>
          </w:p>
        </w:tc>
        <w:tc>
          <w:tcPr>
            <w:tcW w:w="81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黑体" w:hAnsi="黑体" w:eastAsia="黑体" w:cs="宋体"/>
                <w:bCs/>
                <w:color w:val="000000"/>
                <w:kern w:val="0"/>
                <w:szCs w:val="21"/>
              </w:rPr>
            </w:pPr>
          </w:p>
        </w:tc>
        <w:tc>
          <w:tcPr>
            <w:tcW w:w="69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黑体" w:hAnsi="黑体" w:eastAsia="黑体" w:cs="宋体"/>
                <w:bCs/>
                <w:color w:val="000000"/>
                <w:kern w:val="0"/>
                <w:szCs w:val="21"/>
              </w:rPr>
            </w:pP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法律效力位阶</w:t>
            </w:r>
          </w:p>
        </w:tc>
        <w:tc>
          <w:tcPr>
            <w:tcW w:w="344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依据内容</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（具体到条款项目的内容）</w:t>
            </w:r>
          </w:p>
        </w:tc>
        <w:tc>
          <w:tcPr>
            <w:tcW w:w="208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黑体" w:hAnsi="黑体" w:eastAsia="黑体" w:cs="宋体"/>
                <w:bCs/>
                <w:color w:val="000000"/>
                <w:kern w:val="0"/>
                <w:szCs w:val="21"/>
              </w:rPr>
            </w:pPr>
          </w:p>
        </w:tc>
        <w:tc>
          <w:tcPr>
            <w:tcW w:w="8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黑体" w:hAnsi="黑体" w:eastAsia="黑体" w:cs="宋体"/>
                <w:bCs/>
                <w:color w:val="000000"/>
                <w:kern w:val="0"/>
                <w:szCs w:val="21"/>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黑体" w:hAnsi="黑体" w:eastAsia="黑体" w:cs="宋体"/>
                <w:bCs/>
                <w:color w:val="000000"/>
                <w:kern w:val="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黑体" w:hAnsi="黑体" w:eastAsia="黑体" w:cs="宋体"/>
                <w:bCs/>
                <w:color w:val="000000"/>
                <w:kern w:val="0"/>
                <w:szCs w:val="21"/>
              </w:rPr>
            </w:pPr>
          </w:p>
        </w:tc>
        <w:tc>
          <w:tcPr>
            <w:tcW w:w="69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黑体" w:hAnsi="黑体" w:eastAsia="黑体" w:cs="宋体"/>
                <w:bCs/>
                <w:color w:val="000000"/>
                <w:kern w:val="0"/>
                <w:szCs w:val="21"/>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黑体" w:hAnsi="黑体" w:eastAsia="黑体" w:cs="宋体"/>
                <w:bCs/>
                <w:color w:val="000000"/>
                <w:kern w:val="0"/>
                <w:szCs w:val="21"/>
              </w:rPr>
            </w:pPr>
          </w:p>
        </w:tc>
        <w:tc>
          <w:tcPr>
            <w:tcW w:w="4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市</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县</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乡</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市</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县</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乡</w:t>
            </w:r>
          </w:p>
        </w:tc>
        <w:tc>
          <w:tcPr>
            <w:tcW w:w="4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黑体" w:hAnsi="黑体" w:eastAsia="黑体" w:cs="宋体"/>
                <w:bCs/>
                <w:color w:val="000000"/>
                <w:kern w:val="0"/>
                <w:szCs w:val="21"/>
              </w:rPr>
            </w:pPr>
          </w:p>
        </w:tc>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黑体" w:hAnsi="黑体" w:eastAsia="黑体" w:cs="宋体"/>
                <w:bCs/>
                <w:color w:val="000000"/>
                <w:kern w:val="0"/>
                <w:szCs w:val="21"/>
              </w:rPr>
            </w:pPr>
          </w:p>
        </w:tc>
      </w:tr>
      <w:tr>
        <w:tblPrEx>
          <w:tblCellMar>
            <w:top w:w="0" w:type="dxa"/>
            <w:left w:w="108" w:type="dxa"/>
            <w:bottom w:w="0" w:type="dxa"/>
            <w:right w:w="108" w:type="dxa"/>
          </w:tblCellMar>
        </w:tblPrEx>
        <w:trPr>
          <w:trHeight w:val="1754"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企业会计信息质量检查</w:t>
            </w:r>
          </w:p>
          <w:p>
            <w:pPr>
              <w:widowControl/>
              <w:spacing w:line="280" w:lineRule="exact"/>
              <w:jc w:val="center"/>
              <w:rPr>
                <w:rFonts w:hint="eastAsia" w:ascii="仿宋_GB2312" w:hAnsi="宋体" w:eastAsia="仿宋_GB2312" w:cs="宋体"/>
                <w:color w:val="000000"/>
                <w:kern w:val="0"/>
                <w:szCs w:val="21"/>
              </w:rPr>
            </w:pPr>
          </w:p>
        </w:tc>
        <w:tc>
          <w:tcPr>
            <w:tcW w:w="6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Cs w:val="21"/>
              </w:rPr>
            </w:pPr>
            <w:r>
              <w:rPr>
                <w:rFonts w:hint="eastAsia" w:ascii="宋体" w:hAnsi="宋体" w:eastAsia="宋体" w:cs="宋体"/>
                <w:i w:val="0"/>
                <w:iCs w:val="0"/>
                <w:color w:val="000000"/>
                <w:kern w:val="0"/>
                <w:sz w:val="20"/>
                <w:szCs w:val="20"/>
                <w:u w:val="none"/>
                <w:lang w:val="en-US" w:eastAsia="zh-CN" w:bidi="ar"/>
              </w:rPr>
              <w:t>企业组织和相关人员</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法律</w:t>
            </w:r>
          </w:p>
        </w:tc>
        <w:tc>
          <w:tcPr>
            <w:tcW w:w="3443"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5"/>
                <w:szCs w:val="15"/>
                <w:lang w:val="en-US" w:eastAsia="zh-CN" w:bidi="ar-SA"/>
              </w:rPr>
              <w:t>《</w:t>
            </w:r>
            <w:r>
              <w:rPr>
                <w:rFonts w:hint="eastAsia" w:ascii="仿宋_GB2312" w:hAnsi="宋体" w:eastAsia="仿宋_GB2312" w:cs="宋体"/>
                <w:color w:val="000000"/>
                <w:kern w:val="0"/>
                <w:sz w:val="18"/>
                <w:szCs w:val="18"/>
                <w:lang w:val="en-US" w:eastAsia="zh-CN" w:bidi="ar-SA"/>
              </w:rPr>
              <w:t>中华人民共和国会计法》第七条国务院财政部门主管全国的会计工作。县级以上地方各级人民政府财政部门管理本行政区域内的会计工作。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仿宋_GB2312" w:hAnsi="宋体" w:eastAsia="仿宋_GB2312" w:cs="宋体"/>
                <w:color w:val="000000"/>
                <w:kern w:val="0"/>
                <w:sz w:val="18"/>
                <w:szCs w:val="18"/>
                <w:lang w:val="en-US" w:eastAsia="zh-CN" w:bidi="ar-SA"/>
              </w:rPr>
            </w:pPr>
            <w:r>
              <w:rPr>
                <w:rFonts w:hint="default" w:ascii="仿宋_GB2312" w:hAnsi="宋体" w:eastAsia="仿宋_GB2312" w:cs="宋体"/>
                <w:color w:val="000000"/>
                <w:kern w:val="0"/>
                <w:sz w:val="18"/>
                <w:szCs w:val="18"/>
                <w:lang w:val="en-US" w:eastAsia="zh-CN" w:bidi="ar-SA"/>
              </w:rPr>
              <w:t>第三十条　财政部门对各单位的下列情况实施监督：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仿宋_GB2312" w:hAnsi="宋体" w:eastAsia="仿宋_GB2312" w:cs="宋体"/>
                <w:color w:val="000000"/>
                <w:kern w:val="0"/>
                <w:sz w:val="18"/>
                <w:szCs w:val="18"/>
                <w:lang w:val="en-US" w:eastAsia="zh-CN" w:bidi="ar-SA"/>
              </w:rPr>
            </w:pPr>
            <w:r>
              <w:rPr>
                <w:rFonts w:hint="default" w:ascii="仿宋_GB2312" w:hAnsi="宋体" w:eastAsia="仿宋_GB2312" w:cs="宋体"/>
                <w:color w:val="000000"/>
                <w:kern w:val="0"/>
                <w:sz w:val="18"/>
                <w:szCs w:val="18"/>
                <w:lang w:val="en-US" w:eastAsia="zh-CN" w:bidi="ar-SA"/>
              </w:rPr>
              <w:t>（一）是否依法设置会计账簿；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仿宋_GB2312" w:hAnsi="宋体" w:eastAsia="仿宋_GB2312" w:cs="宋体"/>
                <w:color w:val="000000"/>
                <w:kern w:val="0"/>
                <w:sz w:val="18"/>
                <w:szCs w:val="18"/>
                <w:lang w:val="en-US" w:eastAsia="zh-CN" w:bidi="ar-SA"/>
              </w:rPr>
            </w:pPr>
            <w:r>
              <w:rPr>
                <w:rFonts w:hint="default" w:ascii="仿宋_GB2312" w:hAnsi="宋体" w:eastAsia="仿宋_GB2312" w:cs="宋体"/>
                <w:color w:val="000000"/>
                <w:kern w:val="0"/>
                <w:sz w:val="18"/>
                <w:szCs w:val="18"/>
                <w:lang w:val="en-US" w:eastAsia="zh-CN" w:bidi="ar-SA"/>
              </w:rPr>
              <w:t>（二）会计凭证、会计账簿、财务会计报告和其他会计资料是否真实、完整；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仿宋_GB2312" w:hAnsi="宋体" w:eastAsia="仿宋_GB2312" w:cs="宋体"/>
                <w:color w:val="000000"/>
                <w:kern w:val="0"/>
                <w:sz w:val="18"/>
                <w:szCs w:val="18"/>
                <w:lang w:val="en-US" w:eastAsia="zh-CN" w:bidi="ar-SA"/>
              </w:rPr>
            </w:pPr>
            <w:r>
              <w:rPr>
                <w:rFonts w:hint="default" w:ascii="仿宋_GB2312" w:hAnsi="宋体" w:eastAsia="仿宋_GB2312" w:cs="宋体"/>
                <w:color w:val="000000"/>
                <w:kern w:val="0"/>
                <w:sz w:val="18"/>
                <w:szCs w:val="18"/>
                <w:lang w:val="en-US" w:eastAsia="zh-CN" w:bidi="ar-SA"/>
              </w:rPr>
              <w:t>（三）会计核算是否符合本法和国家统一的会计制度的规定；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left="0" w:right="0" w:firstLine="0"/>
              <w:textAlignment w:val="auto"/>
              <w:rPr>
                <w:rFonts w:hint="eastAsia" w:ascii="仿宋_GB2312" w:hAnsi="宋体" w:eastAsia="仿宋_GB2312" w:cs="宋体"/>
                <w:color w:val="000000"/>
                <w:kern w:val="0"/>
                <w:sz w:val="18"/>
                <w:szCs w:val="18"/>
                <w:lang w:val="en-US" w:eastAsia="zh-CN" w:bidi="ar-SA"/>
              </w:rPr>
            </w:pPr>
            <w:r>
              <w:rPr>
                <w:rFonts w:hint="default" w:ascii="仿宋_GB2312" w:hAnsi="宋体" w:eastAsia="仿宋_GB2312" w:cs="宋体"/>
                <w:color w:val="000000"/>
                <w:kern w:val="0"/>
                <w:sz w:val="18"/>
                <w:szCs w:val="18"/>
                <w:lang w:val="en-US" w:eastAsia="zh-CN" w:bidi="ar-SA"/>
              </w:rPr>
              <w:t>（四）从事会计工作的人员是否具备专业能力、遵守职业道德。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150" w:afterAutospacing="0" w:line="320" w:lineRule="exact"/>
              <w:ind w:left="0" w:right="0" w:firstLine="0"/>
              <w:textAlignment w:val="auto"/>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18"/>
                <w:szCs w:val="18"/>
              </w:rPr>
              <w:t xml:space="preserve">   </w:t>
            </w:r>
            <w:r>
              <w:rPr>
                <w:rFonts w:hint="default" w:ascii="仿宋_GB2312" w:hAnsi="宋体" w:eastAsia="仿宋_GB2312" w:cs="宋体"/>
                <w:color w:val="000000"/>
                <w:kern w:val="0"/>
                <w:sz w:val="18"/>
                <w:szCs w:val="18"/>
                <w:lang w:val="en-US" w:eastAsia="zh-CN" w:bidi="ar-SA"/>
              </w:rPr>
              <w:t>第三十一条　财政、审计、税务、金融管理等部门应当依照有关法律、行政法规规定的职责，对有关单位的会计资料实施监督检查，并出具检查结论。</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atLeast"/>
              <w:ind w:left="0" w:right="0" w:firstLine="0"/>
              <w:textAlignment w:val="auto"/>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检查内容：会计账簿设置、会计资料真实性、完整性、会计核算、会计档案管理、单位任用会计人员等情况，重点关注举报或移交线索相关情况。</w:t>
            </w:r>
            <w:r>
              <w:rPr>
                <w:rFonts w:hint="eastAsia" w:ascii="仿宋_GB2312" w:hAnsi="宋体" w:eastAsia="仿宋_GB2312" w:cs="宋体"/>
                <w:color w:val="000000"/>
                <w:kern w:val="0"/>
                <w:sz w:val="21"/>
                <w:szCs w:val="21"/>
                <w:lang w:val="en-US" w:eastAsia="zh-CN" w:bidi="ar-SA"/>
              </w:rPr>
              <w:br w:type="textWrapping"/>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现场</w:t>
            </w:r>
          </w:p>
          <w:p>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检查</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eastAsia="zh-CN"/>
              </w:rPr>
              <w:t>财政</w:t>
            </w:r>
            <w:r>
              <w:rPr>
                <w:rFonts w:hint="eastAsia" w:ascii="仿宋_GB2312" w:hAnsi="宋体" w:eastAsia="仿宋_GB2312" w:cs="宋体"/>
                <w:color w:val="000000"/>
                <w:kern w:val="0"/>
                <w:szCs w:val="21"/>
              </w:rPr>
              <w:t>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eastAsia="zh-CN"/>
              </w:rPr>
              <w:t>财政监督与绩效评价股</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无</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eastAsia="zh-CN"/>
              </w:rPr>
              <w:t>一</w:t>
            </w:r>
            <w:r>
              <w:rPr>
                <w:rFonts w:hint="eastAsia" w:ascii="仿宋_GB2312" w:hAnsi="宋体" w:eastAsia="仿宋_GB2312" w:cs="宋体"/>
                <w:color w:val="000000"/>
                <w:kern w:val="0"/>
                <w:szCs w:val="21"/>
              </w:rPr>
              <w:t>年一次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华文仿宋" w:eastAsia="仿宋_GB2312" w:cs="宋体"/>
                <w:color w:val="000000"/>
                <w:kern w:val="0"/>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Cs w:val="21"/>
              </w:rPr>
            </w:pPr>
            <w:r>
              <w:rPr>
                <w:rFonts w:hint="eastAsia" w:ascii="仿宋_GB2312" w:hAnsi="华文仿宋" w:eastAsia="仿宋_GB2312" w:cs="宋体"/>
                <w:color w:val="000000"/>
                <w:kern w:val="0"/>
                <w:szCs w:val="21"/>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Cs w:val="21"/>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华文仿宋" w:eastAsia="仿宋_GB2312" w:cs="宋体"/>
                <w:color w:val="000000"/>
                <w:kern w:val="0"/>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Cs w:val="21"/>
              </w:rPr>
            </w:pPr>
            <w:r>
              <w:rPr>
                <w:rFonts w:hint="eastAsia" w:ascii="仿宋_GB2312" w:hAnsi="华文仿宋" w:eastAsia="仿宋_GB2312" w:cs="宋体"/>
                <w:color w:val="000000"/>
                <w:kern w:val="0"/>
                <w:szCs w:val="21"/>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Cs w:val="21"/>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否</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Cs w:val="21"/>
              </w:rPr>
            </w:pPr>
          </w:p>
        </w:tc>
      </w:tr>
      <w:tr>
        <w:trPr>
          <w:trHeight w:val="4539" w:hRule="atLeast"/>
          <w:jc w:val="center"/>
        </w:trPr>
        <w:tc>
          <w:tcPr>
            <w:tcW w:w="426" w:type="dxa"/>
            <w:tcBorders>
              <w:top w:val="single" w:color="000000" w:sz="4" w:space="0"/>
              <w:left w:val="single" w:color="000000" w:sz="4" w:space="0"/>
              <w:bottom w:val="single" w:color="000000" w:sz="4" w:space="0"/>
              <w:right w:val="single" w:color="000000" w:sz="4" w:space="0"/>
            </w:tcBorders>
            <w:noWrap/>
            <w:vAlign w:val="center"/>
          </w:tcPr>
          <w:p>
            <w:pPr>
              <w:widowControl/>
              <w:spacing w:line="280" w:lineRule="exact"/>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eastAsia="zh-CN"/>
              </w:rPr>
              <w:t>政府采购活动监督</w:t>
            </w:r>
            <w:r>
              <w:rPr>
                <w:rFonts w:hint="eastAsia" w:ascii="仿宋_GB2312" w:hAnsi="宋体" w:eastAsia="仿宋_GB2312" w:cs="宋体"/>
                <w:color w:val="000000"/>
                <w:kern w:val="0"/>
                <w:szCs w:val="21"/>
              </w:rPr>
              <w:t>检查</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宋体" w:hAnsi="宋体" w:eastAsia="宋体" w:cs="宋体"/>
                <w:i w:val="0"/>
                <w:iCs w:val="0"/>
                <w:color w:val="000000"/>
                <w:kern w:val="0"/>
                <w:sz w:val="20"/>
                <w:szCs w:val="20"/>
                <w:u w:val="none"/>
                <w:lang w:val="en-US" w:eastAsia="zh-CN" w:bidi="ar"/>
              </w:rPr>
            </w:pPr>
            <w:r>
              <w:rPr>
                <w:rFonts w:hint="eastAsia" w:ascii="仿宋_GB2312" w:hAnsi="宋体" w:eastAsia="仿宋_GB2312" w:cs="宋体"/>
                <w:color w:val="000000"/>
                <w:kern w:val="0"/>
                <w:szCs w:val="21"/>
                <w:lang w:val="en-US" w:eastAsia="zh-CN"/>
              </w:rPr>
              <w:t>从事政府采购的社会代理机构</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法律和</w:t>
            </w:r>
          </w:p>
          <w:p>
            <w:pPr>
              <w:widowControl/>
              <w:spacing w:line="280" w:lineRule="exact"/>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行政法规</w:t>
            </w:r>
          </w:p>
        </w:tc>
        <w:tc>
          <w:tcPr>
            <w:tcW w:w="3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《中华人民共和国政府采购法》第十三条</w:t>
            </w:r>
            <w:r>
              <w:rPr>
                <w:rFonts w:hint="eastAsia" w:ascii="仿宋_GB2312" w:hAnsi="宋体" w:eastAsia="仿宋_GB2312" w:cs="宋体"/>
                <w:color w:val="000000"/>
                <w:kern w:val="0"/>
                <w:sz w:val="15"/>
                <w:szCs w:val="15"/>
                <w:lang w:val="en-US" w:eastAsia="zh-CN"/>
              </w:rPr>
              <w:t xml:space="preserve">  </w:t>
            </w:r>
            <w:r>
              <w:rPr>
                <w:rFonts w:hint="eastAsia" w:ascii="仿宋_GB2312" w:hAnsi="宋体" w:eastAsia="仿宋_GB2312" w:cs="宋体"/>
                <w:color w:val="000000"/>
                <w:kern w:val="0"/>
                <w:sz w:val="15"/>
                <w:szCs w:val="15"/>
              </w:rPr>
              <w:t>各级人民政府财政部门是负责政府采购监督管理的部门，依法履行对政府采购活动的监督管理职责。</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第五十九条：政府采购监督管理部门应当加强对政府采购活动及集中采购机构的监督检查。</w:t>
            </w:r>
          </w:p>
          <w:p>
            <w:pPr>
              <w:keepNext w:val="0"/>
              <w:keepLines w:val="0"/>
              <w:pageBreakBefore w:val="0"/>
              <w:widowControl/>
              <w:kinsoku/>
              <w:wordWrap/>
              <w:overflowPunct/>
              <w:topLinePunct w:val="0"/>
              <w:autoSpaceDE/>
              <w:autoSpaceDN/>
              <w:bidi w:val="0"/>
              <w:adjustRightInd/>
              <w:snapToGrid/>
              <w:spacing w:line="320" w:lineRule="exact"/>
              <w:ind w:firstLine="300" w:firstLineChars="200"/>
              <w:jc w:val="left"/>
              <w:textAlignment w:val="auto"/>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监督检查的主要内容是：</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(一)有关政府采购的法律、行政法规和规章的执行情况；</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(二)采购范围、采购方式和采购程序的执行情况；</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(三)政府采购人员的职业素质和专业技能。</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第六十五条</w:t>
            </w:r>
            <w:r>
              <w:rPr>
                <w:rFonts w:hint="eastAsia" w:ascii="仿宋_GB2312" w:hAnsi="宋体" w:eastAsia="仿宋_GB2312" w:cs="宋体"/>
                <w:color w:val="000000"/>
                <w:kern w:val="0"/>
                <w:sz w:val="15"/>
                <w:szCs w:val="15"/>
                <w:lang w:val="en-US" w:eastAsia="zh-CN"/>
              </w:rPr>
              <w:t xml:space="preserve"> </w:t>
            </w:r>
            <w:r>
              <w:rPr>
                <w:rFonts w:hint="eastAsia" w:ascii="仿宋_GB2312" w:hAnsi="宋体" w:eastAsia="仿宋_GB2312" w:cs="宋体"/>
                <w:color w:val="000000"/>
                <w:kern w:val="0"/>
                <w:sz w:val="15"/>
                <w:szCs w:val="15"/>
              </w:rPr>
              <w:t>政府采购监督管理部门应当对政府采购项目的采购活动进行检查，政府采购当事人应当如实反映情况，提供有关材料。</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color w:val="000000"/>
                <w:kern w:val="0"/>
                <w:sz w:val="15"/>
                <w:szCs w:val="15"/>
              </w:rPr>
            </w:pPr>
            <w:r>
              <w:rPr>
                <w:rFonts w:hint="eastAsia" w:ascii="仿宋_GB2312" w:hAnsi="宋体" w:eastAsia="仿宋_GB2312" w:cs="宋体"/>
                <w:color w:val="000000"/>
                <w:kern w:val="0"/>
                <w:sz w:val="15"/>
                <w:szCs w:val="15"/>
              </w:rPr>
              <w:t>【行政法规】《中华人民共和国政府采购法实施条例》（国务院令第658号）第六十三条：各级人民政府财政部门和其他有关部门应当加强对参加政府采购活动的供应商、采购代理机构、评审专家的监督管理，对其不良行为予以记录，并纳入统一的信用信息平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仿宋_GB2312" w:hAnsi="宋体" w:eastAsia="仿宋_GB2312" w:cs="宋体"/>
                <w:color w:val="000000"/>
                <w:kern w:val="0"/>
                <w:sz w:val="15"/>
                <w:szCs w:val="15"/>
                <w:lang w:val="en-US" w:eastAsia="zh-CN" w:bidi="ar-SA"/>
              </w:rPr>
            </w:pPr>
            <w:r>
              <w:rPr>
                <w:rFonts w:hint="default" w:ascii="仿宋_GB2312" w:hAnsi="宋体" w:eastAsia="仿宋_GB2312" w:cs="宋体"/>
                <w:color w:val="000000"/>
                <w:kern w:val="0"/>
                <w:sz w:val="15"/>
                <w:szCs w:val="15"/>
                <w:lang w:val="en-US" w:eastAsia="zh-CN" w:bidi="ar-SA"/>
              </w:rPr>
              <w:t>第六十四条　各级人民政府财政部门对政府采购活动进行监督检查，有权查阅、复制有关文件、资料，相关单位和人员应当予以配合。</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宋体" w:eastAsia="仿宋_GB2312" w:cs="宋体"/>
                <w:color w:val="000000"/>
                <w:kern w:val="0"/>
                <w:sz w:val="21"/>
                <w:szCs w:val="21"/>
              </w:rPr>
            </w:pP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 xml:space="preserve">检查内容：1.有关政府采购的法律、行政法规和规章的执行情况。 </w:t>
            </w:r>
          </w:p>
          <w:p>
            <w:pPr>
              <w:widowControl/>
              <w:spacing w:line="28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 xml:space="preserve">2.采购范围、采购方式和采购程序的执行情况。 </w:t>
            </w:r>
          </w:p>
          <w:p>
            <w:pPr>
              <w:widowControl/>
              <w:spacing w:line="28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3.政府采购人员的职业素质和专业技能。</w:t>
            </w:r>
          </w:p>
          <w:p>
            <w:pPr>
              <w:widowControl/>
              <w:spacing w:line="28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4.社会代理机构名录登记等基本情况，业绩与人员情况，管理情况，失信与处理处罚情况。</w:t>
            </w:r>
          </w:p>
          <w:p>
            <w:pPr>
              <w:widowControl/>
              <w:spacing w:line="28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 xml:space="preserve">5.政府采购政策的执行情况。 </w:t>
            </w:r>
          </w:p>
          <w:p>
            <w:pPr>
              <w:widowControl/>
              <w:spacing w:line="28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 xml:space="preserve">6.采购文件编制水平。 </w:t>
            </w:r>
          </w:p>
          <w:p>
            <w:pPr>
              <w:widowControl/>
              <w:spacing w:line="28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 xml:space="preserve">7.采购方式和采购程序的执行情况。 </w:t>
            </w:r>
          </w:p>
          <w:p>
            <w:pPr>
              <w:widowControl/>
              <w:spacing w:line="28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 xml:space="preserve">8.询问、质疑答复情况。 </w:t>
            </w:r>
          </w:p>
          <w:p>
            <w:pPr>
              <w:widowControl/>
              <w:spacing w:line="28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 xml:space="preserve">9.内部监督管理制度建设及执行情况。 </w:t>
            </w:r>
          </w:p>
          <w:p>
            <w:pPr>
              <w:widowControl/>
              <w:spacing w:line="280" w:lineRule="exact"/>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10.省级以上人民政府财政部门规定的其他事项。</w:t>
            </w:r>
          </w:p>
          <w:p>
            <w:pPr>
              <w:widowControl/>
              <w:spacing w:line="280" w:lineRule="exact"/>
              <w:jc w:val="left"/>
              <w:rPr>
                <w:rFonts w:hint="eastAsia" w:ascii="仿宋_GB2312" w:hAnsi="宋体" w:eastAsia="仿宋_GB2312" w:cs="宋体"/>
                <w:color w:val="000000"/>
                <w:kern w:val="0"/>
                <w:sz w:val="21"/>
                <w:szCs w:val="21"/>
                <w:lang w:val="en-US" w:eastAsia="zh-CN" w:bidi="ar-SA"/>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现场</w:t>
            </w:r>
          </w:p>
          <w:p>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检查</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财政</w:t>
            </w:r>
            <w:r>
              <w:rPr>
                <w:rFonts w:hint="eastAsia" w:ascii="仿宋_GB2312" w:hAnsi="宋体" w:eastAsia="仿宋_GB2312" w:cs="宋体"/>
                <w:color w:val="000000"/>
                <w:kern w:val="0"/>
                <w:szCs w:val="21"/>
              </w:rPr>
              <w:t>局</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政府采购监督管理股</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无</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一</w:t>
            </w:r>
            <w:r>
              <w:rPr>
                <w:rFonts w:hint="eastAsia" w:ascii="仿宋_GB2312" w:hAnsi="宋体" w:eastAsia="仿宋_GB2312" w:cs="宋体"/>
                <w:color w:val="000000"/>
                <w:kern w:val="0"/>
                <w:szCs w:val="21"/>
              </w:rPr>
              <w:t>年一次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华文仿宋" w:eastAsia="仿宋_GB2312" w:cs="宋体"/>
                <w:color w:val="000000"/>
                <w:kern w:val="0"/>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华文仿宋" w:eastAsia="仿宋_GB2312" w:cs="宋体"/>
                <w:color w:val="000000"/>
                <w:kern w:val="0"/>
                <w:sz w:val="21"/>
                <w:szCs w:val="21"/>
                <w:lang w:val="en-US" w:eastAsia="zh-CN" w:bidi="ar-SA"/>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华文仿宋" w:eastAsia="仿宋_GB2312" w:cs="宋体"/>
                <w:color w:val="000000"/>
                <w:kern w:val="0"/>
                <w:szCs w:val="21"/>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 w:val="21"/>
                <w:szCs w:val="21"/>
                <w:lang w:val="en-US" w:eastAsia="zh-CN" w:bidi="ar-SA"/>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lang w:eastAsia="zh-CN"/>
              </w:rPr>
              <w:t>否</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仿宋_GB2312" w:hAnsi="宋体" w:eastAsia="仿宋_GB2312" w:cs="宋体"/>
                <w:color w:val="000000"/>
                <w:kern w:val="0"/>
                <w:szCs w:val="21"/>
              </w:rPr>
            </w:pPr>
          </w:p>
        </w:tc>
      </w:tr>
    </w:tbl>
    <w:p>
      <w:pPr>
        <w:spacing w:line="20" w:lineRule="exact"/>
        <w:rPr>
          <w:rFonts w:ascii="仿宋_GB2312" w:hAnsi="仿宋_GB2312" w:eastAsia="仿宋_GB2312" w:cs="仿宋_GB2312"/>
          <w:sz w:val="32"/>
          <w:szCs w:val="32"/>
        </w:rPr>
      </w:pPr>
    </w:p>
    <w:p>
      <w:pPr>
        <w:spacing w:line="576" w:lineRule="exact"/>
      </w:pPr>
      <w:bookmarkStart w:id="0" w:name="_GoBack"/>
      <w:bookmarkEnd w:id="0"/>
    </w:p>
    <w:sectPr>
      <w:pgSz w:w="16838" w:h="11906" w:orient="landscape"/>
      <w:pgMar w:top="1587" w:right="1701" w:bottom="1474" w:left="1701" w:header="720" w:footer="1587" w:gutter="0"/>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汉仪仿宋简"/>
    <w:panose1 w:val="02010600040101010101"/>
    <w:charset w:val="00"/>
    <w:family w:val="auto"/>
    <w:pitch w:val="default"/>
    <w:sig w:usb0="00000000" w:usb1="00000000" w:usb2="00000010" w:usb3="00000000" w:csb0="0004009F" w:csb1="00000000"/>
  </w:font>
  <w:font w:name="仿宋">
    <w:altName w:val="宋体"/>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67C91"/>
    <w:rsid w:val="3D751FBE"/>
    <w:rsid w:val="57BBC3B2"/>
    <w:rsid w:val="69867C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样式1"/>
    <w:qFormat/>
    <w:uiPriority w:val="0"/>
    <w:pPr>
      <w:widowControl w:val="0"/>
      <w:jc w:val="both"/>
    </w:pPr>
    <w:rPr>
      <w:rFonts w:ascii="Calibri" w:hAnsi="Calibri" w:eastAsia="宋体" w:cs="Times New Roman"/>
      <w:b/>
      <w:color w:val="538135"/>
      <w:kern w:val="2"/>
      <w:sz w:val="28"/>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2025-07-08T16:09:00Z</dcterms:created>
  <dc:creator>Administrator</dc:creator>
  <cp:lastModifiedBy>user</cp:lastModifiedBy>
  <cp:lastPrinted>2025-07-08T16:37:00Z</cp:lastPrinted>
  <dcterms:modified xsi:type="dcterms:W3CDTF">2025-07-08T17:21:02Z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302998FA2C9B4757B285C1F5FA1A63D0_13</vt:lpwstr>
  </property>
  <property fmtid="{D5CDD505-2E9C-101B-9397-08002B2CF9AE}" pid="4" name="KSOTemplateDocerSaveRecord">
    <vt:lpwstr>eyJoZGlkIjoiOWMyNzlkMWMzY2ViN2I5M2I3YjhkNzAzYTgwODlhNTkifQ==</vt:lpwstr>
  </property>
</Properties>
</file>