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3</w:t>
      </w:r>
    </w:p>
    <w:p>
      <w:pPr>
        <w:pStyle w:val="6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旺苍县财政局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5年度涉企行政执法检查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4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216"/>
        <w:gridCol w:w="709"/>
        <w:gridCol w:w="1096"/>
        <w:gridCol w:w="890"/>
        <w:gridCol w:w="890"/>
        <w:gridCol w:w="968"/>
        <w:gridCol w:w="969"/>
        <w:gridCol w:w="3482"/>
        <w:gridCol w:w="121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企业会计信息质量检查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县域内国有企业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年</w:t>
            </w:r>
          </w:p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日常检查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日前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县财政局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会计账簿设置、会计资料真实性、完整性、会计核算、会计档案管理、单位任用会计人员等情况。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政府采购活动监督检查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从事政府采购的社会代理机构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年</w:t>
            </w:r>
          </w:p>
          <w:p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日常检查</w:t>
            </w: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县财政局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1.有关政府采购的法律、行政法规和规章的执行情况。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2.采购范围、采购方式和采购程序的执行情况。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3.政府采购政策的执行情况。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4.采购文件编制水平。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5.采购方式和采购程序的执行情况。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6.询问、质疑答复情况。 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  <w:tc>
          <w:tcPr>
            <w:tcW w:w="155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无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54"/>
          <w:szCs w:val="5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54"/>
          <w:szCs w:val="54"/>
          <w:shd w:val="clear" w:fill="FFFFFF"/>
        </w:rPr>
      </w:pPr>
    </w:p>
    <w:p/>
    <w:sectPr>
      <w:pgSz w:w="16838" w:h="11906" w:orient="landscape"/>
      <w:pgMar w:top="1587" w:right="1701" w:bottom="1474" w:left="1701" w:header="720" w:footer="158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67C91"/>
    <w:rsid w:val="0A9917BF"/>
    <w:rsid w:val="3D751FBE"/>
    <w:rsid w:val="69867C91"/>
    <w:rsid w:val="F07BC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2025-07-08T16:09:00Z</dcterms:created>
  <dc:creator>Administrator</dc:creator>
  <cp:lastModifiedBy>Q</cp:lastModifiedBy>
  <cp:lastPrinted>2025-07-08T16:37:00Z</cp:lastPrinted>
  <dcterms:modified xsi:type="dcterms:W3CDTF">2025-07-14T02:23:54Z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302998FA2C9B4757B285C1F5FA1A63D0_13</vt:lpwstr>
  </property>
  <property fmtid="{D5CDD505-2E9C-101B-9397-08002B2CF9AE}" pid="4" name="KSOTemplateDocerSaveRecord">
    <vt:lpwstr>eyJoZGlkIjoiOWMyNzlkMWMzY2ViN2I5M2I3YjhkNzAzYTgwODlhNTkifQ==</vt:lpwstr>
  </property>
</Properties>
</file>