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6" w:line="446" w:lineRule="exact"/>
        <w:jc w:val="left"/>
        <w:outlineLvl w:val="0"/>
        <w:rPr>
          <w:rFonts w:hint="default" w:ascii="微软雅黑" w:hAnsi="微软雅黑" w:eastAsia="微软雅黑" w:cs="微软雅黑"/>
          <w:spacing w:val="3"/>
          <w:position w:val="-2"/>
          <w:sz w:val="44"/>
          <w:szCs w:val="44"/>
          <w:lang w:val="en-US" w:eastAsia="zh-CN"/>
        </w:rPr>
      </w:pPr>
      <w:r>
        <w:rPr>
          <w:rFonts w:hint="eastAsia" w:ascii="微软雅黑" w:hAnsi="微软雅黑" w:eastAsia="微软雅黑" w:cs="微软雅黑"/>
          <w:spacing w:val="3"/>
          <w:position w:val="-2"/>
          <w:sz w:val="44"/>
          <w:szCs w:val="44"/>
          <w:lang w:val="en-US" w:eastAsia="zh-CN"/>
        </w:rPr>
        <w:t>附件2</w:t>
      </w:r>
    </w:p>
    <w:p>
      <w:pPr>
        <w:spacing w:before="316" w:line="446" w:lineRule="exact"/>
        <w:jc w:val="center"/>
        <w:outlineLvl w:val="0"/>
        <w:rPr>
          <w:rFonts w:hint="eastAsia" w:ascii="微软雅黑" w:hAnsi="微软雅黑" w:eastAsia="微软雅黑" w:cs="微软雅黑"/>
          <w:spacing w:val="3"/>
          <w:position w:val="-2"/>
          <w:sz w:val="44"/>
          <w:szCs w:val="44"/>
          <w:lang w:val="en-US" w:eastAsia="zh-CN"/>
        </w:rPr>
      </w:pPr>
      <w:r>
        <w:rPr>
          <w:rFonts w:ascii="微软雅黑" w:hAnsi="微软雅黑" w:eastAsia="微软雅黑" w:cs="微软雅黑"/>
          <w:spacing w:val="3"/>
          <w:position w:val="-2"/>
          <w:sz w:val="44"/>
          <w:szCs w:val="44"/>
        </w:rPr>
        <w:t>旺苍县</w:t>
      </w:r>
      <w:r>
        <w:rPr>
          <w:rFonts w:hint="eastAsia" w:ascii="微软雅黑" w:hAnsi="微软雅黑" w:eastAsia="微软雅黑" w:cs="微软雅黑"/>
          <w:spacing w:val="3"/>
          <w:position w:val="-2"/>
          <w:sz w:val="44"/>
          <w:szCs w:val="44"/>
          <w:lang w:val="en-US" w:eastAsia="zh-CN"/>
        </w:rPr>
        <w:t>文化广播电视体育和旅游局</w:t>
      </w:r>
    </w:p>
    <w:p>
      <w:pPr>
        <w:spacing w:before="316" w:line="446" w:lineRule="exact"/>
        <w:jc w:val="center"/>
        <w:outlineLvl w:val="0"/>
        <w:rPr>
          <w:rFonts w:ascii="微软雅黑" w:hAnsi="微软雅黑" w:eastAsia="微软雅黑" w:cs="微软雅黑"/>
          <w:spacing w:val="3"/>
          <w:position w:val="-2"/>
          <w:sz w:val="44"/>
          <w:szCs w:val="44"/>
        </w:rPr>
      </w:pPr>
      <w:bookmarkStart w:id="1" w:name="_GoBack"/>
      <w:bookmarkStart w:id="0" w:name="OLE_LINK1"/>
      <w:r>
        <w:rPr>
          <w:rFonts w:ascii="微软雅黑" w:hAnsi="微软雅黑" w:eastAsia="微软雅黑" w:cs="微软雅黑"/>
          <w:spacing w:val="3"/>
          <w:position w:val="-2"/>
          <w:sz w:val="44"/>
          <w:szCs w:val="44"/>
        </w:rPr>
        <w:t>2025年涉企行政检查事项分类目录</w:t>
      </w:r>
      <w:bookmarkEnd w:id="0"/>
    </w:p>
    <w:bookmarkEnd w:id="1"/>
    <w:p>
      <w:pPr>
        <w:pStyle w:val="2"/>
        <w:spacing w:before="111" w:line="206" w:lineRule="auto"/>
        <w:rPr>
          <w:rFonts w:ascii="微软雅黑" w:hAnsi="微软雅黑" w:eastAsia="微软雅黑" w:cs="微软雅黑"/>
          <w:spacing w:val="3"/>
          <w:position w:val="-2"/>
          <w:sz w:val="44"/>
          <w:szCs w:val="44"/>
        </w:rPr>
      </w:pPr>
      <w:r>
        <w:rPr>
          <w:spacing w:val="-2"/>
          <w:sz w:val="24"/>
          <w:szCs w:val="24"/>
        </w:rPr>
        <w:t>填报单位：</w:t>
      </w:r>
      <w:r>
        <w:rPr>
          <w:rFonts w:hint="eastAsia"/>
          <w:spacing w:val="-2"/>
          <w:sz w:val="24"/>
          <w:szCs w:val="24"/>
          <w:lang w:val="en-US" w:eastAsia="zh-CN"/>
        </w:rPr>
        <w:t>旺苍县文化广播电视体育和旅游局</w:t>
      </w:r>
    </w:p>
    <w:tbl>
      <w:tblPr>
        <w:tblStyle w:val="5"/>
        <w:tblW w:w="13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
        <w:gridCol w:w="1512"/>
        <w:gridCol w:w="1026"/>
        <w:gridCol w:w="1032"/>
        <w:gridCol w:w="1057"/>
        <w:gridCol w:w="712"/>
        <w:gridCol w:w="893"/>
        <w:gridCol w:w="4372"/>
        <w:gridCol w:w="941"/>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trPr>
        <w:tc>
          <w:tcPr>
            <w:tcW w:w="294" w:type="dxa"/>
            <w:vAlign w:val="top"/>
          </w:tcPr>
          <w:p>
            <w:pPr>
              <w:spacing w:before="72" w:line="238" w:lineRule="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序号</w:t>
            </w:r>
          </w:p>
        </w:tc>
        <w:tc>
          <w:tcPr>
            <w:tcW w:w="151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2"/>
                <w:sz w:val="22"/>
                <w:szCs w:val="22"/>
              </w:rPr>
              <w:t>检查事项</w:t>
            </w:r>
          </w:p>
        </w:tc>
        <w:tc>
          <w:tcPr>
            <w:tcW w:w="1026"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3"/>
                <w:sz w:val="22"/>
                <w:szCs w:val="22"/>
              </w:rPr>
              <w:t>检查</w:t>
            </w:r>
            <w:r>
              <w:rPr>
                <w:rFonts w:ascii="黑体" w:hAnsi="黑体" w:eastAsia="黑体" w:cs="黑体"/>
                <w:spacing w:val="-2"/>
                <w:sz w:val="22"/>
                <w:szCs w:val="22"/>
              </w:rPr>
              <w:t>对象及等级</w:t>
            </w:r>
          </w:p>
        </w:tc>
        <w:tc>
          <w:tcPr>
            <w:tcW w:w="1032" w:type="dxa"/>
            <w:vAlign w:val="top"/>
          </w:tcPr>
          <w:p>
            <w:pPr>
              <w:spacing w:before="72" w:line="222" w:lineRule="auto"/>
              <w:ind w:left="342" w:right="216" w:hanging="105"/>
              <w:jc w:val="center"/>
              <w:rPr>
                <w:rFonts w:hint="eastAsia" w:ascii="方正仿宋_GB2312" w:hAnsi="方正仿宋_GB2312" w:eastAsia="方正仿宋_GB2312" w:cs="方正仿宋_GB2312"/>
                <w:spacing w:val="-8"/>
                <w:sz w:val="24"/>
                <w:szCs w:val="24"/>
              </w:rPr>
            </w:pPr>
            <w:r>
              <w:rPr>
                <w:rFonts w:ascii="黑体" w:hAnsi="黑体" w:eastAsia="黑体" w:cs="黑体"/>
                <w:spacing w:val="-2"/>
                <w:sz w:val="22"/>
                <w:szCs w:val="22"/>
              </w:rPr>
              <w:t>检查事项</w:t>
            </w:r>
            <w:r>
              <w:rPr>
                <w:rFonts w:ascii="黑体" w:hAnsi="黑体" w:eastAsia="黑体" w:cs="黑体"/>
                <w:spacing w:val="-3"/>
                <w:sz w:val="22"/>
                <w:szCs w:val="22"/>
              </w:rPr>
              <w:t>等级</w:t>
            </w:r>
          </w:p>
        </w:tc>
        <w:tc>
          <w:tcPr>
            <w:tcW w:w="1057" w:type="dxa"/>
            <w:vAlign w:val="top"/>
          </w:tcPr>
          <w:p>
            <w:pPr>
              <w:spacing w:before="72" w:line="216" w:lineRule="auto"/>
              <w:ind w:left="228" w:right="2" w:rightChars="0" w:hanging="218"/>
              <w:jc w:val="center"/>
              <w:rPr>
                <w:rFonts w:hint="eastAsia" w:ascii="方正仿宋_GB2312" w:hAnsi="方正仿宋_GB2312" w:eastAsia="方正仿宋_GB2312" w:cs="方正仿宋_GB2312"/>
                <w:spacing w:val="-4"/>
                <w:sz w:val="24"/>
                <w:szCs w:val="24"/>
              </w:rPr>
            </w:pPr>
            <w:r>
              <w:rPr>
                <w:rFonts w:ascii="黑体" w:hAnsi="黑体" w:eastAsia="黑体" w:cs="黑体"/>
                <w:spacing w:val="-2"/>
                <w:sz w:val="22"/>
                <w:szCs w:val="22"/>
              </w:rPr>
              <w:t>检查方式</w:t>
            </w:r>
          </w:p>
        </w:tc>
        <w:tc>
          <w:tcPr>
            <w:tcW w:w="712" w:type="dxa"/>
            <w:vAlign w:val="top"/>
          </w:tcPr>
          <w:p>
            <w:pPr>
              <w:spacing w:before="72" w:line="222" w:lineRule="auto"/>
              <w:ind w:left="17" w:right="222" w:firstLine="34"/>
              <w:jc w:val="center"/>
              <w:rPr>
                <w:rFonts w:hint="eastAsia" w:ascii="方正仿宋_GB2312" w:hAnsi="方正仿宋_GB2312" w:eastAsia="方正仿宋_GB2312" w:cs="方正仿宋_GB2312"/>
                <w:spacing w:val="-17"/>
                <w:sz w:val="24"/>
                <w:szCs w:val="24"/>
              </w:rPr>
            </w:pPr>
            <w:r>
              <w:rPr>
                <w:rFonts w:ascii="黑体" w:hAnsi="黑体" w:eastAsia="黑体" w:cs="黑体"/>
                <w:spacing w:val="-3"/>
                <w:sz w:val="22"/>
                <w:szCs w:val="22"/>
              </w:rPr>
              <w:t>计划类型</w:t>
            </w:r>
          </w:p>
        </w:tc>
        <w:tc>
          <w:tcPr>
            <w:tcW w:w="893" w:type="dxa"/>
            <w:vAlign w:val="top"/>
          </w:tcPr>
          <w:p>
            <w:pPr>
              <w:spacing w:before="3" w:line="217" w:lineRule="auto"/>
              <w:ind w:left="65"/>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2"/>
                <w:sz w:val="22"/>
                <w:szCs w:val="22"/>
              </w:rPr>
              <w:t>牵头实施</w:t>
            </w:r>
            <w:r>
              <w:rPr>
                <w:rFonts w:ascii="黑体" w:hAnsi="黑体" w:eastAsia="黑体" w:cs="黑体"/>
                <w:spacing w:val="-7"/>
                <w:sz w:val="22"/>
                <w:szCs w:val="22"/>
              </w:rPr>
              <w:t>部门</w:t>
            </w:r>
          </w:p>
        </w:tc>
        <w:tc>
          <w:tcPr>
            <w:tcW w:w="437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1"/>
                <w:sz w:val="22"/>
                <w:szCs w:val="22"/>
              </w:rPr>
              <w:t>检查事项内容</w:t>
            </w:r>
          </w:p>
        </w:tc>
        <w:tc>
          <w:tcPr>
            <w:tcW w:w="941" w:type="dxa"/>
            <w:vAlign w:val="top"/>
          </w:tcPr>
          <w:p>
            <w:pPr>
              <w:spacing w:before="91" w:line="217" w:lineRule="auto"/>
              <w:jc w:val="center"/>
              <w:rPr>
                <w:rFonts w:hint="eastAsia" w:ascii="方正仿宋_GB2312" w:hAnsi="方正仿宋_GB2312" w:eastAsia="方正仿宋_GB2312" w:cs="方正仿宋_GB2312"/>
                <w:spacing w:val="-3"/>
                <w:sz w:val="24"/>
                <w:szCs w:val="24"/>
              </w:rPr>
            </w:pPr>
            <w:r>
              <w:rPr>
                <w:rFonts w:ascii="黑体" w:hAnsi="黑体" w:eastAsia="黑体" w:cs="黑体"/>
                <w:spacing w:val="-2"/>
                <w:sz w:val="22"/>
                <w:szCs w:val="22"/>
              </w:rPr>
              <w:t>参与部门</w:t>
            </w:r>
          </w:p>
        </w:tc>
        <w:tc>
          <w:tcPr>
            <w:tcW w:w="1916" w:type="dxa"/>
            <w:vAlign w:val="top"/>
          </w:tcPr>
          <w:p>
            <w:pPr>
              <w:spacing w:before="90" w:line="216" w:lineRule="auto"/>
              <w:ind w:left="17"/>
              <w:jc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1"/>
                <w:sz w:val="22"/>
                <w:szCs w:val="22"/>
              </w:rPr>
              <w:t>综合参与部门事项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trPr>
        <w:tc>
          <w:tcPr>
            <w:tcW w:w="294" w:type="dxa"/>
            <w:vAlign w:val="top"/>
          </w:tcPr>
          <w:p>
            <w:pPr>
              <w:spacing w:before="72" w:line="238"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w:t>
            </w:r>
          </w:p>
        </w:tc>
        <w:tc>
          <w:tcPr>
            <w:tcW w:w="151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对社会艺术水平考级机构的行政检查</w:t>
            </w:r>
          </w:p>
        </w:tc>
        <w:tc>
          <w:tcPr>
            <w:tcW w:w="1026"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lang w:val="en-US"/>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社会艺术水平考级机构（一般）</w:t>
            </w:r>
          </w:p>
        </w:tc>
        <w:tc>
          <w:tcPr>
            <w:tcW w:w="1032" w:type="dxa"/>
            <w:vAlign w:val="top"/>
          </w:tcPr>
          <w:p>
            <w:pPr>
              <w:spacing w:before="72" w:line="222" w:lineRule="auto"/>
              <w:ind w:left="342" w:right="216" w:hanging="10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8"/>
                <w:sz w:val="21"/>
                <w:szCs w:val="21"/>
              </w:rPr>
              <w:t>一般</w:t>
            </w:r>
          </w:p>
        </w:tc>
        <w:tc>
          <w:tcPr>
            <w:tcW w:w="1057" w:type="dxa"/>
            <w:vAlign w:val="top"/>
          </w:tcPr>
          <w:p>
            <w:pPr>
              <w:spacing w:before="72" w:line="216" w:lineRule="auto"/>
              <w:ind w:left="228" w:right="2" w:rightChars="0" w:hanging="218"/>
              <w:jc w:val="center"/>
              <w:rPr>
                <w:rFonts w:hint="eastAsia" w:ascii="方正仿宋_GB2312" w:hAnsi="方正仿宋_GB2312" w:eastAsia="方正仿宋_GB2312" w:cs="方正仿宋_GB2312"/>
                <w:spacing w:val="-4"/>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Align w:val="top"/>
          </w:tcPr>
          <w:p>
            <w:pPr>
              <w:spacing w:before="72" w:line="222" w:lineRule="auto"/>
              <w:ind w:left="17" w:right="222" w:firstLine="3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893" w:type="dxa"/>
            <w:vAlign w:val="top"/>
          </w:tcPr>
          <w:p>
            <w:pPr>
              <w:spacing w:before="3" w:line="217" w:lineRule="auto"/>
              <w:ind w:left="6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社会艺术水平考级机构考级简章发布、考前备案、聘任考官的执考行为、考后备案、主要负责人、办公地点变动备案、承办单位资格条件及合作协议、常设工作机构、专职人员和开考专业、考级内容等情况</w:t>
            </w:r>
          </w:p>
        </w:tc>
        <w:tc>
          <w:tcPr>
            <w:tcW w:w="941" w:type="dxa"/>
            <w:vAlign w:val="top"/>
          </w:tcPr>
          <w:p>
            <w:pPr>
              <w:spacing w:before="91" w:line="217"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市场监管部门</w:t>
            </w:r>
          </w:p>
        </w:tc>
        <w:tc>
          <w:tcPr>
            <w:tcW w:w="1916" w:type="dxa"/>
            <w:vAlign w:val="top"/>
          </w:tcPr>
          <w:p>
            <w:pPr>
              <w:spacing w:before="90" w:line="216" w:lineRule="auto"/>
              <w:ind w:left="1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对社会艺术水平考级机构的行政检查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294" w:type="dxa"/>
            <w:vMerge w:val="restart"/>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w:t>
            </w:r>
          </w:p>
        </w:tc>
        <w:tc>
          <w:tcPr>
            <w:tcW w:w="151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c>
          <w:tcPr>
            <w:tcW w:w="1026"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旅行社（一般）</w:t>
            </w:r>
          </w:p>
        </w:tc>
        <w:tc>
          <w:tcPr>
            <w:tcW w:w="1032"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8"/>
                <w:sz w:val="21"/>
                <w:szCs w:val="21"/>
              </w:rPr>
              <w:t>一般</w:t>
            </w:r>
          </w:p>
        </w:tc>
        <w:tc>
          <w:tcPr>
            <w:tcW w:w="1057" w:type="dxa"/>
            <w:vMerge w:val="restart"/>
            <w:vAlign w:val="top"/>
          </w:tcPr>
          <w:p>
            <w:pPr>
              <w:spacing w:before="72" w:line="216" w:lineRule="auto"/>
              <w:ind w:left="228" w:right="2" w:rightChars="0" w:hanging="218"/>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893"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对旅游经营者资质、旅游合同签订情况、质量保证金账户存入、增存、补足质量保证金情况、是否存在不合理低价游、强制购物等行为</w:t>
            </w:r>
          </w:p>
        </w:tc>
        <w:tc>
          <w:tcPr>
            <w:tcW w:w="941" w:type="dxa"/>
            <w:vAlign w:val="top"/>
          </w:tcPr>
          <w:p>
            <w:pPr>
              <w:spacing w:before="154" w:line="217" w:lineRule="auto"/>
              <w:rPr>
                <w:rFonts w:hint="eastAsia" w:ascii="方正仿宋_GB2312" w:hAnsi="方正仿宋_GB2312"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市场监管部门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294"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51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26"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3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57"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71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893"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437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941" w:type="dxa"/>
            <w:vAlign w:val="top"/>
          </w:tcPr>
          <w:p>
            <w:pPr>
              <w:spacing w:before="25" w:line="207" w:lineRule="auto"/>
              <w:ind w:left="38" w:right="3" w:hanging="21"/>
              <w:rPr>
                <w:rFonts w:hint="eastAsia" w:ascii="方正仿宋_GB2312" w:hAnsi="方正仿宋_GB2312"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交通运输部门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rPr>
        <w:tc>
          <w:tcPr>
            <w:tcW w:w="294" w:type="dxa"/>
            <w:vMerge w:val="continue"/>
            <w:vAlign w:val="top"/>
          </w:tcPr>
          <w:p>
            <w:pPr>
              <w:pStyle w:val="6"/>
              <w:rPr>
                <w:rFonts w:hint="eastAsia" w:ascii="方正仿宋_GB2312" w:hAnsi="方正仿宋_GB2312" w:eastAsia="方正仿宋_GB2312" w:cs="方正仿宋_GB2312"/>
                <w:sz w:val="21"/>
                <w:szCs w:val="21"/>
              </w:rPr>
            </w:pPr>
          </w:p>
        </w:tc>
        <w:tc>
          <w:tcPr>
            <w:tcW w:w="1512" w:type="dxa"/>
            <w:vMerge w:val="continue"/>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p>
        </w:tc>
        <w:tc>
          <w:tcPr>
            <w:tcW w:w="1026" w:type="dxa"/>
            <w:vMerge w:val="continue"/>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p>
        </w:tc>
        <w:tc>
          <w:tcPr>
            <w:tcW w:w="1032" w:type="dxa"/>
            <w:vMerge w:val="continue"/>
            <w:vAlign w:val="top"/>
          </w:tcPr>
          <w:p>
            <w:pP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p>
        </w:tc>
        <w:tc>
          <w:tcPr>
            <w:tcW w:w="1057" w:type="dxa"/>
            <w:vMerge w:val="continue"/>
            <w:vAlign w:val="top"/>
          </w:tcPr>
          <w:p>
            <w:pPr>
              <w:spacing w:before="72" w:line="216" w:lineRule="auto"/>
              <w:ind w:right="2" w:rightChars="0"/>
              <w:jc w:val="right"/>
              <w:rPr>
                <w:rFonts w:hint="eastAsia" w:ascii="方正仿宋_GB2312" w:hAnsi="方正仿宋_GB2312" w:eastAsia="方正仿宋_GB2312" w:cs="方正仿宋_GB2312"/>
                <w:spacing w:val="-4"/>
                <w:sz w:val="21"/>
                <w:szCs w:val="21"/>
              </w:rPr>
            </w:pPr>
          </w:p>
        </w:tc>
        <w:tc>
          <w:tcPr>
            <w:tcW w:w="712" w:type="dxa"/>
            <w:vMerge w:val="continue"/>
            <w:vAlign w:val="top"/>
          </w:tcPr>
          <w:p>
            <w:pPr>
              <w:rPr>
                <w:rFonts w:hint="eastAsia" w:ascii="方正仿宋_GB2312" w:hAnsi="方正仿宋_GB2312" w:eastAsia="方正仿宋_GB2312" w:cs="方正仿宋_GB2312"/>
                <w:spacing w:val="-17"/>
                <w:sz w:val="21"/>
                <w:szCs w:val="21"/>
              </w:rPr>
            </w:pPr>
          </w:p>
        </w:tc>
        <w:tc>
          <w:tcPr>
            <w:tcW w:w="893" w:type="dxa"/>
            <w:vMerge w:val="continue"/>
            <w:vAlign w:val="top"/>
          </w:tcPr>
          <w:p>
            <w:pP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p>
        </w:tc>
        <w:tc>
          <w:tcPr>
            <w:tcW w:w="4372" w:type="dxa"/>
            <w:vMerge w:val="continue"/>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p>
        </w:tc>
        <w:tc>
          <w:tcPr>
            <w:tcW w:w="941" w:type="dxa"/>
            <w:vAlign w:val="top"/>
          </w:tcPr>
          <w:p>
            <w:pPr>
              <w:spacing w:before="154" w:line="217" w:lineRule="auto"/>
              <w:rPr>
                <w:rFonts w:hint="eastAsia" w:ascii="方正仿宋_GB2312" w:hAnsi="方正仿宋_GB2312"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人力资源与社会保障部门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0" w:hRule="atLeast"/>
        </w:trPr>
        <w:tc>
          <w:tcPr>
            <w:tcW w:w="294" w:type="dxa"/>
            <w:vMerge w:val="restart"/>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w:t>
            </w:r>
          </w:p>
        </w:tc>
        <w:tc>
          <w:tcPr>
            <w:tcW w:w="151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c>
          <w:tcPr>
            <w:tcW w:w="1026"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演出场所（一般）</w:t>
            </w:r>
          </w:p>
        </w:tc>
        <w:tc>
          <w:tcPr>
            <w:tcW w:w="1032"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8"/>
                <w:sz w:val="21"/>
                <w:szCs w:val="21"/>
              </w:rPr>
              <w:t>一般</w:t>
            </w:r>
          </w:p>
        </w:tc>
        <w:tc>
          <w:tcPr>
            <w:tcW w:w="1057" w:type="dxa"/>
            <w:vMerge w:val="restart"/>
            <w:vAlign w:val="top"/>
          </w:tcPr>
          <w:p>
            <w:pPr>
              <w:spacing w:before="72" w:line="216" w:lineRule="auto"/>
              <w:ind w:left="228" w:right="2" w:rightChars="0" w:hanging="218"/>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lang w:val="en-US" w:eastAsia="zh-CN"/>
              </w:rPr>
              <w:t>专项</w:t>
            </w:r>
          </w:p>
        </w:tc>
        <w:tc>
          <w:tcPr>
            <w:tcW w:w="893"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1、审批情况2、资质3、是否存在禁止内容4、演出人员是否符合要求</w:t>
            </w:r>
          </w:p>
        </w:tc>
        <w:tc>
          <w:tcPr>
            <w:tcW w:w="941" w:type="dxa"/>
            <w:vAlign w:val="top"/>
          </w:tcPr>
          <w:p>
            <w:pPr>
              <w:spacing w:before="154" w:line="217" w:lineRule="auto"/>
              <w:ind w:left="377"/>
              <w:rPr>
                <w:rFonts w:hint="eastAsia" w:ascii="方正仿宋_GB2312" w:hAnsi="方正仿宋_GB2312"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公安部门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0" w:hRule="atLeast"/>
        </w:trPr>
        <w:tc>
          <w:tcPr>
            <w:tcW w:w="294"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51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26"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3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57"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71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893"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437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941" w:type="dxa"/>
            <w:vAlign w:val="top"/>
          </w:tcPr>
          <w:p>
            <w:pPr>
              <w:spacing w:before="25" w:line="207" w:lineRule="auto"/>
              <w:ind w:left="38" w:right="3" w:hanging="21"/>
              <w:rPr>
                <w:rFonts w:hint="eastAsia" w:ascii="方正仿宋_GB2312" w:hAnsi="方正仿宋_GB2312"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消防救援部门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9" w:hRule="atLeast"/>
        </w:trPr>
        <w:tc>
          <w:tcPr>
            <w:tcW w:w="294" w:type="dxa"/>
            <w:vMerge w:val="restart"/>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w:t>
            </w:r>
          </w:p>
        </w:tc>
        <w:tc>
          <w:tcPr>
            <w:tcW w:w="151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对互联网上网服务营业场所经营单位从事互联网上网服务经营活动的行政检查</w:t>
            </w:r>
          </w:p>
        </w:tc>
        <w:tc>
          <w:tcPr>
            <w:tcW w:w="1026"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互联网上网服务营业场所经营单位（一般）</w:t>
            </w:r>
          </w:p>
        </w:tc>
        <w:tc>
          <w:tcPr>
            <w:tcW w:w="1032"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8"/>
                <w:sz w:val="21"/>
                <w:szCs w:val="21"/>
              </w:rPr>
              <w:t>一般</w:t>
            </w:r>
          </w:p>
        </w:tc>
        <w:tc>
          <w:tcPr>
            <w:tcW w:w="1057" w:type="dxa"/>
            <w:vMerge w:val="restart"/>
            <w:vAlign w:val="top"/>
          </w:tcPr>
          <w:p>
            <w:pPr>
              <w:spacing w:before="72" w:line="216" w:lineRule="auto"/>
              <w:ind w:left="228" w:right="2" w:rightChars="0" w:hanging="218"/>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893"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经营资质2、是否接纳未成年人，是否张贴未成年人禁入标志3、是否存在涂改、出租、出借或者以其他方式转让《网络文化经营许可证》4、是否按规定核对、登记上网消费者的有效身份证件或者记录有关上网信息5、是否存在擅自停止实施经营管理技术措施6、是否存在变更有关信息或者终止经营活动，未向文化行政部门、公安机关办理有关手续或者备案</w:t>
            </w:r>
          </w:p>
        </w:tc>
        <w:tc>
          <w:tcPr>
            <w:tcW w:w="941" w:type="dxa"/>
            <w:vAlign w:val="top"/>
          </w:tcPr>
          <w:p>
            <w:pPr>
              <w:spacing w:before="154" w:line="217" w:lineRule="auto"/>
              <w:ind w:left="377" w:leftChars="0"/>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公安部门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对互联网上网服务营业场所经营单位从事互联网上网服务经营活动的行政检查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9" w:hRule="atLeast"/>
        </w:trPr>
        <w:tc>
          <w:tcPr>
            <w:tcW w:w="294"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51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26"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3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57"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71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893"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437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941" w:type="dxa"/>
            <w:vAlign w:val="top"/>
          </w:tcPr>
          <w:p>
            <w:pPr>
              <w:spacing w:before="25" w:line="207" w:lineRule="auto"/>
              <w:ind w:left="38" w:leftChars="0" w:right="3" w:rightChars="0" w:hanging="21" w:firstLineChars="0"/>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消防救援部门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对互联网上网服务营业场所经营单位从事互联网上网服务经营活动的行政检查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0" w:hRule="atLeast"/>
        </w:trPr>
        <w:tc>
          <w:tcPr>
            <w:tcW w:w="294" w:type="dxa"/>
            <w:vMerge w:val="restart"/>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w:t>
            </w:r>
          </w:p>
        </w:tc>
        <w:tc>
          <w:tcPr>
            <w:tcW w:w="151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对娱乐场所从事娱乐场所经营活动的行政检查</w:t>
            </w:r>
          </w:p>
        </w:tc>
        <w:tc>
          <w:tcPr>
            <w:tcW w:w="1026"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娱乐场所经营单位（一般）</w:t>
            </w:r>
          </w:p>
        </w:tc>
        <w:tc>
          <w:tcPr>
            <w:tcW w:w="1032"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一般</w:t>
            </w:r>
          </w:p>
        </w:tc>
        <w:tc>
          <w:tcPr>
            <w:tcW w:w="1057" w:type="dxa"/>
            <w:vMerge w:val="restart"/>
            <w:vAlign w:val="top"/>
          </w:tcPr>
          <w:p>
            <w:pPr>
              <w:spacing w:before="72" w:line="216" w:lineRule="auto"/>
              <w:ind w:left="228" w:right="2" w:rightChars="0" w:hanging="218"/>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893" w:type="dxa"/>
            <w:vMerge w:val="restart"/>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未按照《娱乐场所管理条例》规定建立从业人员名簿、营业日志行为或者发现违法犯罪行为未按照《娱乐场所管理条例》规定报告2、未按《娱乐场所管理条例》规定悬挂警示标志、未成年人禁入或者限入标志3、未在显著位置悬挂娱乐经营许可证、未成年人禁入或者限入标志,标志未注明“12318”文化市场举报电话4、歌曲点播系统与境外的曲库联接5、是否取得娱乐经营许可证6、变更有关事项，未按照《娱乐场所管理条例》规定申请重新核发娱乐经营许可证7、接纳未成年人8、禁止营业时间内营业</w:t>
            </w:r>
          </w:p>
        </w:tc>
        <w:tc>
          <w:tcPr>
            <w:tcW w:w="941" w:type="dxa"/>
            <w:vAlign w:val="top"/>
          </w:tcPr>
          <w:p>
            <w:pPr>
              <w:spacing w:before="154" w:line="217" w:lineRule="auto"/>
              <w:ind w:left="377" w:leftChars="0"/>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公安部门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对娱乐场所从事娱乐场所经营活动的行政检查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9" w:hRule="atLeast"/>
        </w:trPr>
        <w:tc>
          <w:tcPr>
            <w:tcW w:w="294"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51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26"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3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1057"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712"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893" w:type="dxa"/>
            <w:vMerge w:val="continue"/>
            <w:vAlign w:val="top"/>
          </w:tcPr>
          <w:p>
            <w:pPr>
              <w:spacing w:before="25" w:line="207" w:lineRule="auto"/>
              <w:ind w:left="38" w:right="3" w:hanging="21"/>
              <w:rPr>
                <w:rFonts w:hint="eastAsia" w:ascii="方正仿宋_GB2312" w:hAnsi="方正仿宋_GB2312" w:eastAsia="方正仿宋_GB2312" w:cs="方正仿宋_GB2312"/>
                <w:sz w:val="21"/>
                <w:szCs w:val="21"/>
              </w:rPr>
            </w:pPr>
          </w:p>
        </w:tc>
        <w:tc>
          <w:tcPr>
            <w:tcW w:w="4372" w:type="dxa"/>
            <w:vMerge w:val="continue"/>
            <w:vAlign w:val="center"/>
          </w:tcPr>
          <w:p>
            <w:pPr>
              <w:spacing w:before="25" w:line="207" w:lineRule="auto"/>
              <w:ind w:left="38" w:right="3" w:hanging="21"/>
              <w:rPr>
                <w:rFonts w:hint="eastAsia" w:ascii="方正仿宋_GB2312" w:hAnsi="方正仿宋_GB2312" w:eastAsia="方正仿宋_GB2312" w:cs="方正仿宋_GB2312"/>
                <w:sz w:val="21"/>
                <w:szCs w:val="21"/>
              </w:rPr>
            </w:pPr>
          </w:p>
        </w:tc>
        <w:tc>
          <w:tcPr>
            <w:tcW w:w="941" w:type="dxa"/>
            <w:vAlign w:val="top"/>
          </w:tcPr>
          <w:p>
            <w:pPr>
              <w:spacing w:before="25" w:line="207" w:lineRule="auto"/>
              <w:ind w:left="38" w:leftChars="0" w:right="3" w:rightChars="0" w:hanging="21" w:firstLineChars="0"/>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消防救援部门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对娱乐场所从事娱乐场所经营活动的行政检查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trPr>
        <w:tc>
          <w:tcPr>
            <w:tcW w:w="294" w:type="dxa"/>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6</w:t>
            </w:r>
          </w:p>
        </w:tc>
        <w:tc>
          <w:tcPr>
            <w:tcW w:w="151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对出版物发行单位的行政检查</w:t>
            </w:r>
          </w:p>
        </w:tc>
        <w:tc>
          <w:tcPr>
            <w:tcW w:w="1026"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出版物经营单位（一般）</w:t>
            </w:r>
          </w:p>
        </w:tc>
        <w:tc>
          <w:tcPr>
            <w:tcW w:w="1032"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一般</w:t>
            </w:r>
          </w:p>
        </w:tc>
        <w:tc>
          <w:tcPr>
            <w:tcW w:w="1057" w:type="dxa"/>
            <w:vAlign w:val="top"/>
          </w:tcPr>
          <w:p>
            <w:pPr>
              <w:spacing w:before="72" w:line="216" w:lineRule="auto"/>
              <w:ind w:left="228" w:right="2" w:rightChars="0" w:hanging="218"/>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893" w:type="dxa"/>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出版单位执行各项管理规定的情况、资质、内容质量、版权信息、进货渠道和清单</w:t>
            </w:r>
          </w:p>
        </w:tc>
        <w:tc>
          <w:tcPr>
            <w:tcW w:w="941" w:type="dxa"/>
            <w:vAlign w:val="top"/>
          </w:tcPr>
          <w:p>
            <w:pPr>
              <w:spacing w:before="154" w:line="217" w:lineRule="auto"/>
              <w:ind w:left="377"/>
              <w:rPr>
                <w:rFonts w:hint="eastAsia" w:ascii="方正仿宋_GB2312" w:hAnsi="方正仿宋_GB2312"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版权部门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对出版物发行单位的行政检查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trPr>
        <w:tc>
          <w:tcPr>
            <w:tcW w:w="294" w:type="dxa"/>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7</w:t>
            </w:r>
          </w:p>
        </w:tc>
        <w:tc>
          <w:tcPr>
            <w:tcW w:w="151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对印刷业经营者守法经营情况的行政检查</w:t>
            </w:r>
          </w:p>
        </w:tc>
        <w:tc>
          <w:tcPr>
            <w:tcW w:w="1026"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印刷业经营者（一般）</w:t>
            </w:r>
          </w:p>
        </w:tc>
        <w:tc>
          <w:tcPr>
            <w:tcW w:w="1032"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一般</w:t>
            </w:r>
          </w:p>
        </w:tc>
        <w:tc>
          <w:tcPr>
            <w:tcW w:w="1057" w:type="dxa"/>
            <w:vAlign w:val="top"/>
          </w:tcPr>
          <w:p>
            <w:pPr>
              <w:spacing w:before="72" w:line="216" w:lineRule="auto"/>
              <w:ind w:left="228" w:right="2" w:rightChars="0" w:hanging="218"/>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893" w:type="dxa"/>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1、资质2、各项制度落实情况3、印刷内容审核情况</w:t>
            </w:r>
          </w:p>
        </w:tc>
        <w:tc>
          <w:tcPr>
            <w:tcW w:w="941" w:type="dxa"/>
            <w:vAlign w:val="top"/>
          </w:tcPr>
          <w:p>
            <w:pPr>
              <w:spacing w:before="154" w:line="217" w:lineRule="auto"/>
              <w:ind w:left="377"/>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版权部门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对印刷业经营者守法经营情况的行政检查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trPr>
        <w:tc>
          <w:tcPr>
            <w:tcW w:w="294" w:type="dxa"/>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8</w:t>
            </w:r>
          </w:p>
        </w:tc>
        <w:tc>
          <w:tcPr>
            <w:tcW w:w="151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对经营高危险性体育项目单位的行政检查</w:t>
            </w:r>
          </w:p>
        </w:tc>
        <w:tc>
          <w:tcPr>
            <w:tcW w:w="1026"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lang w:val="en-US"/>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经营高危险性体育项目单位（重点）</w:t>
            </w:r>
          </w:p>
        </w:tc>
        <w:tc>
          <w:tcPr>
            <w:tcW w:w="1032"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w:t>
            </w:r>
          </w:p>
        </w:tc>
        <w:tc>
          <w:tcPr>
            <w:tcW w:w="1057" w:type="dxa"/>
            <w:vAlign w:val="top"/>
          </w:tcPr>
          <w:p>
            <w:pPr>
              <w:spacing w:before="72" w:line="216" w:lineRule="auto"/>
              <w:ind w:right="2" w:rightChars="0"/>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现场检查</w:t>
            </w:r>
          </w:p>
        </w:tc>
        <w:tc>
          <w:tcPr>
            <w:tcW w:w="712" w:type="dxa"/>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lang w:val="en-US" w:eastAsia="zh-CN"/>
              </w:rPr>
              <w:t>专项</w:t>
            </w:r>
          </w:p>
        </w:tc>
        <w:tc>
          <w:tcPr>
            <w:tcW w:w="893" w:type="dxa"/>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1、资质2、各项制度落实情况</w:t>
            </w:r>
          </w:p>
        </w:tc>
        <w:tc>
          <w:tcPr>
            <w:tcW w:w="941" w:type="dxa"/>
            <w:vAlign w:val="top"/>
          </w:tcPr>
          <w:p>
            <w:pPr>
              <w:spacing w:before="154" w:line="217" w:lineRule="auto"/>
              <w:jc w:val="center"/>
              <w:rPr>
                <w:rFonts w:hint="eastAsia" w:ascii="方正仿宋_GB2312" w:hAnsi="方正仿宋_GB2312"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医疗健康部门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对经营高危险性体育项目单位的行政检查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7" w:hRule="atLeast"/>
        </w:trPr>
        <w:tc>
          <w:tcPr>
            <w:tcW w:w="294" w:type="dxa"/>
            <w:vAlign w:val="top"/>
          </w:tcPr>
          <w:p>
            <w:pPr>
              <w:pStyle w:val="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9</w:t>
            </w:r>
          </w:p>
        </w:tc>
        <w:tc>
          <w:tcPr>
            <w:tcW w:w="151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对游艺娱乐场所的行政检查</w:t>
            </w:r>
          </w:p>
        </w:tc>
        <w:tc>
          <w:tcPr>
            <w:tcW w:w="1026"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娱乐场所经营单位（一般）</w:t>
            </w:r>
          </w:p>
        </w:tc>
        <w:tc>
          <w:tcPr>
            <w:tcW w:w="1032"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一般</w:t>
            </w:r>
          </w:p>
        </w:tc>
        <w:tc>
          <w:tcPr>
            <w:tcW w:w="1057" w:type="dxa"/>
            <w:vAlign w:val="top"/>
          </w:tcPr>
          <w:p>
            <w:pPr>
              <w:spacing w:before="72" w:line="216" w:lineRule="auto"/>
              <w:ind w:left="228" w:right="2" w:rightChars="0" w:hanging="218"/>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712" w:type="dxa"/>
            <w:vAlign w:val="top"/>
          </w:tcPr>
          <w:p>
            <w:pP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pacing w:val="-17"/>
                <w:sz w:val="21"/>
                <w:szCs w:val="21"/>
                <w:lang w:val="en-US" w:eastAsia="zh-CN"/>
              </w:rPr>
              <w:t>专项</w:t>
            </w:r>
          </w:p>
        </w:tc>
        <w:tc>
          <w:tcPr>
            <w:tcW w:w="893" w:type="dxa"/>
            <w:vAlign w:val="top"/>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4372"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1、设置的电子游戏机在国家法定节假日外向未成年人提供2、未经文化主管部门内容核查的游戏游艺设备3、取得娱乐经营许可证的情况</w:t>
            </w:r>
          </w:p>
        </w:tc>
        <w:tc>
          <w:tcPr>
            <w:tcW w:w="941" w:type="dxa"/>
            <w:vAlign w:val="top"/>
          </w:tcPr>
          <w:p>
            <w:pPr>
              <w:spacing w:before="154" w:line="217" w:lineRule="auto"/>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市场监管部门</w:t>
            </w:r>
          </w:p>
        </w:tc>
        <w:tc>
          <w:tcPr>
            <w:tcW w:w="1916" w:type="dxa"/>
            <w:vAlign w:val="top"/>
          </w:tcPr>
          <w:p>
            <w:pPr>
              <w:spacing w:before="25" w:line="207" w:lineRule="auto"/>
              <w:ind w:left="38" w:right="3" w:hanging="21"/>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对游艺娱乐场所的行政检查</w:t>
            </w:r>
          </w:p>
        </w:tc>
      </w:tr>
    </w:tbl>
    <w:p>
      <w:pPr>
        <w:jc w:val="both"/>
        <w:rPr>
          <w:rFonts w:hint="eastAsia" w:ascii="方正仿宋_GB2312" w:hAnsi="方正仿宋_GB2312" w:eastAsia="方正仿宋_GB2312" w:cs="方正仿宋_GB2312"/>
          <w:b/>
          <w:bCs/>
          <w:sz w:val="21"/>
          <w:szCs w:val="21"/>
          <w:lang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9B6019-054D-4EF2-A84A-173F3234D6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52A97B-6CA9-4FAC-9675-700F3C5DE80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5A5E5B07-EE23-4BDB-B27C-474530F417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7217F"/>
    <w:rsid w:val="0947217F"/>
    <w:rsid w:val="0B980E5C"/>
    <w:rsid w:val="0C730B0F"/>
    <w:rsid w:val="0D9F3171"/>
    <w:rsid w:val="2C606819"/>
    <w:rsid w:val="42DF06F2"/>
    <w:rsid w:val="5E73408D"/>
    <w:rsid w:val="6C7117FD"/>
    <w:rsid w:val="6EE0211A"/>
    <w:rsid w:val="75E838CB"/>
    <w:rsid w:val="7A26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2025-06-04T06:48:00Z</dcterms:created>
  <dc:creator>张清清</dc:creator>
  <cp:lastModifiedBy>张清清</cp:lastModifiedBy>
  <dcterms:modified xsi:type="dcterms:W3CDTF">2025-06-04T06:49:44Z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DF17F26E852B46F6841240EDFF86C0E2</vt:lpwstr>
  </property>
</Properties>
</file>