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95" w:line="446" w:lineRule="exact"/>
        <w:jc w:val="left"/>
        <w:outlineLvl w:val="0"/>
        <w:rPr>
          <w:rFonts w:hint="default" w:ascii="微软雅黑" w:hAnsi="微软雅黑" w:eastAsia="微软雅黑" w:cs="微软雅黑"/>
          <w:spacing w:val="3"/>
          <w:position w:val="-2"/>
          <w:sz w:val="44"/>
          <w:szCs w:val="44"/>
          <w:lang w:val="en-US" w:eastAsia="zh-CN"/>
        </w:rPr>
      </w:pPr>
      <w:r>
        <w:rPr>
          <w:rFonts w:hint="eastAsia" w:ascii="微软雅黑" w:hAnsi="微软雅黑" w:eastAsia="微软雅黑" w:cs="微软雅黑"/>
          <w:spacing w:val="3"/>
          <w:position w:val="-2"/>
          <w:sz w:val="44"/>
          <w:szCs w:val="44"/>
          <w:lang w:val="en-US" w:eastAsia="zh-CN"/>
        </w:rPr>
        <w:t>附件3</w:t>
      </w:r>
    </w:p>
    <w:p>
      <w:pPr>
        <w:spacing w:before="295" w:line="446" w:lineRule="exact"/>
        <w:jc w:val="center"/>
        <w:outlineLvl w:val="0"/>
        <w:rPr>
          <w:rFonts w:hint="eastAsia" w:ascii="微软雅黑" w:hAnsi="微软雅黑" w:eastAsia="微软雅黑" w:cs="微软雅黑"/>
          <w:spacing w:val="3"/>
          <w:position w:val="-2"/>
          <w:sz w:val="44"/>
          <w:szCs w:val="44"/>
          <w:lang w:val="en-US" w:eastAsia="zh-CN"/>
        </w:rPr>
      </w:pPr>
      <w:bookmarkStart w:id="0" w:name="OLE_LINK1"/>
      <w:r>
        <w:rPr>
          <w:rFonts w:ascii="微软雅黑" w:hAnsi="微软雅黑" w:eastAsia="微软雅黑" w:cs="微软雅黑"/>
          <w:spacing w:val="3"/>
          <w:position w:val="-2"/>
          <w:sz w:val="44"/>
          <w:szCs w:val="44"/>
        </w:rPr>
        <w:t>旺苍县</w:t>
      </w:r>
      <w:r>
        <w:rPr>
          <w:rFonts w:hint="eastAsia" w:ascii="微软雅黑" w:hAnsi="微软雅黑" w:eastAsia="微软雅黑" w:cs="微软雅黑"/>
          <w:spacing w:val="3"/>
          <w:position w:val="-2"/>
          <w:sz w:val="44"/>
          <w:szCs w:val="44"/>
          <w:lang w:val="en-US" w:eastAsia="zh-CN"/>
        </w:rPr>
        <w:t>文化广播电视体育和旅游局</w:t>
      </w:r>
    </w:p>
    <w:p>
      <w:pPr>
        <w:spacing w:before="295" w:line="446" w:lineRule="exact"/>
        <w:jc w:val="center"/>
        <w:outlineLvl w:val="0"/>
        <w:rPr>
          <w:rFonts w:ascii="微软雅黑" w:hAnsi="微软雅黑" w:eastAsia="微软雅黑" w:cs="微软雅黑"/>
          <w:spacing w:val="3"/>
          <w:position w:val="-2"/>
          <w:sz w:val="44"/>
          <w:szCs w:val="44"/>
        </w:rPr>
      </w:pPr>
      <w:bookmarkStart w:id="2" w:name="_GoBack"/>
      <w:bookmarkStart w:id="1" w:name="OLE_LINK2"/>
      <w:r>
        <w:rPr>
          <w:rFonts w:ascii="微软雅黑" w:hAnsi="微软雅黑" w:eastAsia="微软雅黑" w:cs="微软雅黑"/>
          <w:spacing w:val="3"/>
          <w:position w:val="-2"/>
          <w:sz w:val="44"/>
          <w:szCs w:val="44"/>
        </w:rPr>
        <w:t>2025年涉企行政执法检查计划</w:t>
      </w:r>
      <w:bookmarkEnd w:id="0"/>
      <w:bookmarkEnd w:id="1"/>
    </w:p>
    <w:bookmarkEnd w:id="2"/>
    <w:p>
      <w:pPr>
        <w:pStyle w:val="2"/>
        <w:spacing w:before="111" w:line="206" w:lineRule="auto"/>
        <w:rPr>
          <w:rFonts w:ascii="微软雅黑" w:hAnsi="微软雅黑" w:eastAsia="微软雅黑" w:cs="微软雅黑"/>
          <w:spacing w:val="3"/>
          <w:position w:val="-2"/>
          <w:sz w:val="44"/>
          <w:szCs w:val="44"/>
        </w:rPr>
      </w:pPr>
      <w:r>
        <w:rPr>
          <w:spacing w:val="-2"/>
          <w:sz w:val="24"/>
          <w:szCs w:val="24"/>
        </w:rPr>
        <w:t>填报单位：</w:t>
      </w:r>
      <w:r>
        <w:rPr>
          <w:rFonts w:hint="eastAsia"/>
          <w:spacing w:val="-2"/>
          <w:sz w:val="24"/>
          <w:szCs w:val="24"/>
          <w:lang w:val="en-US" w:eastAsia="zh-CN"/>
        </w:rPr>
        <w:t>旺苍县文化广播电视体育和旅游局</w:t>
      </w:r>
    </w:p>
    <w:tbl>
      <w:tblPr>
        <w:tblStyle w:val="5"/>
        <w:tblW w:w="13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7"/>
        <w:gridCol w:w="1374"/>
        <w:gridCol w:w="1099"/>
        <w:gridCol w:w="561"/>
        <w:gridCol w:w="724"/>
        <w:gridCol w:w="860"/>
        <w:gridCol w:w="815"/>
        <w:gridCol w:w="527"/>
        <w:gridCol w:w="1167"/>
        <w:gridCol w:w="3057"/>
        <w:gridCol w:w="1356"/>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Align w:val="top"/>
          </w:tcPr>
          <w:p>
            <w:pPr>
              <w:spacing w:before="72" w:line="238" w:lineRule="auto"/>
              <w:ind w:left="262" w:leftChars="0"/>
              <w:jc w:val="cente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序号</w:t>
            </w:r>
          </w:p>
        </w:tc>
        <w:tc>
          <w:tcPr>
            <w:tcW w:w="1374"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24"/>
                <w:szCs w:val="24"/>
                <w:u w:val="none"/>
                <w:lang w:val="en-US" w:eastAsia="zh-CN" w:bidi="ar"/>
              </w:rPr>
            </w:pPr>
            <w:r>
              <w:rPr>
                <w:rFonts w:ascii="黑体" w:hAnsi="黑体" w:eastAsia="黑体" w:cs="黑体"/>
                <w:spacing w:val="-2"/>
                <w:sz w:val="22"/>
                <w:szCs w:val="22"/>
              </w:rPr>
              <w:t>检查事项</w:t>
            </w:r>
          </w:p>
        </w:tc>
        <w:tc>
          <w:tcPr>
            <w:tcW w:w="1099"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24"/>
                <w:szCs w:val="24"/>
                <w:u w:val="none"/>
                <w:lang w:val="en-US" w:eastAsia="zh-CN" w:bidi="ar"/>
              </w:rPr>
            </w:pPr>
            <w:r>
              <w:rPr>
                <w:rFonts w:ascii="黑体" w:hAnsi="黑体" w:eastAsia="黑体" w:cs="黑体"/>
                <w:spacing w:val="-3"/>
                <w:sz w:val="22"/>
                <w:szCs w:val="22"/>
              </w:rPr>
              <w:t>检查对象</w:t>
            </w:r>
          </w:p>
        </w:tc>
        <w:tc>
          <w:tcPr>
            <w:tcW w:w="561" w:type="dxa"/>
            <w:vAlign w:val="top"/>
          </w:tcPr>
          <w:p>
            <w:pPr>
              <w:spacing w:before="71" w:line="218" w:lineRule="auto"/>
              <w:jc w:val="both"/>
              <w:rPr>
                <w:rFonts w:hint="eastAsia" w:ascii="方正仿宋_GB2312" w:hAnsi="方正仿宋_GB2312" w:eastAsia="方正仿宋_GB2312" w:cs="方正仿宋_GB2312"/>
                <w:spacing w:val="-2"/>
                <w:sz w:val="24"/>
                <w:szCs w:val="24"/>
              </w:rPr>
            </w:pPr>
            <w:r>
              <w:rPr>
                <w:rFonts w:ascii="黑体" w:hAnsi="黑体" w:eastAsia="黑体" w:cs="黑体"/>
                <w:spacing w:val="-2"/>
                <w:sz w:val="22"/>
                <w:szCs w:val="22"/>
              </w:rPr>
              <w:t>检查频</w:t>
            </w:r>
            <w:r>
              <w:rPr>
                <w:rFonts w:ascii="黑体" w:hAnsi="黑体" w:eastAsia="黑体" w:cs="黑体"/>
                <w:sz w:val="22"/>
                <w:szCs w:val="22"/>
              </w:rPr>
              <w:t xml:space="preserve"> 次</w:t>
            </w:r>
          </w:p>
        </w:tc>
        <w:tc>
          <w:tcPr>
            <w:tcW w:w="724" w:type="dxa"/>
            <w:vAlign w:val="top"/>
          </w:tcPr>
          <w:p>
            <w:pPr>
              <w:spacing w:line="218" w:lineRule="auto"/>
              <w:ind w:left="345"/>
              <w:jc w:val="center"/>
              <w:rPr>
                <w:rFonts w:hint="eastAsia" w:ascii="方正仿宋_GB2312" w:hAnsi="方正仿宋_GB2312" w:eastAsia="方正仿宋_GB2312" w:cs="方正仿宋_GB2312"/>
                <w:spacing w:val="-14"/>
                <w:sz w:val="24"/>
                <w:szCs w:val="24"/>
                <w:lang w:val="en-US" w:eastAsia="zh-CN"/>
              </w:rPr>
            </w:pPr>
            <w:r>
              <w:rPr>
                <w:rFonts w:ascii="黑体" w:hAnsi="黑体" w:eastAsia="黑体" w:cs="黑体"/>
                <w:spacing w:val="-1"/>
                <w:sz w:val="22"/>
                <w:szCs w:val="22"/>
              </w:rPr>
              <w:t>检查比例</w:t>
            </w:r>
          </w:p>
        </w:tc>
        <w:tc>
          <w:tcPr>
            <w:tcW w:w="860" w:type="dxa"/>
            <w:vAlign w:val="top"/>
          </w:tcPr>
          <w:p>
            <w:pPr>
              <w:spacing w:before="72" w:line="216" w:lineRule="auto"/>
              <w:jc w:val="center"/>
              <w:rPr>
                <w:rFonts w:hint="eastAsia" w:ascii="方正仿宋_GB2312" w:hAnsi="方正仿宋_GB2312" w:eastAsia="方正仿宋_GB2312" w:cs="方正仿宋_GB2312"/>
                <w:spacing w:val="-4"/>
                <w:sz w:val="24"/>
                <w:szCs w:val="24"/>
              </w:rPr>
            </w:pPr>
            <w:r>
              <w:rPr>
                <w:rFonts w:ascii="黑体" w:hAnsi="黑体" w:eastAsia="黑体" w:cs="黑体"/>
                <w:spacing w:val="-2"/>
                <w:sz w:val="22"/>
                <w:szCs w:val="22"/>
              </w:rPr>
              <w:t>检查方式</w:t>
            </w:r>
          </w:p>
        </w:tc>
        <w:tc>
          <w:tcPr>
            <w:tcW w:w="815" w:type="dxa"/>
            <w:vAlign w:val="top"/>
          </w:tcPr>
          <w:p>
            <w:pPr>
              <w:spacing w:before="72" w:line="222" w:lineRule="auto"/>
              <w:ind w:left="17" w:leftChars="0" w:right="222" w:rightChars="0" w:firstLine="34" w:firstLineChars="0"/>
              <w:jc w:val="center"/>
              <w:rPr>
                <w:rFonts w:hint="eastAsia" w:ascii="方正仿宋_GB2312" w:hAnsi="方正仿宋_GB2312" w:eastAsia="方正仿宋_GB2312" w:cs="方正仿宋_GB2312"/>
                <w:spacing w:val="-17"/>
                <w:sz w:val="24"/>
                <w:szCs w:val="24"/>
              </w:rPr>
            </w:pPr>
            <w:r>
              <w:rPr>
                <w:rFonts w:ascii="黑体" w:hAnsi="黑体" w:eastAsia="黑体" w:cs="黑体"/>
                <w:spacing w:val="-3"/>
                <w:sz w:val="22"/>
                <w:szCs w:val="22"/>
              </w:rPr>
              <w:t>计划类型</w:t>
            </w:r>
          </w:p>
        </w:tc>
        <w:tc>
          <w:tcPr>
            <w:tcW w:w="527" w:type="dxa"/>
            <w:vAlign w:val="top"/>
          </w:tcPr>
          <w:p>
            <w:pPr>
              <w:spacing w:before="72" w:line="219" w:lineRule="auto"/>
              <w:jc w:val="center"/>
              <w:rPr>
                <w:rFonts w:hint="eastAsia" w:ascii="方正仿宋_GB2312" w:hAnsi="方正仿宋_GB2312" w:eastAsia="方正仿宋_GB2312" w:cs="方正仿宋_GB2312"/>
                <w:spacing w:val="-14"/>
                <w:sz w:val="24"/>
                <w:szCs w:val="24"/>
              </w:rPr>
            </w:pPr>
            <w:r>
              <w:rPr>
                <w:rFonts w:ascii="黑体" w:hAnsi="黑体" w:eastAsia="黑体" w:cs="黑体"/>
                <w:spacing w:val="-2"/>
                <w:sz w:val="22"/>
                <w:szCs w:val="22"/>
              </w:rPr>
              <w:t>检查完成</w:t>
            </w:r>
            <w:r>
              <w:rPr>
                <w:rFonts w:ascii="黑体" w:hAnsi="黑体" w:eastAsia="黑体" w:cs="黑体"/>
                <w:spacing w:val="-8"/>
                <w:sz w:val="22"/>
                <w:szCs w:val="22"/>
              </w:rPr>
              <w:t>时限</w:t>
            </w:r>
          </w:p>
        </w:tc>
        <w:tc>
          <w:tcPr>
            <w:tcW w:w="1167" w:type="dxa"/>
            <w:vAlign w:val="top"/>
          </w:tcPr>
          <w:p>
            <w:pPr>
              <w:spacing w:before="3" w:line="217" w:lineRule="auto"/>
              <w:ind w:left="66"/>
              <w:jc w:val="center"/>
              <w:rPr>
                <w:rFonts w:hint="eastAsia" w:ascii="方正仿宋_GB2312" w:hAnsi="方正仿宋_GB2312" w:eastAsia="方正仿宋_GB2312" w:cs="方正仿宋_GB2312"/>
                <w:i w:val="0"/>
                <w:iCs w:val="0"/>
                <w:snapToGrid w:val="0"/>
                <w:color w:val="000000"/>
                <w:kern w:val="0"/>
                <w:sz w:val="24"/>
                <w:szCs w:val="24"/>
                <w:u w:val="none"/>
                <w:lang w:val="en-US" w:eastAsia="zh-CN" w:bidi="ar"/>
              </w:rPr>
            </w:pPr>
            <w:r>
              <w:rPr>
                <w:rFonts w:ascii="黑体" w:hAnsi="黑体" w:eastAsia="黑体" w:cs="黑体"/>
                <w:spacing w:val="-2"/>
                <w:sz w:val="22"/>
                <w:szCs w:val="22"/>
              </w:rPr>
              <w:t>牵头实施</w:t>
            </w:r>
            <w:r>
              <w:rPr>
                <w:rFonts w:ascii="黑体" w:hAnsi="黑体" w:eastAsia="黑体" w:cs="黑体"/>
                <w:spacing w:val="-7"/>
                <w:sz w:val="22"/>
                <w:szCs w:val="22"/>
              </w:rPr>
              <w:t>部门</w:t>
            </w:r>
          </w:p>
        </w:tc>
        <w:tc>
          <w:tcPr>
            <w:tcW w:w="3057"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24"/>
                <w:szCs w:val="24"/>
                <w:u w:val="none"/>
                <w:lang w:val="en-US" w:eastAsia="zh-CN" w:bidi="ar"/>
              </w:rPr>
            </w:pPr>
            <w:r>
              <w:rPr>
                <w:rFonts w:ascii="黑体" w:hAnsi="黑体" w:eastAsia="黑体" w:cs="黑体"/>
                <w:spacing w:val="-1"/>
                <w:sz w:val="22"/>
                <w:szCs w:val="22"/>
              </w:rPr>
              <w:t>检查事项内容</w:t>
            </w:r>
          </w:p>
        </w:tc>
        <w:tc>
          <w:tcPr>
            <w:tcW w:w="1356" w:type="dxa"/>
            <w:vAlign w:val="top"/>
          </w:tcPr>
          <w:p>
            <w:pPr>
              <w:spacing w:before="91" w:line="217" w:lineRule="auto"/>
              <w:jc w:val="center"/>
              <w:rPr>
                <w:rFonts w:hint="eastAsia" w:ascii="方正仿宋_GB2312" w:hAnsi="方正仿宋_GB2312" w:eastAsia="方正仿宋_GB2312" w:cs="方正仿宋_GB2312"/>
                <w:spacing w:val="-3"/>
                <w:sz w:val="24"/>
                <w:szCs w:val="24"/>
              </w:rPr>
            </w:pPr>
            <w:r>
              <w:rPr>
                <w:rFonts w:ascii="黑体" w:hAnsi="黑体" w:eastAsia="黑体" w:cs="黑体"/>
                <w:spacing w:val="-2"/>
                <w:sz w:val="22"/>
                <w:szCs w:val="22"/>
              </w:rPr>
              <w:t>参与部门</w:t>
            </w:r>
          </w:p>
        </w:tc>
        <w:tc>
          <w:tcPr>
            <w:tcW w:w="1587" w:type="dxa"/>
            <w:vAlign w:val="top"/>
          </w:tcPr>
          <w:p>
            <w:pPr>
              <w:spacing w:before="90" w:line="216" w:lineRule="auto"/>
              <w:ind w:left="17" w:leftChars="0"/>
              <w:jc w:val="center"/>
              <w:rPr>
                <w:rFonts w:hint="eastAsia" w:ascii="方正仿宋_GB2312" w:hAnsi="方正仿宋_GB2312" w:eastAsia="方正仿宋_GB2312" w:cs="方正仿宋_GB2312"/>
                <w:i w:val="0"/>
                <w:iCs w:val="0"/>
                <w:snapToGrid w:val="0"/>
                <w:color w:val="000000"/>
                <w:kern w:val="0"/>
                <w:sz w:val="24"/>
                <w:szCs w:val="24"/>
                <w:u w:val="none"/>
                <w:lang w:val="en-US" w:eastAsia="zh-CN" w:bidi="ar"/>
              </w:rPr>
            </w:pPr>
            <w:r>
              <w:rPr>
                <w:rFonts w:ascii="黑体" w:hAnsi="黑体" w:eastAsia="黑体" w:cs="黑体"/>
                <w:spacing w:val="-2"/>
                <w:sz w:val="22"/>
                <w:szCs w:val="22"/>
              </w:rPr>
              <w:t>参与部门事项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Align w:val="top"/>
          </w:tcPr>
          <w:p>
            <w:pPr>
              <w:spacing w:before="72" w:line="238" w:lineRule="auto"/>
              <w:ind w:left="262" w:leftChars="0"/>
              <w:jc w:val="center"/>
              <w:rPr>
                <w:rFonts w:hint="eastAsia" w:ascii="方正仿宋_GB2312" w:hAnsi="方正仿宋_GB2312" w:eastAsia="方正仿宋_GB2312" w:cs="方正仿宋_GB2312"/>
                <w:sz w:val="21"/>
                <w:szCs w:val="21"/>
              </w:rPr>
            </w:pPr>
          </w:p>
          <w:p>
            <w:pPr>
              <w:spacing w:before="72" w:line="238" w:lineRule="auto"/>
              <w:ind w:left="262" w:leftChars="0"/>
              <w:jc w:val="center"/>
              <w:rPr>
                <w:rFonts w:hint="eastAsia" w:ascii="方正仿宋_GB2312" w:hAnsi="方正仿宋_GB2312" w:eastAsia="方正仿宋_GB2312" w:cs="方正仿宋_GB2312"/>
                <w:sz w:val="21"/>
                <w:szCs w:val="21"/>
              </w:rPr>
            </w:pPr>
          </w:p>
          <w:p>
            <w:pPr>
              <w:spacing w:before="72" w:line="238" w:lineRule="auto"/>
              <w:ind w:left="262" w:left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w:t>
            </w:r>
          </w:p>
        </w:tc>
        <w:tc>
          <w:tcPr>
            <w:tcW w:w="1374"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对社会艺术水平考级机构的行政检查</w:t>
            </w:r>
          </w:p>
        </w:tc>
        <w:tc>
          <w:tcPr>
            <w:tcW w:w="1099"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社会艺术水平考级机构</w:t>
            </w:r>
          </w:p>
        </w:tc>
        <w:tc>
          <w:tcPr>
            <w:tcW w:w="561" w:type="dxa"/>
            <w:vAlign w:val="top"/>
          </w:tcPr>
          <w:p>
            <w:pPr>
              <w:spacing w:before="71" w:line="218" w:lineRule="auto"/>
              <w:ind w:left="57"/>
              <w:jc w:val="center"/>
              <w:rPr>
                <w:rFonts w:hint="eastAsia" w:ascii="方正仿宋_GB2312" w:hAnsi="方正仿宋_GB2312" w:eastAsia="方正仿宋_GB2312" w:cs="方正仿宋_GB2312"/>
                <w:spacing w:val="-2"/>
                <w:sz w:val="21"/>
                <w:szCs w:val="21"/>
              </w:rPr>
            </w:pPr>
          </w:p>
          <w:p>
            <w:pPr>
              <w:spacing w:before="71" w:line="218" w:lineRule="auto"/>
              <w:ind w:left="57"/>
              <w:jc w:val="center"/>
              <w:rPr>
                <w:rFonts w:hint="eastAsia" w:ascii="方正仿宋_GB2312" w:hAnsi="方正仿宋_GB2312" w:eastAsia="方正仿宋_GB2312" w:cs="方正仿宋_GB2312"/>
                <w:spacing w:val="-2"/>
                <w:sz w:val="21"/>
                <w:szCs w:val="21"/>
              </w:rPr>
            </w:pPr>
          </w:p>
          <w:p>
            <w:pPr>
              <w:spacing w:before="71" w:line="218" w:lineRule="auto"/>
              <w:ind w:left="57"/>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全年</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1"/>
                <w:sz w:val="21"/>
                <w:szCs w:val="21"/>
                <w:lang w:val="en-US" w:eastAsia="zh-CN"/>
              </w:rPr>
              <w:t>1</w:t>
            </w:r>
            <w:r>
              <w:rPr>
                <w:rFonts w:hint="eastAsia" w:ascii="方正仿宋_GB2312" w:hAnsi="方正仿宋_GB2312" w:eastAsia="方正仿宋_GB2312" w:cs="方正仿宋_GB2312"/>
                <w:sz w:val="21"/>
                <w:szCs w:val="21"/>
              </w:rPr>
              <w:t xml:space="preserve"> 次</w:t>
            </w:r>
          </w:p>
        </w:tc>
        <w:tc>
          <w:tcPr>
            <w:tcW w:w="724" w:type="dxa"/>
            <w:vAlign w:val="top"/>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20%</w:t>
            </w:r>
          </w:p>
        </w:tc>
        <w:tc>
          <w:tcPr>
            <w:tcW w:w="860" w:type="dxa"/>
            <w:vAlign w:val="top"/>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现场检查</w:t>
            </w:r>
          </w:p>
        </w:tc>
        <w:tc>
          <w:tcPr>
            <w:tcW w:w="815" w:type="dxa"/>
            <w:vAlign w:val="top"/>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日常</w:t>
            </w:r>
          </w:p>
        </w:tc>
        <w:tc>
          <w:tcPr>
            <w:tcW w:w="527" w:type="dxa"/>
            <w:vAlign w:val="top"/>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10月31 日前</w:t>
            </w:r>
          </w:p>
        </w:tc>
        <w:tc>
          <w:tcPr>
            <w:tcW w:w="1167" w:type="dxa"/>
            <w:vAlign w:val="top"/>
          </w:tcPr>
          <w:p>
            <w:pPr>
              <w:spacing w:before="3" w:line="217" w:lineRule="auto"/>
              <w:ind w:left="6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3057"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社会艺术水平考级机构考级简章发布、考前备案、聘任考官的执考行为、考后备案、主要负责人、办公地点变动备案、承办单位资格条件及合作协议、常设工作机构、专职人员和开考专业、考级内容等情况</w:t>
            </w:r>
          </w:p>
        </w:tc>
        <w:tc>
          <w:tcPr>
            <w:tcW w:w="1356" w:type="dxa"/>
            <w:vAlign w:val="top"/>
          </w:tcPr>
          <w:p>
            <w:pPr>
              <w:spacing w:before="91" w:line="217" w:lineRule="auto"/>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市场监管部门</w:t>
            </w:r>
          </w:p>
        </w:tc>
        <w:tc>
          <w:tcPr>
            <w:tcW w:w="1587" w:type="dxa"/>
            <w:vAlign w:val="top"/>
          </w:tcPr>
          <w:p>
            <w:pPr>
              <w:spacing w:before="90" w:line="216" w:lineRule="auto"/>
              <w:ind w:left="17" w:leftChars="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对社会艺术水平考级机构的行政检查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Merge w:val="restart"/>
            <w:vAlign w:val="top"/>
          </w:tcPr>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2</w:t>
            </w:r>
          </w:p>
        </w:tc>
        <w:tc>
          <w:tcPr>
            <w:tcW w:w="1374" w:type="dxa"/>
            <w:vMerge w:val="restart"/>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对企业经营旅行社业务的行政检查</w:t>
            </w:r>
          </w:p>
        </w:tc>
        <w:tc>
          <w:tcPr>
            <w:tcW w:w="1099" w:type="dxa"/>
            <w:vMerge w:val="restart"/>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旅行社</w:t>
            </w:r>
          </w:p>
        </w:tc>
        <w:tc>
          <w:tcPr>
            <w:tcW w:w="561" w:type="dxa"/>
            <w:vMerge w:val="restart"/>
            <w:vAlign w:val="top"/>
          </w:tcPr>
          <w:p>
            <w:pPr>
              <w:spacing w:before="71" w:line="218" w:lineRule="auto"/>
              <w:ind w:left="57"/>
              <w:jc w:val="center"/>
              <w:rPr>
                <w:rFonts w:hint="eastAsia" w:ascii="方正仿宋_GB2312" w:hAnsi="方正仿宋_GB2312" w:eastAsia="方正仿宋_GB2312" w:cs="方正仿宋_GB2312"/>
                <w:spacing w:val="-2"/>
                <w:sz w:val="21"/>
                <w:szCs w:val="21"/>
              </w:rPr>
            </w:pPr>
          </w:p>
          <w:p>
            <w:pPr>
              <w:spacing w:before="71" w:line="218" w:lineRule="auto"/>
              <w:ind w:left="57"/>
              <w:jc w:val="center"/>
              <w:rPr>
                <w:rFonts w:hint="eastAsia" w:ascii="方正仿宋_GB2312" w:hAnsi="方正仿宋_GB2312" w:eastAsia="方正仿宋_GB2312" w:cs="方正仿宋_GB2312"/>
                <w:spacing w:val="-2"/>
                <w:sz w:val="21"/>
                <w:szCs w:val="21"/>
              </w:rPr>
            </w:pPr>
          </w:p>
          <w:p>
            <w:pPr>
              <w:spacing w:before="71" w:line="218" w:lineRule="auto"/>
              <w:ind w:left="57"/>
              <w:jc w:val="center"/>
              <w:rPr>
                <w:rFonts w:hint="eastAsia" w:ascii="方正仿宋_GB2312" w:hAnsi="方正仿宋_GB2312" w:eastAsia="方正仿宋_GB2312" w:cs="方正仿宋_GB2312"/>
                <w:spacing w:val="-2"/>
                <w:sz w:val="21"/>
                <w:szCs w:val="21"/>
              </w:rPr>
            </w:pPr>
          </w:p>
          <w:p>
            <w:pPr>
              <w:spacing w:before="71" w:line="218" w:lineRule="auto"/>
              <w:ind w:left="57"/>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全年</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1"/>
                <w:sz w:val="21"/>
                <w:szCs w:val="21"/>
                <w:lang w:val="en-US" w:eastAsia="zh-CN"/>
              </w:rPr>
              <w:t>1</w:t>
            </w:r>
            <w:r>
              <w:rPr>
                <w:rFonts w:hint="eastAsia" w:ascii="方正仿宋_GB2312" w:hAnsi="方正仿宋_GB2312" w:eastAsia="方正仿宋_GB2312" w:cs="方正仿宋_GB2312"/>
                <w:sz w:val="21"/>
                <w:szCs w:val="21"/>
              </w:rPr>
              <w:t xml:space="preserve"> 次</w:t>
            </w:r>
          </w:p>
        </w:tc>
        <w:tc>
          <w:tcPr>
            <w:tcW w:w="724" w:type="dxa"/>
            <w:vMerge w:val="restart"/>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lang w:val="en-US" w:eastAsia="zh-CN"/>
              </w:rPr>
              <w:t>20</w:t>
            </w:r>
            <w:r>
              <w:rPr>
                <w:rFonts w:hint="eastAsia" w:ascii="方正仿宋_GB2312" w:hAnsi="方正仿宋_GB2312" w:eastAsia="方正仿宋_GB2312" w:cs="方正仿宋_GB2312"/>
                <w:spacing w:val="-14"/>
                <w:sz w:val="21"/>
                <w:szCs w:val="21"/>
              </w:rPr>
              <w:t>%</w:t>
            </w:r>
          </w:p>
        </w:tc>
        <w:tc>
          <w:tcPr>
            <w:tcW w:w="860" w:type="dxa"/>
            <w:vMerge w:val="restart"/>
            <w:vAlign w:val="top"/>
          </w:tcPr>
          <w:p>
            <w:pPr>
              <w:spacing w:before="72" w:line="216" w:lineRule="auto"/>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815" w:type="dxa"/>
            <w:vMerge w:val="restart"/>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rPr>
              <w:t>日常</w:t>
            </w:r>
          </w:p>
        </w:tc>
        <w:tc>
          <w:tcPr>
            <w:tcW w:w="527" w:type="dxa"/>
            <w:vMerge w:val="restart"/>
            <w:vAlign w:val="top"/>
          </w:tcPr>
          <w:p>
            <w:pPr>
              <w:spacing w:before="72" w:line="219"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rPr>
              <w:t>10月31</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4"/>
                <w:sz w:val="21"/>
                <w:szCs w:val="21"/>
              </w:rPr>
              <w:t>日</w:t>
            </w:r>
            <w:r>
              <w:rPr>
                <w:rFonts w:hint="eastAsia" w:ascii="方正仿宋_GB2312" w:hAnsi="方正仿宋_GB2312" w:eastAsia="方正仿宋_GB2312" w:cs="方正仿宋_GB2312"/>
                <w:sz w:val="21"/>
                <w:szCs w:val="21"/>
              </w:rPr>
              <w:t>前</w:t>
            </w:r>
          </w:p>
        </w:tc>
        <w:tc>
          <w:tcPr>
            <w:tcW w:w="1167" w:type="dxa"/>
            <w:vMerge w:val="restart"/>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3057"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对旅游经营者资质、旅游合同签订情况、质量保证金账户存入、增存、补足质量保证金情况、是否存在不合理低价游、强制购物等行为</w:t>
            </w:r>
          </w:p>
        </w:tc>
        <w:tc>
          <w:tcPr>
            <w:tcW w:w="1356" w:type="dxa"/>
            <w:vAlign w:val="top"/>
          </w:tcPr>
          <w:p>
            <w:pPr>
              <w:spacing w:before="154" w:line="217" w:lineRule="auto"/>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市场监管部门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对企业经营旅行社业务的行政检查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374" w:type="dxa"/>
            <w:vMerge w:val="continue"/>
            <w:vAlign w:val="center"/>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099" w:type="dxa"/>
            <w:vMerge w:val="continue"/>
            <w:vAlign w:val="center"/>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561"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724"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860"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815"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52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16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3057" w:type="dxa"/>
            <w:vMerge w:val="continue"/>
            <w:vAlign w:val="center"/>
          </w:tcPr>
          <w:p>
            <w:pPr>
              <w:spacing w:before="25" w:line="207" w:lineRule="auto"/>
              <w:ind w:left="39" w:right="3" w:hanging="21"/>
              <w:jc w:val="left"/>
              <w:rPr>
                <w:rFonts w:hint="eastAsia" w:ascii="方正仿宋_GB2312" w:hAnsi="方正仿宋_GB2312" w:eastAsia="方正仿宋_GB2312" w:cs="方正仿宋_GB2312"/>
                <w:sz w:val="21"/>
                <w:szCs w:val="21"/>
              </w:rPr>
            </w:pPr>
          </w:p>
        </w:tc>
        <w:tc>
          <w:tcPr>
            <w:tcW w:w="1356" w:type="dxa"/>
            <w:vAlign w:val="top"/>
          </w:tcPr>
          <w:p>
            <w:pPr>
              <w:spacing w:before="25" w:line="207" w:lineRule="auto"/>
              <w:ind w:left="38" w:leftChars="0" w:right="3" w:rightChars="0" w:hanging="21" w:firstLineChars="0"/>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交通运输部门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对企业经营旅行社业务的行政检查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pacing w:val="-5"/>
                <w:sz w:val="21"/>
                <w:szCs w:val="21"/>
              </w:rPr>
            </w:pPr>
          </w:p>
        </w:tc>
        <w:tc>
          <w:tcPr>
            <w:tcW w:w="1374" w:type="dxa"/>
            <w:vMerge w:val="continue"/>
            <w:vAlign w:val="center"/>
          </w:tcPr>
          <w:p>
            <w:pPr>
              <w:spacing w:before="25" w:line="207" w:lineRule="auto"/>
              <w:ind w:left="39" w:right="3" w:hanging="21"/>
              <w:jc w:val="center"/>
              <w:rPr>
                <w:rFonts w:hint="eastAsia" w:ascii="方正仿宋_GB2312" w:hAnsi="方正仿宋_GB2312" w:eastAsia="方正仿宋_GB2312" w:cs="方正仿宋_GB2312"/>
                <w:spacing w:val="-5"/>
                <w:sz w:val="21"/>
                <w:szCs w:val="21"/>
              </w:rPr>
            </w:pPr>
          </w:p>
        </w:tc>
        <w:tc>
          <w:tcPr>
            <w:tcW w:w="1099" w:type="dxa"/>
            <w:vMerge w:val="continue"/>
            <w:vAlign w:val="center"/>
          </w:tcPr>
          <w:p>
            <w:pPr>
              <w:spacing w:before="25" w:line="207" w:lineRule="auto"/>
              <w:ind w:left="39" w:right="3" w:hanging="21"/>
              <w:jc w:val="center"/>
              <w:rPr>
                <w:rFonts w:hint="eastAsia" w:ascii="方正仿宋_GB2312" w:hAnsi="方正仿宋_GB2312" w:eastAsia="方正仿宋_GB2312" w:cs="方正仿宋_GB2312"/>
                <w:spacing w:val="-5"/>
                <w:sz w:val="21"/>
                <w:szCs w:val="21"/>
              </w:rPr>
            </w:pPr>
          </w:p>
        </w:tc>
        <w:tc>
          <w:tcPr>
            <w:tcW w:w="561"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pacing w:val="-5"/>
                <w:sz w:val="21"/>
                <w:szCs w:val="21"/>
              </w:rPr>
            </w:pPr>
          </w:p>
        </w:tc>
        <w:tc>
          <w:tcPr>
            <w:tcW w:w="724"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pacing w:val="-5"/>
                <w:sz w:val="21"/>
                <w:szCs w:val="21"/>
              </w:rPr>
            </w:pPr>
          </w:p>
        </w:tc>
        <w:tc>
          <w:tcPr>
            <w:tcW w:w="860"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pacing w:val="-5"/>
                <w:sz w:val="21"/>
                <w:szCs w:val="21"/>
              </w:rPr>
            </w:pPr>
          </w:p>
        </w:tc>
        <w:tc>
          <w:tcPr>
            <w:tcW w:w="815"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pacing w:val="-5"/>
                <w:sz w:val="21"/>
                <w:szCs w:val="21"/>
              </w:rPr>
            </w:pPr>
          </w:p>
        </w:tc>
        <w:tc>
          <w:tcPr>
            <w:tcW w:w="52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pacing w:val="-5"/>
                <w:sz w:val="21"/>
                <w:szCs w:val="21"/>
              </w:rPr>
            </w:pPr>
          </w:p>
        </w:tc>
        <w:tc>
          <w:tcPr>
            <w:tcW w:w="116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pacing w:val="-5"/>
                <w:sz w:val="21"/>
                <w:szCs w:val="21"/>
              </w:rPr>
            </w:pPr>
          </w:p>
        </w:tc>
        <w:tc>
          <w:tcPr>
            <w:tcW w:w="3057" w:type="dxa"/>
            <w:vMerge w:val="continue"/>
            <w:vAlign w:val="center"/>
          </w:tcPr>
          <w:p>
            <w:pPr>
              <w:spacing w:before="25" w:line="207" w:lineRule="auto"/>
              <w:ind w:left="39" w:right="3" w:hanging="21"/>
              <w:jc w:val="left"/>
              <w:rPr>
                <w:rFonts w:hint="eastAsia" w:ascii="方正仿宋_GB2312" w:hAnsi="方正仿宋_GB2312" w:eastAsia="方正仿宋_GB2312" w:cs="方正仿宋_GB2312"/>
                <w:spacing w:val="-5"/>
                <w:sz w:val="21"/>
                <w:szCs w:val="21"/>
              </w:rPr>
            </w:pPr>
          </w:p>
        </w:tc>
        <w:tc>
          <w:tcPr>
            <w:tcW w:w="1356" w:type="dxa"/>
            <w:vAlign w:val="top"/>
          </w:tcPr>
          <w:p>
            <w:pPr>
              <w:spacing w:before="154" w:line="217" w:lineRule="auto"/>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人力资源与社会保障部门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对企业经营旅行社业务的行政检查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Merge w:val="restart"/>
            <w:vAlign w:val="top"/>
          </w:tcPr>
          <w:p>
            <w:pPr>
              <w:pStyle w:val="6"/>
              <w:jc w:val="center"/>
              <w:rPr>
                <w:rFonts w:hint="eastAsia" w:ascii="方正仿宋_GB2312" w:hAnsi="方正仿宋_GB2312" w:eastAsia="方正仿宋_GB2312" w:cs="方正仿宋_GB2312"/>
                <w:sz w:val="21"/>
                <w:szCs w:val="21"/>
                <w:lang w:val="en-US" w:eastAsia="zh-CN"/>
              </w:rPr>
            </w:pPr>
          </w:p>
          <w:p>
            <w:pPr>
              <w:pStyle w:val="6"/>
              <w:ind w:firstLine="210" w:firstLineChars="10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3</w:t>
            </w:r>
          </w:p>
        </w:tc>
        <w:tc>
          <w:tcPr>
            <w:tcW w:w="1374" w:type="dxa"/>
            <w:vMerge w:val="restart"/>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对演出场所举办的营业性演出活动的行政检查</w:t>
            </w:r>
          </w:p>
        </w:tc>
        <w:tc>
          <w:tcPr>
            <w:tcW w:w="1099" w:type="dxa"/>
            <w:vMerge w:val="restart"/>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演出场所</w:t>
            </w:r>
          </w:p>
        </w:tc>
        <w:tc>
          <w:tcPr>
            <w:tcW w:w="561" w:type="dxa"/>
            <w:vMerge w:val="restart"/>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全年</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1"/>
                <w:sz w:val="21"/>
                <w:szCs w:val="21"/>
                <w:lang w:val="en-US" w:eastAsia="zh-CN"/>
              </w:rPr>
              <w:t>1</w:t>
            </w:r>
            <w:r>
              <w:rPr>
                <w:rFonts w:hint="eastAsia" w:ascii="方正仿宋_GB2312" w:hAnsi="方正仿宋_GB2312" w:eastAsia="方正仿宋_GB2312" w:cs="方正仿宋_GB2312"/>
                <w:sz w:val="21"/>
                <w:szCs w:val="21"/>
              </w:rPr>
              <w:t xml:space="preserve"> 次</w:t>
            </w:r>
          </w:p>
        </w:tc>
        <w:tc>
          <w:tcPr>
            <w:tcW w:w="724" w:type="dxa"/>
            <w:vMerge w:val="restart"/>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lang w:val="en-US" w:eastAsia="zh-CN"/>
              </w:rPr>
              <w:t>20</w:t>
            </w:r>
            <w:r>
              <w:rPr>
                <w:rFonts w:hint="eastAsia" w:ascii="方正仿宋_GB2312" w:hAnsi="方正仿宋_GB2312" w:eastAsia="方正仿宋_GB2312" w:cs="方正仿宋_GB2312"/>
                <w:spacing w:val="-14"/>
                <w:sz w:val="21"/>
                <w:szCs w:val="21"/>
              </w:rPr>
              <w:t>%</w:t>
            </w:r>
          </w:p>
        </w:tc>
        <w:tc>
          <w:tcPr>
            <w:tcW w:w="860" w:type="dxa"/>
            <w:vMerge w:val="restart"/>
            <w:vAlign w:val="top"/>
          </w:tcPr>
          <w:p>
            <w:pPr>
              <w:spacing w:before="72" w:line="216" w:lineRule="auto"/>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815" w:type="dxa"/>
            <w:vMerge w:val="restart"/>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lang w:val="en-US" w:eastAsia="zh-CN"/>
              </w:rPr>
              <w:t>专项</w:t>
            </w:r>
          </w:p>
        </w:tc>
        <w:tc>
          <w:tcPr>
            <w:tcW w:w="527" w:type="dxa"/>
            <w:vMerge w:val="restart"/>
            <w:vAlign w:val="top"/>
          </w:tcPr>
          <w:p>
            <w:pPr>
              <w:spacing w:before="72" w:line="219"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rPr>
              <w:t>10月31</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4"/>
                <w:sz w:val="21"/>
                <w:szCs w:val="21"/>
              </w:rPr>
              <w:t>日</w:t>
            </w:r>
            <w:r>
              <w:rPr>
                <w:rFonts w:hint="eastAsia" w:ascii="方正仿宋_GB2312" w:hAnsi="方正仿宋_GB2312" w:eastAsia="方正仿宋_GB2312" w:cs="方正仿宋_GB2312"/>
                <w:sz w:val="21"/>
                <w:szCs w:val="21"/>
              </w:rPr>
              <w:t>前</w:t>
            </w:r>
          </w:p>
        </w:tc>
        <w:tc>
          <w:tcPr>
            <w:tcW w:w="1167" w:type="dxa"/>
            <w:vMerge w:val="restart"/>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3057"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1、审批情况2、资质3、是否存在禁止内容4、演出人员是否符合要求</w:t>
            </w:r>
          </w:p>
        </w:tc>
        <w:tc>
          <w:tcPr>
            <w:tcW w:w="1356" w:type="dxa"/>
            <w:vAlign w:val="top"/>
          </w:tcPr>
          <w:p>
            <w:pPr>
              <w:spacing w:before="154" w:line="217" w:lineRule="auto"/>
              <w:ind w:left="377" w:leftChars="0"/>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公安部门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对演出场所举办的营业性演出活动的行政检查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374" w:type="dxa"/>
            <w:vMerge w:val="continue"/>
            <w:vAlign w:val="center"/>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099" w:type="dxa"/>
            <w:vMerge w:val="continue"/>
            <w:vAlign w:val="center"/>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561"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724"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860"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815"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52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16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3057" w:type="dxa"/>
            <w:vMerge w:val="continue"/>
            <w:vAlign w:val="center"/>
          </w:tcPr>
          <w:p>
            <w:pPr>
              <w:spacing w:before="25" w:line="207" w:lineRule="auto"/>
              <w:ind w:left="39" w:right="3" w:hanging="21"/>
              <w:jc w:val="left"/>
              <w:rPr>
                <w:rFonts w:hint="eastAsia" w:ascii="方正仿宋_GB2312" w:hAnsi="方正仿宋_GB2312" w:eastAsia="方正仿宋_GB2312" w:cs="方正仿宋_GB2312"/>
                <w:sz w:val="21"/>
                <w:szCs w:val="21"/>
              </w:rPr>
            </w:pPr>
          </w:p>
        </w:tc>
        <w:tc>
          <w:tcPr>
            <w:tcW w:w="1356" w:type="dxa"/>
            <w:vAlign w:val="top"/>
          </w:tcPr>
          <w:p>
            <w:pPr>
              <w:spacing w:before="25" w:line="207" w:lineRule="auto"/>
              <w:ind w:left="38" w:leftChars="0" w:right="3" w:rightChars="0" w:hanging="21" w:firstLineChars="0"/>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消防救援部门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对演出场所举办的营业性演出活动的行政检查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Merge w:val="restart"/>
            <w:vAlign w:val="top"/>
          </w:tcPr>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4</w:t>
            </w:r>
          </w:p>
        </w:tc>
        <w:tc>
          <w:tcPr>
            <w:tcW w:w="1374" w:type="dxa"/>
            <w:vMerge w:val="restart"/>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对互联网上网服务营业场所经营单位从事互联网上网服务经营活动的行政检查</w:t>
            </w:r>
          </w:p>
        </w:tc>
        <w:tc>
          <w:tcPr>
            <w:tcW w:w="1099" w:type="dxa"/>
            <w:vMerge w:val="restart"/>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互联网上网服务营业场所经营单位</w:t>
            </w:r>
          </w:p>
        </w:tc>
        <w:tc>
          <w:tcPr>
            <w:tcW w:w="561" w:type="dxa"/>
            <w:vMerge w:val="restart"/>
            <w:vAlign w:val="top"/>
          </w:tcPr>
          <w:p>
            <w:pPr>
              <w:pStyle w:val="6"/>
              <w:jc w:val="center"/>
              <w:rPr>
                <w:rFonts w:hint="eastAsia" w:ascii="方正仿宋_GB2312" w:hAnsi="方正仿宋_GB2312" w:eastAsia="方正仿宋_GB2312" w:cs="方正仿宋_GB2312"/>
                <w:spacing w:val="-2"/>
                <w:sz w:val="21"/>
                <w:szCs w:val="21"/>
              </w:rPr>
            </w:pPr>
          </w:p>
          <w:p>
            <w:pPr>
              <w:pStyle w:val="6"/>
              <w:jc w:val="center"/>
              <w:rPr>
                <w:rFonts w:hint="eastAsia" w:ascii="方正仿宋_GB2312" w:hAnsi="方正仿宋_GB2312" w:eastAsia="方正仿宋_GB2312" w:cs="方正仿宋_GB2312"/>
                <w:spacing w:val="-2"/>
                <w:sz w:val="21"/>
                <w:szCs w:val="21"/>
              </w:rPr>
            </w:pPr>
          </w:p>
          <w:p>
            <w:pPr>
              <w:pStyle w:val="6"/>
              <w:jc w:val="center"/>
              <w:rPr>
                <w:rFonts w:hint="eastAsia" w:ascii="方正仿宋_GB2312" w:hAnsi="方正仿宋_GB2312" w:eastAsia="方正仿宋_GB2312" w:cs="方正仿宋_GB2312"/>
                <w:spacing w:val="-2"/>
                <w:sz w:val="21"/>
                <w:szCs w:val="21"/>
              </w:rPr>
            </w:pPr>
          </w:p>
          <w:p>
            <w:pPr>
              <w:pStyle w:val="6"/>
              <w:jc w:val="center"/>
              <w:rPr>
                <w:rFonts w:hint="eastAsia" w:ascii="方正仿宋_GB2312" w:hAnsi="方正仿宋_GB2312" w:eastAsia="方正仿宋_GB2312" w:cs="方正仿宋_GB2312"/>
                <w:spacing w:val="-2"/>
                <w:sz w:val="21"/>
                <w:szCs w:val="21"/>
              </w:rPr>
            </w:pPr>
          </w:p>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全年</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1"/>
                <w:sz w:val="21"/>
                <w:szCs w:val="21"/>
                <w:lang w:val="en-US" w:eastAsia="zh-CN"/>
              </w:rPr>
              <w:t>1</w:t>
            </w:r>
            <w:r>
              <w:rPr>
                <w:rFonts w:hint="eastAsia" w:ascii="方正仿宋_GB2312" w:hAnsi="方正仿宋_GB2312" w:eastAsia="方正仿宋_GB2312" w:cs="方正仿宋_GB2312"/>
                <w:sz w:val="21"/>
                <w:szCs w:val="21"/>
              </w:rPr>
              <w:t xml:space="preserve"> 次</w:t>
            </w:r>
          </w:p>
        </w:tc>
        <w:tc>
          <w:tcPr>
            <w:tcW w:w="724" w:type="dxa"/>
            <w:vMerge w:val="restart"/>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lang w:val="en-US" w:eastAsia="zh-CN"/>
              </w:rPr>
              <w:t>20</w:t>
            </w:r>
            <w:r>
              <w:rPr>
                <w:rFonts w:hint="eastAsia" w:ascii="方正仿宋_GB2312" w:hAnsi="方正仿宋_GB2312" w:eastAsia="方正仿宋_GB2312" w:cs="方正仿宋_GB2312"/>
                <w:spacing w:val="-14"/>
                <w:sz w:val="21"/>
                <w:szCs w:val="21"/>
              </w:rPr>
              <w:t>%</w:t>
            </w:r>
          </w:p>
        </w:tc>
        <w:tc>
          <w:tcPr>
            <w:tcW w:w="860" w:type="dxa"/>
            <w:vMerge w:val="restart"/>
            <w:vAlign w:val="top"/>
          </w:tcPr>
          <w:p>
            <w:pPr>
              <w:spacing w:before="72" w:line="216" w:lineRule="auto"/>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815" w:type="dxa"/>
            <w:vMerge w:val="restart"/>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rPr>
              <w:t>日常</w:t>
            </w:r>
          </w:p>
        </w:tc>
        <w:tc>
          <w:tcPr>
            <w:tcW w:w="527" w:type="dxa"/>
            <w:vMerge w:val="restart"/>
            <w:vAlign w:val="top"/>
          </w:tcPr>
          <w:p>
            <w:pPr>
              <w:spacing w:before="72" w:line="219"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rPr>
              <w:t>10月31</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4"/>
                <w:sz w:val="21"/>
                <w:szCs w:val="21"/>
              </w:rPr>
              <w:t>日</w:t>
            </w:r>
            <w:r>
              <w:rPr>
                <w:rFonts w:hint="eastAsia" w:ascii="方正仿宋_GB2312" w:hAnsi="方正仿宋_GB2312" w:eastAsia="方正仿宋_GB2312" w:cs="方正仿宋_GB2312"/>
                <w:sz w:val="21"/>
                <w:szCs w:val="21"/>
              </w:rPr>
              <w:t>前</w:t>
            </w:r>
          </w:p>
        </w:tc>
        <w:tc>
          <w:tcPr>
            <w:tcW w:w="1167" w:type="dxa"/>
            <w:vMerge w:val="restart"/>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3057"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经营资质2、是否接纳未成年人，是否张贴未成年人禁入标志3、是否存在涂改、出租、出借或者以其他方式转让《网络文化经营许可证》4、是否按规定核对、登记上网消费者的有效身份证件或者记录有关上网信息5、是否存在擅自停止实施经营管理技术措施6、是否存在变更有关信息或者终止经营活动，未向文化行政部门、公安机关办理有关手续或者备案</w:t>
            </w:r>
          </w:p>
        </w:tc>
        <w:tc>
          <w:tcPr>
            <w:tcW w:w="1356" w:type="dxa"/>
            <w:vAlign w:val="top"/>
          </w:tcPr>
          <w:p>
            <w:pPr>
              <w:spacing w:before="154" w:line="217" w:lineRule="auto"/>
              <w:ind w:left="377" w:leftChars="0"/>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公安部门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对演出场所举办的营业性演出活动的行政检查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374" w:type="dxa"/>
            <w:vMerge w:val="continue"/>
            <w:vAlign w:val="center"/>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099" w:type="dxa"/>
            <w:vMerge w:val="continue"/>
            <w:vAlign w:val="center"/>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561"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724"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860"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815"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52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16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3057" w:type="dxa"/>
            <w:vMerge w:val="continue"/>
            <w:vAlign w:val="center"/>
          </w:tcPr>
          <w:p>
            <w:pPr>
              <w:spacing w:before="25" w:line="207" w:lineRule="auto"/>
              <w:ind w:left="39" w:right="3" w:hanging="21"/>
              <w:jc w:val="left"/>
              <w:rPr>
                <w:rFonts w:hint="eastAsia" w:ascii="方正仿宋_GB2312" w:hAnsi="方正仿宋_GB2312" w:eastAsia="方正仿宋_GB2312" w:cs="方正仿宋_GB2312"/>
                <w:sz w:val="21"/>
                <w:szCs w:val="21"/>
              </w:rPr>
            </w:pPr>
          </w:p>
        </w:tc>
        <w:tc>
          <w:tcPr>
            <w:tcW w:w="1356" w:type="dxa"/>
            <w:vAlign w:val="top"/>
          </w:tcPr>
          <w:p>
            <w:pPr>
              <w:spacing w:before="25" w:line="207" w:lineRule="auto"/>
              <w:ind w:left="38" w:leftChars="0" w:right="3" w:rightChars="0" w:hanging="21" w:firstLineChars="0"/>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消防救援部门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对演出场所举办的营业性演出活动的行政检查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Merge w:val="restart"/>
            <w:vAlign w:val="top"/>
          </w:tcPr>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5</w:t>
            </w:r>
          </w:p>
        </w:tc>
        <w:tc>
          <w:tcPr>
            <w:tcW w:w="1374" w:type="dxa"/>
            <w:vMerge w:val="restart"/>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对娱乐场所从事娱乐场所经营活动的行政检查</w:t>
            </w:r>
          </w:p>
        </w:tc>
        <w:tc>
          <w:tcPr>
            <w:tcW w:w="1099" w:type="dxa"/>
            <w:vMerge w:val="restart"/>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娱乐场所经营单位</w:t>
            </w:r>
          </w:p>
        </w:tc>
        <w:tc>
          <w:tcPr>
            <w:tcW w:w="561" w:type="dxa"/>
            <w:vMerge w:val="restart"/>
            <w:vAlign w:val="top"/>
          </w:tcPr>
          <w:p>
            <w:pPr>
              <w:pStyle w:val="6"/>
              <w:jc w:val="center"/>
              <w:rPr>
                <w:rFonts w:hint="eastAsia" w:ascii="方正仿宋_GB2312" w:hAnsi="方正仿宋_GB2312" w:eastAsia="方正仿宋_GB2312" w:cs="方正仿宋_GB2312"/>
                <w:spacing w:val="-2"/>
                <w:sz w:val="21"/>
                <w:szCs w:val="21"/>
              </w:rPr>
            </w:pPr>
          </w:p>
          <w:p>
            <w:pPr>
              <w:pStyle w:val="6"/>
              <w:jc w:val="center"/>
              <w:rPr>
                <w:rFonts w:hint="eastAsia" w:ascii="方正仿宋_GB2312" w:hAnsi="方正仿宋_GB2312" w:eastAsia="方正仿宋_GB2312" w:cs="方正仿宋_GB2312"/>
                <w:spacing w:val="-2"/>
                <w:sz w:val="21"/>
                <w:szCs w:val="21"/>
              </w:rPr>
            </w:pPr>
          </w:p>
          <w:p>
            <w:pPr>
              <w:pStyle w:val="6"/>
              <w:jc w:val="center"/>
              <w:rPr>
                <w:rFonts w:hint="eastAsia" w:ascii="方正仿宋_GB2312" w:hAnsi="方正仿宋_GB2312" w:eastAsia="方正仿宋_GB2312" w:cs="方正仿宋_GB2312"/>
                <w:spacing w:val="-2"/>
                <w:sz w:val="21"/>
                <w:szCs w:val="21"/>
              </w:rPr>
            </w:pPr>
          </w:p>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全年</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1"/>
                <w:sz w:val="21"/>
                <w:szCs w:val="21"/>
                <w:lang w:val="en-US" w:eastAsia="zh-CN"/>
              </w:rPr>
              <w:t>1</w:t>
            </w:r>
            <w:r>
              <w:rPr>
                <w:rFonts w:hint="eastAsia" w:ascii="方正仿宋_GB2312" w:hAnsi="方正仿宋_GB2312" w:eastAsia="方正仿宋_GB2312" w:cs="方正仿宋_GB2312"/>
                <w:sz w:val="21"/>
                <w:szCs w:val="21"/>
              </w:rPr>
              <w:t xml:space="preserve"> 次</w:t>
            </w:r>
          </w:p>
        </w:tc>
        <w:tc>
          <w:tcPr>
            <w:tcW w:w="724" w:type="dxa"/>
            <w:vMerge w:val="restart"/>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lang w:val="en-US" w:eastAsia="zh-CN"/>
              </w:rPr>
              <w:t>20</w:t>
            </w:r>
            <w:r>
              <w:rPr>
                <w:rFonts w:hint="eastAsia" w:ascii="方正仿宋_GB2312" w:hAnsi="方正仿宋_GB2312" w:eastAsia="方正仿宋_GB2312" w:cs="方正仿宋_GB2312"/>
                <w:spacing w:val="-14"/>
                <w:sz w:val="21"/>
                <w:szCs w:val="21"/>
              </w:rPr>
              <w:t>%</w:t>
            </w:r>
          </w:p>
        </w:tc>
        <w:tc>
          <w:tcPr>
            <w:tcW w:w="860" w:type="dxa"/>
            <w:vMerge w:val="restart"/>
            <w:vAlign w:val="top"/>
          </w:tcPr>
          <w:p>
            <w:pPr>
              <w:spacing w:before="72" w:line="216" w:lineRule="auto"/>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815" w:type="dxa"/>
            <w:vMerge w:val="restart"/>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rPr>
              <w:t>日常</w:t>
            </w:r>
          </w:p>
        </w:tc>
        <w:tc>
          <w:tcPr>
            <w:tcW w:w="527" w:type="dxa"/>
            <w:vMerge w:val="restart"/>
            <w:vAlign w:val="top"/>
          </w:tcPr>
          <w:p>
            <w:pPr>
              <w:spacing w:before="72" w:line="219"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rPr>
              <w:t>10月31</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4"/>
                <w:sz w:val="21"/>
                <w:szCs w:val="21"/>
              </w:rPr>
              <w:t>日</w:t>
            </w:r>
            <w:r>
              <w:rPr>
                <w:rFonts w:hint="eastAsia" w:ascii="方正仿宋_GB2312" w:hAnsi="方正仿宋_GB2312" w:eastAsia="方正仿宋_GB2312" w:cs="方正仿宋_GB2312"/>
                <w:sz w:val="21"/>
                <w:szCs w:val="21"/>
              </w:rPr>
              <w:t>前</w:t>
            </w:r>
          </w:p>
        </w:tc>
        <w:tc>
          <w:tcPr>
            <w:tcW w:w="1167" w:type="dxa"/>
            <w:vMerge w:val="restart"/>
            <w:vAlign w:val="top"/>
          </w:tcPr>
          <w:p>
            <w:pPr>
              <w:pStyle w:val="6"/>
              <w:jc w:val="center"/>
              <w:rPr>
                <w:rFonts w:hint="eastAsia" w:ascii="方正仿宋_GB2312" w:hAnsi="方正仿宋_GB2312" w:eastAsia="方正仿宋_GB2312" w:cs="方正仿宋_GB2312"/>
                <w:sz w:val="21"/>
                <w:szCs w:val="21"/>
              </w:rPr>
            </w:pPr>
          </w:p>
        </w:tc>
        <w:tc>
          <w:tcPr>
            <w:tcW w:w="3057" w:type="dxa"/>
            <w:vMerge w:val="restart"/>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未按照《娱乐场所管理条例》规定建立从业人员名簿、营业日志行为或者发现违法犯罪行为未按照《娱乐场所管理条例》规定报告2、未按《娱乐场所管理条例》规定悬挂警示标志、未成年人禁入或者限入标志3、未在显著位置悬挂娱乐经营许可证、未成年人禁入或者限入标志,标志未注明“12318”文化市场举报电话4、歌曲点播系统与境外的曲库联接5、是否取得娱乐经营许可证6、变更有关事项，未按照《娱乐场所管理条例》规定申请重新核发娱乐经营许可证7、接纳未成年人8、禁止营业时间内营业</w:t>
            </w:r>
          </w:p>
        </w:tc>
        <w:tc>
          <w:tcPr>
            <w:tcW w:w="1356" w:type="dxa"/>
            <w:vAlign w:val="top"/>
          </w:tcPr>
          <w:p>
            <w:pPr>
              <w:spacing w:before="154" w:line="217" w:lineRule="auto"/>
              <w:ind w:left="377" w:leftChars="0"/>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公安部门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对演出场所举办的营业性演出活动的行政检查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374" w:type="dxa"/>
            <w:vMerge w:val="continue"/>
            <w:vAlign w:val="center"/>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099" w:type="dxa"/>
            <w:vMerge w:val="continue"/>
            <w:vAlign w:val="center"/>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561"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724"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860"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815"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52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1167" w:type="dxa"/>
            <w:vMerge w:val="continue"/>
            <w:vAlign w:val="top"/>
          </w:tcPr>
          <w:p>
            <w:pPr>
              <w:spacing w:before="25" w:line="207" w:lineRule="auto"/>
              <w:ind w:left="39" w:right="3" w:hanging="21"/>
              <w:jc w:val="center"/>
              <w:rPr>
                <w:rFonts w:hint="eastAsia" w:ascii="方正仿宋_GB2312" w:hAnsi="方正仿宋_GB2312" w:eastAsia="方正仿宋_GB2312" w:cs="方正仿宋_GB2312"/>
                <w:sz w:val="21"/>
                <w:szCs w:val="21"/>
              </w:rPr>
            </w:pPr>
          </w:p>
        </w:tc>
        <w:tc>
          <w:tcPr>
            <w:tcW w:w="3057" w:type="dxa"/>
            <w:vMerge w:val="continue"/>
            <w:vAlign w:val="center"/>
          </w:tcPr>
          <w:p>
            <w:pPr>
              <w:spacing w:before="25" w:line="207" w:lineRule="auto"/>
              <w:ind w:left="39" w:right="3" w:hanging="21"/>
              <w:jc w:val="left"/>
              <w:rPr>
                <w:rFonts w:hint="eastAsia" w:ascii="方正仿宋_GB2312" w:hAnsi="方正仿宋_GB2312" w:eastAsia="方正仿宋_GB2312" w:cs="方正仿宋_GB2312"/>
                <w:sz w:val="21"/>
                <w:szCs w:val="21"/>
              </w:rPr>
            </w:pPr>
          </w:p>
        </w:tc>
        <w:tc>
          <w:tcPr>
            <w:tcW w:w="1356" w:type="dxa"/>
            <w:vAlign w:val="top"/>
          </w:tcPr>
          <w:p>
            <w:pPr>
              <w:spacing w:before="25" w:line="207" w:lineRule="auto"/>
              <w:ind w:left="38" w:leftChars="0" w:right="3" w:rightChars="0" w:hanging="21" w:firstLineChars="0"/>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消防救援部门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对演出场所举办的营业性演出活动的行政检查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Align w:val="top"/>
          </w:tcPr>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6</w:t>
            </w:r>
          </w:p>
        </w:tc>
        <w:tc>
          <w:tcPr>
            <w:tcW w:w="1374"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对出版物发行单位的行政检查</w:t>
            </w:r>
          </w:p>
        </w:tc>
        <w:tc>
          <w:tcPr>
            <w:tcW w:w="1099"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出版物经营单位</w:t>
            </w:r>
          </w:p>
        </w:tc>
        <w:tc>
          <w:tcPr>
            <w:tcW w:w="561" w:type="dxa"/>
            <w:vAlign w:val="top"/>
          </w:tcPr>
          <w:p>
            <w:pPr>
              <w:pStyle w:val="6"/>
              <w:jc w:val="center"/>
              <w:rPr>
                <w:rFonts w:hint="eastAsia" w:ascii="方正仿宋_GB2312" w:hAnsi="方正仿宋_GB2312" w:eastAsia="方正仿宋_GB2312" w:cs="方正仿宋_GB2312"/>
                <w:spacing w:val="-2"/>
                <w:sz w:val="21"/>
                <w:szCs w:val="21"/>
              </w:rPr>
            </w:pPr>
          </w:p>
          <w:p>
            <w:pPr>
              <w:pStyle w:val="6"/>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全年</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1"/>
                <w:sz w:val="21"/>
                <w:szCs w:val="21"/>
                <w:lang w:val="en-US" w:eastAsia="zh-CN"/>
              </w:rPr>
              <w:t>1</w:t>
            </w:r>
            <w:r>
              <w:rPr>
                <w:rFonts w:hint="eastAsia" w:ascii="方正仿宋_GB2312" w:hAnsi="方正仿宋_GB2312" w:eastAsia="方正仿宋_GB2312" w:cs="方正仿宋_GB2312"/>
                <w:sz w:val="21"/>
                <w:szCs w:val="21"/>
              </w:rPr>
              <w:t xml:space="preserve"> 次</w:t>
            </w:r>
          </w:p>
        </w:tc>
        <w:tc>
          <w:tcPr>
            <w:tcW w:w="724" w:type="dxa"/>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lang w:val="en-US" w:eastAsia="zh-CN"/>
              </w:rPr>
              <w:t>20</w:t>
            </w:r>
            <w:r>
              <w:rPr>
                <w:rFonts w:hint="eastAsia" w:ascii="方正仿宋_GB2312" w:hAnsi="方正仿宋_GB2312" w:eastAsia="方正仿宋_GB2312" w:cs="方正仿宋_GB2312"/>
                <w:spacing w:val="-14"/>
                <w:sz w:val="21"/>
                <w:szCs w:val="21"/>
              </w:rPr>
              <w:t>%</w:t>
            </w:r>
          </w:p>
        </w:tc>
        <w:tc>
          <w:tcPr>
            <w:tcW w:w="860" w:type="dxa"/>
            <w:vAlign w:val="top"/>
          </w:tcPr>
          <w:p>
            <w:pPr>
              <w:spacing w:before="72" w:line="216" w:lineRule="auto"/>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815" w:type="dxa"/>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rPr>
              <w:t>日常</w:t>
            </w:r>
          </w:p>
        </w:tc>
        <w:tc>
          <w:tcPr>
            <w:tcW w:w="527" w:type="dxa"/>
            <w:vAlign w:val="top"/>
          </w:tcPr>
          <w:p>
            <w:pPr>
              <w:spacing w:before="72" w:line="219"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rPr>
              <w:t>10月31</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4"/>
                <w:sz w:val="21"/>
                <w:szCs w:val="21"/>
              </w:rPr>
              <w:t>日</w:t>
            </w:r>
            <w:r>
              <w:rPr>
                <w:rFonts w:hint="eastAsia" w:ascii="方正仿宋_GB2312" w:hAnsi="方正仿宋_GB2312" w:eastAsia="方正仿宋_GB2312" w:cs="方正仿宋_GB2312"/>
                <w:sz w:val="21"/>
                <w:szCs w:val="21"/>
              </w:rPr>
              <w:t>前</w:t>
            </w:r>
          </w:p>
        </w:tc>
        <w:tc>
          <w:tcPr>
            <w:tcW w:w="1167" w:type="dxa"/>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3057"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出版单位执行各项管理规定的情况、资质、内容质量、版权信息、进货渠道和清单</w:t>
            </w:r>
          </w:p>
        </w:tc>
        <w:tc>
          <w:tcPr>
            <w:tcW w:w="1356" w:type="dxa"/>
            <w:vAlign w:val="top"/>
          </w:tcPr>
          <w:p>
            <w:pPr>
              <w:spacing w:before="154" w:line="217" w:lineRule="auto"/>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版权部门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对出版物发行单位的行政检查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Align w:val="top"/>
          </w:tcPr>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7</w:t>
            </w:r>
          </w:p>
        </w:tc>
        <w:tc>
          <w:tcPr>
            <w:tcW w:w="1374"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对印刷业经营者守法经营情况的行政检查</w:t>
            </w:r>
          </w:p>
        </w:tc>
        <w:tc>
          <w:tcPr>
            <w:tcW w:w="1099"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印刷业经营者</w:t>
            </w:r>
          </w:p>
        </w:tc>
        <w:tc>
          <w:tcPr>
            <w:tcW w:w="561" w:type="dxa"/>
            <w:vAlign w:val="top"/>
          </w:tcPr>
          <w:p>
            <w:pPr>
              <w:pStyle w:val="6"/>
              <w:jc w:val="center"/>
              <w:rPr>
                <w:rFonts w:hint="eastAsia" w:ascii="方正仿宋_GB2312" w:hAnsi="方正仿宋_GB2312" w:eastAsia="方正仿宋_GB2312" w:cs="方正仿宋_GB2312"/>
                <w:spacing w:val="-2"/>
                <w:sz w:val="21"/>
                <w:szCs w:val="21"/>
              </w:rPr>
            </w:pPr>
          </w:p>
          <w:p>
            <w:pPr>
              <w:pStyle w:val="6"/>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全年</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1"/>
                <w:sz w:val="21"/>
                <w:szCs w:val="21"/>
                <w:lang w:val="en-US" w:eastAsia="zh-CN"/>
              </w:rPr>
              <w:t>1</w:t>
            </w:r>
            <w:r>
              <w:rPr>
                <w:rFonts w:hint="eastAsia" w:ascii="方正仿宋_GB2312" w:hAnsi="方正仿宋_GB2312" w:eastAsia="方正仿宋_GB2312" w:cs="方正仿宋_GB2312"/>
                <w:sz w:val="21"/>
                <w:szCs w:val="21"/>
              </w:rPr>
              <w:t xml:space="preserve"> 次</w:t>
            </w:r>
          </w:p>
        </w:tc>
        <w:tc>
          <w:tcPr>
            <w:tcW w:w="724" w:type="dxa"/>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lang w:val="en-US" w:eastAsia="zh-CN"/>
              </w:rPr>
              <w:t>20</w:t>
            </w:r>
            <w:r>
              <w:rPr>
                <w:rFonts w:hint="eastAsia" w:ascii="方正仿宋_GB2312" w:hAnsi="方正仿宋_GB2312" w:eastAsia="方正仿宋_GB2312" w:cs="方正仿宋_GB2312"/>
                <w:spacing w:val="-14"/>
                <w:sz w:val="21"/>
                <w:szCs w:val="21"/>
              </w:rPr>
              <w:t>%</w:t>
            </w:r>
          </w:p>
        </w:tc>
        <w:tc>
          <w:tcPr>
            <w:tcW w:w="860" w:type="dxa"/>
            <w:vAlign w:val="top"/>
          </w:tcPr>
          <w:p>
            <w:pPr>
              <w:spacing w:before="72" w:line="216" w:lineRule="auto"/>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815" w:type="dxa"/>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rPr>
              <w:t>日常</w:t>
            </w:r>
          </w:p>
        </w:tc>
        <w:tc>
          <w:tcPr>
            <w:tcW w:w="527" w:type="dxa"/>
            <w:vAlign w:val="top"/>
          </w:tcPr>
          <w:p>
            <w:pPr>
              <w:spacing w:before="72" w:line="219"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rPr>
              <w:t>10月31</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4"/>
                <w:sz w:val="21"/>
                <w:szCs w:val="21"/>
              </w:rPr>
              <w:t>日</w:t>
            </w:r>
            <w:r>
              <w:rPr>
                <w:rFonts w:hint="eastAsia" w:ascii="方正仿宋_GB2312" w:hAnsi="方正仿宋_GB2312" w:eastAsia="方正仿宋_GB2312" w:cs="方正仿宋_GB2312"/>
                <w:sz w:val="21"/>
                <w:szCs w:val="21"/>
              </w:rPr>
              <w:t>前</w:t>
            </w:r>
          </w:p>
        </w:tc>
        <w:tc>
          <w:tcPr>
            <w:tcW w:w="1167" w:type="dxa"/>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3057"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1、资质2、各项制度落实情况3、印刷内容审核情况</w:t>
            </w:r>
          </w:p>
        </w:tc>
        <w:tc>
          <w:tcPr>
            <w:tcW w:w="1356" w:type="dxa"/>
            <w:vAlign w:val="top"/>
          </w:tcPr>
          <w:p>
            <w:pPr>
              <w:spacing w:before="154" w:line="217" w:lineRule="auto"/>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版权部门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对印刷业经营者守法经营情况的行政检查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Align w:val="top"/>
          </w:tcPr>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8</w:t>
            </w:r>
          </w:p>
        </w:tc>
        <w:tc>
          <w:tcPr>
            <w:tcW w:w="1374"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对经营高危险性体育项目单位的行政检查</w:t>
            </w:r>
          </w:p>
        </w:tc>
        <w:tc>
          <w:tcPr>
            <w:tcW w:w="1099"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经营高危险性体育项目单位</w:t>
            </w:r>
          </w:p>
        </w:tc>
        <w:tc>
          <w:tcPr>
            <w:tcW w:w="561" w:type="dxa"/>
            <w:vAlign w:val="top"/>
          </w:tcPr>
          <w:p>
            <w:pPr>
              <w:pStyle w:val="6"/>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全年</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1"/>
                <w:sz w:val="21"/>
                <w:szCs w:val="21"/>
                <w:lang w:val="en-US" w:eastAsia="zh-CN"/>
              </w:rPr>
              <w:t>1</w:t>
            </w:r>
            <w:r>
              <w:rPr>
                <w:rFonts w:hint="eastAsia" w:ascii="方正仿宋_GB2312" w:hAnsi="方正仿宋_GB2312" w:eastAsia="方正仿宋_GB2312" w:cs="方正仿宋_GB2312"/>
                <w:sz w:val="21"/>
                <w:szCs w:val="21"/>
              </w:rPr>
              <w:t xml:space="preserve"> 次</w:t>
            </w:r>
          </w:p>
        </w:tc>
        <w:tc>
          <w:tcPr>
            <w:tcW w:w="724" w:type="dxa"/>
            <w:vAlign w:val="top"/>
          </w:tcPr>
          <w:p>
            <w:pPr>
              <w:pStyle w:val="6"/>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pacing w:val="-14"/>
                <w:sz w:val="21"/>
                <w:szCs w:val="21"/>
                <w:lang w:val="en-US" w:eastAsia="zh-CN"/>
              </w:rPr>
              <w:t>100%</w:t>
            </w:r>
          </w:p>
        </w:tc>
        <w:tc>
          <w:tcPr>
            <w:tcW w:w="860" w:type="dxa"/>
            <w:vAlign w:val="top"/>
          </w:tcPr>
          <w:p>
            <w:pPr>
              <w:spacing w:before="72" w:line="216" w:lineRule="auto"/>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815" w:type="dxa"/>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lang w:val="en-US" w:eastAsia="zh-CN"/>
              </w:rPr>
              <w:t>专项</w:t>
            </w:r>
          </w:p>
        </w:tc>
        <w:tc>
          <w:tcPr>
            <w:tcW w:w="527" w:type="dxa"/>
            <w:vAlign w:val="top"/>
          </w:tcPr>
          <w:p>
            <w:pPr>
              <w:spacing w:before="72" w:line="219"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rPr>
              <w:t>10月31</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4"/>
                <w:sz w:val="21"/>
                <w:szCs w:val="21"/>
              </w:rPr>
              <w:t>日</w:t>
            </w:r>
            <w:r>
              <w:rPr>
                <w:rFonts w:hint="eastAsia" w:ascii="方正仿宋_GB2312" w:hAnsi="方正仿宋_GB2312" w:eastAsia="方正仿宋_GB2312" w:cs="方正仿宋_GB2312"/>
                <w:sz w:val="21"/>
                <w:szCs w:val="21"/>
              </w:rPr>
              <w:t>前</w:t>
            </w:r>
          </w:p>
        </w:tc>
        <w:tc>
          <w:tcPr>
            <w:tcW w:w="1167" w:type="dxa"/>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3057"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1、资质2、各项制度落实情况</w:t>
            </w:r>
          </w:p>
        </w:tc>
        <w:tc>
          <w:tcPr>
            <w:tcW w:w="1356" w:type="dxa"/>
            <w:vAlign w:val="top"/>
          </w:tcPr>
          <w:p>
            <w:pPr>
              <w:spacing w:before="154" w:line="217" w:lineRule="auto"/>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医疗健康部门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对经营高危险性体育项目单位的行政检查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27" w:type="dxa"/>
            <w:vAlign w:val="top"/>
          </w:tcPr>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lang w:val="en-US" w:eastAsia="zh-CN"/>
              </w:rPr>
            </w:pPr>
          </w:p>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9</w:t>
            </w:r>
          </w:p>
        </w:tc>
        <w:tc>
          <w:tcPr>
            <w:tcW w:w="1374"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对游艺娱乐场所的行政检查</w:t>
            </w:r>
          </w:p>
        </w:tc>
        <w:tc>
          <w:tcPr>
            <w:tcW w:w="1099" w:type="dxa"/>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娱乐场所经营单位</w:t>
            </w:r>
          </w:p>
        </w:tc>
        <w:tc>
          <w:tcPr>
            <w:tcW w:w="561" w:type="dxa"/>
            <w:vAlign w:val="top"/>
          </w:tcPr>
          <w:p>
            <w:pPr>
              <w:pStyle w:val="6"/>
              <w:jc w:val="center"/>
              <w:rPr>
                <w:rFonts w:hint="eastAsia" w:ascii="方正仿宋_GB2312" w:hAnsi="方正仿宋_GB2312" w:eastAsia="方正仿宋_GB2312" w:cs="方正仿宋_GB2312"/>
                <w:spacing w:val="-2"/>
                <w:sz w:val="21"/>
                <w:szCs w:val="21"/>
              </w:rPr>
            </w:pPr>
          </w:p>
          <w:p>
            <w:pPr>
              <w:pStyle w:val="6"/>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
                <w:sz w:val="21"/>
                <w:szCs w:val="21"/>
              </w:rPr>
              <w:t>全年</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1"/>
                <w:sz w:val="21"/>
                <w:szCs w:val="21"/>
                <w:lang w:val="en-US" w:eastAsia="zh-CN"/>
              </w:rPr>
              <w:t>1</w:t>
            </w:r>
            <w:r>
              <w:rPr>
                <w:rFonts w:hint="eastAsia" w:ascii="方正仿宋_GB2312" w:hAnsi="方正仿宋_GB2312" w:eastAsia="方正仿宋_GB2312" w:cs="方正仿宋_GB2312"/>
                <w:sz w:val="21"/>
                <w:szCs w:val="21"/>
              </w:rPr>
              <w:t xml:space="preserve"> 次</w:t>
            </w:r>
          </w:p>
        </w:tc>
        <w:tc>
          <w:tcPr>
            <w:tcW w:w="724" w:type="dxa"/>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lang w:val="en-US" w:eastAsia="zh-CN"/>
              </w:rPr>
              <w:t>20</w:t>
            </w:r>
            <w:r>
              <w:rPr>
                <w:rFonts w:hint="eastAsia" w:ascii="方正仿宋_GB2312" w:hAnsi="方正仿宋_GB2312" w:eastAsia="方正仿宋_GB2312" w:cs="方正仿宋_GB2312"/>
                <w:spacing w:val="-14"/>
                <w:sz w:val="21"/>
                <w:szCs w:val="21"/>
              </w:rPr>
              <w:t>%</w:t>
            </w:r>
          </w:p>
        </w:tc>
        <w:tc>
          <w:tcPr>
            <w:tcW w:w="860" w:type="dxa"/>
            <w:vAlign w:val="top"/>
          </w:tcPr>
          <w:p>
            <w:pPr>
              <w:spacing w:before="72" w:line="216" w:lineRule="auto"/>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pacing w:val="-4"/>
                <w:sz w:val="21"/>
                <w:szCs w:val="21"/>
              </w:rPr>
              <w:t>现场检查</w:t>
            </w:r>
          </w:p>
        </w:tc>
        <w:tc>
          <w:tcPr>
            <w:tcW w:w="815" w:type="dxa"/>
            <w:vAlign w:val="top"/>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7"/>
                <w:sz w:val="21"/>
                <w:szCs w:val="21"/>
                <w:lang w:val="en-US" w:eastAsia="zh-CN"/>
              </w:rPr>
              <w:t>专项</w:t>
            </w:r>
          </w:p>
        </w:tc>
        <w:tc>
          <w:tcPr>
            <w:tcW w:w="527" w:type="dxa"/>
            <w:vAlign w:val="top"/>
          </w:tcPr>
          <w:p>
            <w:pPr>
              <w:spacing w:before="72" w:line="219"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4"/>
                <w:sz w:val="21"/>
                <w:szCs w:val="21"/>
              </w:rPr>
              <w:t>10月31</w:t>
            </w:r>
            <w:r>
              <w:rPr>
                <w:rFonts w:hint="eastAsia" w:ascii="方正仿宋_GB2312" w:hAnsi="方正仿宋_GB2312" w:eastAsia="方正仿宋_GB2312" w:cs="方正仿宋_GB2312"/>
                <w:spacing w:val="-35"/>
                <w:sz w:val="21"/>
                <w:szCs w:val="21"/>
              </w:rPr>
              <w:t xml:space="preserve"> </w:t>
            </w:r>
            <w:r>
              <w:rPr>
                <w:rFonts w:hint="eastAsia" w:ascii="方正仿宋_GB2312" w:hAnsi="方正仿宋_GB2312" w:eastAsia="方正仿宋_GB2312" w:cs="方正仿宋_GB2312"/>
                <w:spacing w:val="-14"/>
                <w:sz w:val="21"/>
                <w:szCs w:val="21"/>
              </w:rPr>
              <w:t>日</w:t>
            </w:r>
            <w:r>
              <w:rPr>
                <w:rFonts w:hint="eastAsia" w:ascii="方正仿宋_GB2312" w:hAnsi="方正仿宋_GB2312" w:eastAsia="方正仿宋_GB2312" w:cs="方正仿宋_GB2312"/>
                <w:sz w:val="21"/>
                <w:szCs w:val="21"/>
              </w:rPr>
              <w:t>前</w:t>
            </w:r>
          </w:p>
        </w:tc>
        <w:tc>
          <w:tcPr>
            <w:tcW w:w="1167" w:type="dxa"/>
            <w:vAlign w:val="top"/>
          </w:tcPr>
          <w:p>
            <w:pPr>
              <w:pStyle w:val="6"/>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旺苍县文化广播电视体育和旅游局</w:t>
            </w:r>
          </w:p>
        </w:tc>
        <w:tc>
          <w:tcPr>
            <w:tcW w:w="3057" w:type="dxa"/>
            <w:vAlign w:val="center"/>
          </w:tcPr>
          <w:p>
            <w:pPr>
              <w:keepNext w:val="0"/>
              <w:keepLines w:val="0"/>
              <w:widowControl/>
              <w:suppressLineNumbers w:val="0"/>
              <w:jc w:val="left"/>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1、设置的电子游戏机在国家法定节假日外向未成年人提供2、未经文化主管部门内容核查的游戏游艺设备3、取得娱乐经营许可证的情况</w:t>
            </w:r>
          </w:p>
        </w:tc>
        <w:tc>
          <w:tcPr>
            <w:tcW w:w="1356" w:type="dxa"/>
            <w:vAlign w:val="top"/>
          </w:tcPr>
          <w:p>
            <w:pPr>
              <w:spacing w:before="154" w:line="217" w:lineRule="auto"/>
              <w:jc w:val="left"/>
              <w:rPr>
                <w:rFonts w:hint="eastAsia" w:ascii="方正仿宋_GB2312" w:hAnsi="方正仿宋_GB2312" w:eastAsia="方正仿宋_GB2312" w:cs="方正仿宋_GB2312"/>
                <w:spacing w:val="-5"/>
                <w:sz w:val="21"/>
                <w:szCs w:val="21"/>
              </w:rPr>
            </w:pPr>
            <w:r>
              <w:rPr>
                <w:rFonts w:hint="eastAsia" w:ascii="方正仿宋_GB2312" w:hAnsi="方正仿宋_GB2312" w:eastAsia="方正仿宋_GB2312" w:cs="方正仿宋_GB2312"/>
                <w:spacing w:val="-5"/>
                <w:sz w:val="21"/>
                <w:szCs w:val="21"/>
                <w:lang w:val="en-US" w:eastAsia="zh-CN"/>
              </w:rPr>
              <w:t>市场监管部门</w:t>
            </w:r>
          </w:p>
        </w:tc>
        <w:tc>
          <w:tcPr>
            <w:tcW w:w="1587" w:type="dxa"/>
            <w:vAlign w:val="top"/>
          </w:tcPr>
          <w:p>
            <w:pPr>
              <w:spacing w:before="25" w:line="207" w:lineRule="auto"/>
              <w:ind w:left="38" w:leftChars="0" w:right="3" w:rightChars="0" w:hanging="21" w:firstLineChars="0"/>
              <w:jc w:val="center"/>
              <w:rPr>
                <w:rFonts w:hint="eastAsia" w:ascii="方正仿宋_GB2312" w:hAnsi="方正仿宋_GB2312" w:eastAsia="方正仿宋_GB2312" w:cs="方正仿宋_GB2312"/>
                <w:spacing w:val="3"/>
                <w:sz w:val="21"/>
                <w:szCs w:val="21"/>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对游艺娱乐场所的行政检查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4FE4B9-2BF0-4285-9E2C-3035DF728D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729E8A6-EB46-413F-9A45-B42CC31CD36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AC07BFE5-E66C-4923-9D9A-938FBA37D4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B2DE1"/>
    <w:rsid w:val="0B980E5C"/>
    <w:rsid w:val="0C730B0F"/>
    <w:rsid w:val="0D9F3171"/>
    <w:rsid w:val="2C606819"/>
    <w:rsid w:val="42DF06F2"/>
    <w:rsid w:val="5E73408D"/>
    <w:rsid w:val="6C7117FD"/>
    <w:rsid w:val="6EE0211A"/>
    <w:rsid w:val="75E838CB"/>
    <w:rsid w:val="7A261BA2"/>
    <w:rsid w:val="7FAB2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2025-06-04T06:48:00Z</dcterms:created>
  <dc:creator>张清清</dc:creator>
  <cp:lastModifiedBy>张清清</cp:lastModifiedBy>
  <dcterms:modified xsi:type="dcterms:W3CDTF">2025-06-04T06:49:28Z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2B6C26A3A274488B976A08922449CCBD</vt:lpwstr>
  </property>
</Properties>
</file>