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80" w:lineRule="exact"/>
        <w:ind w:firstLine="880" w:firstLineChars="200"/>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旺苍县国营苗圃</w:t>
      </w:r>
    </w:p>
    <w:p>
      <w:pPr>
        <w:keepNext w:val="0"/>
        <w:keepLines w:val="0"/>
        <w:pageBreakBefore w:val="0"/>
        <w:widowControl w:val="0"/>
        <w:kinsoku/>
        <w:wordWrap/>
        <w:overflowPunct/>
        <w:topLinePunct w:val="0"/>
        <w:autoSpaceDE/>
        <w:autoSpaceDN/>
        <w:bidi w:val="0"/>
        <w:adjustRightInd/>
        <w:snapToGrid/>
        <w:spacing w:line="680" w:lineRule="exact"/>
        <w:ind w:firstLine="880" w:firstLineChars="200"/>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2021年部门预算及绩效目标情况</w:t>
      </w:r>
    </w:p>
    <w:p>
      <w:pPr>
        <w:keepNext w:val="0"/>
        <w:keepLines w:val="0"/>
        <w:pageBreakBefore w:val="0"/>
        <w:widowControl w:val="0"/>
        <w:kinsoku/>
        <w:wordWrap/>
        <w:overflowPunct/>
        <w:topLinePunct w:val="0"/>
        <w:autoSpaceDE/>
        <w:autoSpaceDN/>
        <w:bidi w:val="0"/>
        <w:adjustRightInd/>
        <w:snapToGrid/>
        <w:spacing w:line="680" w:lineRule="exact"/>
        <w:ind w:firstLine="880" w:firstLineChars="200"/>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说  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一、基本情况、职能</w:t>
      </w:r>
      <w:r>
        <w:rPr>
          <w:rFonts w:ascii="黑体" w:hAnsi="黑体" w:eastAsia="黑体" w:cs="宋体"/>
          <w:b/>
          <w:color w:val="333333"/>
          <w:kern w:val="0"/>
          <w:sz w:val="32"/>
          <w:szCs w:val="32"/>
        </w:rPr>
        <w:t>和主要工作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sz w:val="32"/>
          <w:szCs w:val="32"/>
          <w:lang w:val="en-US" w:eastAsia="zh-CN"/>
        </w:rPr>
        <w:t>旺苍县国营苗圃是</w:t>
      </w:r>
      <w:r>
        <w:rPr>
          <w:rFonts w:hint="eastAsia" w:ascii="仿宋" w:hAnsi="仿宋" w:eastAsia="仿宋" w:cs="仿宋"/>
          <w:sz w:val="32"/>
          <w:szCs w:val="32"/>
        </w:rPr>
        <w:t>旺苍县林业局</w:t>
      </w:r>
      <w:r>
        <w:rPr>
          <w:rFonts w:hint="eastAsia" w:ascii="仿宋" w:hAnsi="仿宋" w:eastAsia="仿宋" w:cs="仿宋"/>
          <w:sz w:val="32"/>
          <w:szCs w:val="32"/>
          <w:lang w:val="en-US" w:eastAsia="zh-CN"/>
        </w:rPr>
        <w:t>下属二级预算</w:t>
      </w:r>
      <w:r>
        <w:rPr>
          <w:rFonts w:hint="eastAsia" w:ascii="仿宋" w:hAnsi="仿宋" w:eastAsia="仿宋" w:cs="仿宋"/>
          <w:sz w:val="32"/>
          <w:szCs w:val="32"/>
          <w:lang w:eastAsia="zh-CN"/>
        </w:rPr>
        <w:t>单位</w:t>
      </w:r>
      <w:r>
        <w:rPr>
          <w:rFonts w:hint="eastAsia" w:ascii="仿宋" w:hAnsi="仿宋" w:eastAsia="仿宋" w:cs="仿宋"/>
          <w:sz w:val="32"/>
          <w:szCs w:val="32"/>
        </w:rPr>
        <w:t>，内设办公室</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综合业务室、财务室。 总编制18名，其中事业编制18 名。在职人员总数14人，全部为事业人员14人；离退休人员11人。经费形</w:t>
      </w:r>
      <w:r>
        <w:rPr>
          <w:rFonts w:hint="eastAsia" w:ascii="仿宋" w:hAnsi="仿宋" w:eastAsia="仿宋" w:cs="仿宋"/>
          <w:color w:val="auto"/>
          <w:sz w:val="32"/>
          <w:szCs w:val="32"/>
          <w:lang w:val="en-US" w:eastAsia="zh-CN"/>
        </w:rPr>
        <w:t>式为收支统管，全额保障</w:t>
      </w:r>
      <w:r>
        <w:rPr>
          <w:rFonts w:hint="eastAsia" w:ascii="仿宋" w:hAnsi="仿宋" w:eastAsia="仿宋" w:cs="仿宋"/>
          <w:color w:val="333333"/>
          <w:kern w:val="0"/>
          <w:sz w:val="32"/>
          <w:szCs w:val="32"/>
        </w:rPr>
        <w:t>。</w:t>
      </w:r>
      <w:r>
        <w:rPr>
          <w:rFonts w:hint="eastAsia" w:ascii="仿宋" w:hAnsi="仿宋" w:eastAsia="仿宋" w:cs="仿宋"/>
          <w:color w:val="auto"/>
          <w:sz w:val="32"/>
          <w:szCs w:val="32"/>
          <w:lang w:val="en-US" w:eastAsia="zh-CN"/>
        </w:rPr>
        <w:t>固定资产总额192万元。基本职能职责如下：</w:t>
      </w:r>
    </w:p>
    <w:p>
      <w:pPr>
        <w:keepNext w:val="0"/>
        <w:keepLines w:val="0"/>
        <w:pageBreakBefore w:val="0"/>
        <w:kinsoku/>
        <w:wordWrap/>
        <w:overflowPunct/>
        <w:topLinePunct w:val="0"/>
        <w:autoSpaceDE/>
        <w:autoSpaceDN/>
        <w:bidi w:val="0"/>
        <w:adjustRightInd/>
        <w:snapToGrid/>
        <w:spacing w:line="560" w:lineRule="exact"/>
        <w:ind w:firstLine="645"/>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1.贯彻执行国家有关苗木的方针政策和法律法规；</w:t>
      </w:r>
    </w:p>
    <w:p>
      <w:pPr>
        <w:keepNext w:val="0"/>
        <w:keepLines w:val="0"/>
        <w:pageBreakBefore w:val="0"/>
        <w:kinsoku/>
        <w:wordWrap/>
        <w:overflowPunct/>
        <w:topLinePunct w:val="0"/>
        <w:autoSpaceDE/>
        <w:autoSpaceDN/>
        <w:bidi w:val="0"/>
        <w:adjustRightInd/>
        <w:snapToGrid/>
        <w:spacing w:line="560" w:lineRule="exact"/>
        <w:ind w:firstLine="645"/>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2.负责制定林并组织实施全县林木种苗发展规划和年度生产计划；</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3.负责指导全县林木种苗和城市绿化苗木的生产与培育；</w:t>
      </w:r>
    </w:p>
    <w:p>
      <w:pPr>
        <w:keepNext w:val="0"/>
        <w:keepLines w:val="0"/>
        <w:pageBreakBefore w:val="0"/>
        <w:kinsoku/>
        <w:wordWrap/>
        <w:overflowPunct/>
        <w:topLinePunct w:val="0"/>
        <w:autoSpaceDE/>
        <w:autoSpaceDN/>
        <w:bidi w:val="0"/>
        <w:adjustRightInd/>
        <w:snapToGrid/>
        <w:spacing w:line="560" w:lineRule="exact"/>
        <w:ind w:firstLine="645"/>
        <w:textAlignment w:val="auto"/>
        <w:rPr>
          <w:rFonts w:hint="eastAsia" w:ascii="仿宋" w:hAnsi="仿宋" w:eastAsia="仿宋" w:cs="仿宋"/>
          <w:sz w:val="32"/>
          <w:szCs w:val="32"/>
          <w:lang w:val="en-US" w:eastAsia="zh-CN"/>
        </w:rPr>
      </w:pPr>
      <w:r>
        <w:rPr>
          <w:rFonts w:hint="eastAsia" w:ascii="仿宋" w:hAnsi="仿宋" w:eastAsia="仿宋" w:cs="仿宋"/>
          <w:color w:val="auto"/>
          <w:sz w:val="32"/>
          <w:szCs w:val="32"/>
          <w:lang w:val="en-US" w:eastAsia="zh-CN"/>
        </w:rPr>
        <w:t>4.负责苗木培育新技术的引进和推广；</w:t>
      </w:r>
    </w:p>
    <w:p>
      <w:pPr>
        <w:keepNext w:val="0"/>
        <w:keepLines w:val="0"/>
        <w:pageBreakBefore w:val="0"/>
        <w:kinsoku/>
        <w:wordWrap/>
        <w:overflowPunct/>
        <w:topLinePunct w:val="0"/>
        <w:autoSpaceDE/>
        <w:autoSpaceDN/>
        <w:bidi w:val="0"/>
        <w:adjustRightInd/>
        <w:snapToGrid/>
        <w:spacing w:line="560" w:lineRule="exact"/>
        <w:ind w:firstLine="645"/>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5.负责管护松米山市级森林公园；</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333333"/>
          <w:kern w:val="0"/>
          <w:sz w:val="32"/>
          <w:szCs w:val="32"/>
          <w:lang w:val="en-US" w:eastAsia="zh-CN"/>
        </w:rPr>
      </w:pPr>
      <w:r>
        <w:rPr>
          <w:rFonts w:hint="eastAsia" w:ascii="仿宋" w:hAnsi="仿宋" w:eastAsia="仿宋" w:cs="仿宋"/>
          <w:color w:val="auto"/>
          <w:sz w:val="32"/>
          <w:szCs w:val="32"/>
          <w:lang w:val="en-US" w:eastAsia="zh-CN"/>
        </w:rPr>
        <w:t>6.承担上级主管部门交办的其他工作任务</w:t>
      </w:r>
      <w:r>
        <w:rPr>
          <w:rFonts w:hint="eastAsia" w:ascii="仿宋" w:hAnsi="仿宋" w:eastAsia="仿宋" w:cs="仿宋"/>
          <w:color w:val="333333"/>
          <w:kern w:val="0"/>
          <w:sz w:val="32"/>
          <w:szCs w:val="32"/>
          <w:lang w:val="en-US" w:eastAsia="zh-CN"/>
        </w:rPr>
        <w:t>。</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二、收支预算情况说明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按照综合预算的原则，所有收入和支出均纳入部门预算管理。2021年收支总预算1482648元，比2020年收支预算总数增加34627元，主要原因为单位人员增加。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（一）收入预算情况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2021年收入预算1482648元，其中：一般公共预算拨款收入1482648元，占100%；政府性基金预算拨款收入0元，占0%；国有资本经营预算拨款收入0元，占0%。</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（二）支出预算情况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2021年支出预算1482648元，其中：基本支出1482648元，占100%；项目支出0元，占0%。</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三、财政</w:t>
      </w:r>
      <w:r>
        <w:rPr>
          <w:rFonts w:ascii="黑体" w:hAnsi="黑体" w:eastAsia="黑体" w:cs="宋体"/>
          <w:b/>
          <w:color w:val="333333"/>
          <w:kern w:val="0"/>
          <w:sz w:val="32"/>
          <w:szCs w:val="32"/>
        </w:rPr>
        <w:t>拨款</w:t>
      </w:r>
      <w:r>
        <w:rPr>
          <w:rFonts w:hint="eastAsia" w:ascii="黑体" w:hAnsi="黑体" w:eastAsia="黑体" w:cs="宋体"/>
          <w:b/>
          <w:color w:val="333333"/>
          <w:kern w:val="0"/>
          <w:sz w:val="32"/>
          <w:szCs w:val="32"/>
        </w:rPr>
        <w:t>收支预算情况说明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2021年财政拨款收支总预算1482648元，比2020年收支预算总数增加34627元，变动的主要原因为单位人员增加。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收入包括：本年一般公共预算拨款收入1482648元、政府性基金预算拨款收入0元，国有资本经营预算拨款收入0。支出包括：一般公共服务支出0元。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四、一般公共预算当年拨款情况说明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（一）一般公共预算当年拨款规模变化情况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2021年一般公共预算当年拨款1482648元，比2020年收支预算总数增加34627元，变动的主要原因为单位人员增加。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（二）一般公共预算当年拨款结构情况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一般公共服务支出0元，占0%；公共安全支出0元，占0%；教育支出0元，占0%。</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（三）一般公共预算当年拨款具体使用情况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1.一般公共服务（类）人大事务（款）行政运行（项）2021年预算数为0元。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2.一般公共服务（类）人大事务（款）一般行政管理事务（项目）2021年预算数为0元。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五、一般公共预算基本支出情况说明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2021年一般公共预算基本支出1482648元，其中：人员经费1398648元，主要包括：基本工资、津贴补贴、奖金、社会保险缴费等支出。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公用经费84000元，主要包括：办公费、印刷费、水费、电费、邮电费、差旅费、维修（护）费、物业管理费、劳务费等支出。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六、“三公”经费财政拨款预算安排情况说明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2021年财政拨款安排“三公”经费预算0元。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七、政府性基金预算支出情况说明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2021年政府性基金预算拨款安排的支出0元。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八、国有资本经营预算支出情况说明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2021年国有资本经营预算拨款安排的支出0元。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九、其他重要事项的情况说明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firstLineChars="150"/>
        <w:textAlignment w:val="auto"/>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（一）机关运行经费</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textAlignment w:val="auto"/>
        <w:rPr>
          <w:rFonts w:ascii="仿宋_GB2312" w:hAnsi="微软雅黑" w:eastAsia="仿宋_GB2312" w:cs="宋体"/>
          <w:color w:val="333333"/>
          <w:kern w:val="0"/>
          <w:sz w:val="32"/>
          <w:szCs w:val="32"/>
        </w:rPr>
      </w:pPr>
      <w:r>
        <w:rPr>
          <w:rFonts w:hint="eastAsia" w:ascii="仿宋" w:hAnsi="仿宋" w:eastAsia="仿宋" w:cs="仿宋"/>
          <w:color w:val="auto"/>
          <w:sz w:val="32"/>
          <w:szCs w:val="32"/>
          <w:lang w:val="en-US" w:eastAsia="zh-CN"/>
        </w:rPr>
        <w:t>2021年，机关运行经费财政拨款预算为0元。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firstLineChars="150"/>
        <w:textAlignment w:val="auto"/>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（二）政府采购情况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2021年，安排政府采购预算0元。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firstLineChars="150"/>
        <w:textAlignment w:val="auto"/>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（三）国有资产占有使用情况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截至2020年底，我单位无一般公务用车、执法执勤用车。2021年部门预算未安排购置车辆。</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firstLineChars="150"/>
        <w:textAlignment w:val="auto"/>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（四）绩效评价</w:t>
      </w:r>
      <w:r>
        <w:rPr>
          <w:rFonts w:ascii="仿宋_GB2312" w:hAnsi="微软雅黑" w:eastAsia="仿宋_GB2312" w:cs="宋体"/>
          <w:b/>
          <w:bCs/>
          <w:color w:val="333333"/>
          <w:kern w:val="0"/>
          <w:sz w:val="32"/>
          <w:szCs w:val="32"/>
        </w:rPr>
        <w:t>及绩效</w:t>
      </w:r>
      <w:r>
        <w:rPr>
          <w:rFonts w:hint="eastAsia" w:ascii="仿宋_GB2312" w:hAnsi="微软雅黑" w:eastAsia="仿宋_GB2312" w:cs="宋体"/>
          <w:b/>
          <w:bCs/>
          <w:color w:val="333333"/>
          <w:kern w:val="0"/>
          <w:sz w:val="32"/>
          <w:szCs w:val="32"/>
        </w:rPr>
        <w:t>目标设置情况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按《旺苍县财政支出绩效评价管理办法》规定，我单位编制了部门整体支出绩效目标。我单位将牢牢树立绩效管理理念、强化主体意识、落实工作责任，切实将绩效评价作为改进工作管理、提升工作水平、提高资金效益的有力措施。在开展评价工作中，积极提供资料、主动配合工作，共同推进绩效评价有序开展、取得实效。</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十、专用名词解释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1、一般公共预算拨款收入。指财政当年拨付的资金。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2、基本支出：指为保障机构正常运转、完成日常工作任务而发生的人员支出和公用支出。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3、项目支出：指在基本支出之外为完成相关行政任务和事业发展目标所发生的支出。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4、政府采购预算是指采购机关根据事业发展计划和行政任务编制的、并经过规定程序批准的年度政府采购计划。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5、“三公”经费</w:t>
      </w:r>
      <w:bookmarkStart w:id="0" w:name="_GoBack"/>
      <w:bookmarkEnd w:id="0"/>
      <w:r>
        <w:rPr>
          <w:rFonts w:hint="eastAsia" w:ascii="仿宋" w:hAnsi="仿宋" w:eastAsia="仿宋" w:cs="仿宋"/>
          <w:color w:val="auto"/>
          <w:sz w:val="32"/>
          <w:szCs w:val="32"/>
          <w:lang w:val="en-US" w:eastAsia="zh-CN"/>
        </w:rPr>
        <w:t>：是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6、绩效评价：财政绩效评价也称政府支出绩效评价，是指运用一定的评价方法、量化指标及评价标准，对政府部门为实现其职能所确定的绩效目标的实现程度以及为实现这一目标所安排预算的执行结果进行的综合性评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机关运行经费。为保障行政单位（包括参照公务员法管理的事业单位）运行用于购买货物和服务的各项资金。包括办公及印刷费、邮电费、差旅费、会议费、福利费、日常维修费、公务接待费、专用材料及一般设备购置费、办公用房水电费、办公用房物业管理费、公务用车运行维护费以及其他费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8、社会保障和就业（类）行政事业单位离退休（款）机关事业单位基本养老保险缴费支出（项）。指部门实施养老保险制度后，由单位缴纳的养老保险费的支出。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9、卫生健康（类）行政事业单位医疗（款）行政单位医疗（项）。指单位用于缴纳单位基本医疗保险支出。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10、卫生健康（类）行政事业单位医疗（款）事业单位医疗（项）。指事业单位用于缴纳单位基本医疗保险支出。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11、住房保障（类）住房改革支出（款）住房公积金（项）。指按照《住房公积金管理条例》的规定，由单位及其在职职工缴存的长期住房储金。</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52072620"/>
      <w:docPartObj>
        <w:docPartGallery w:val="autotext"/>
      </w:docPartObj>
    </w:sdtPr>
    <w:sdtContent>
      <w:p>
        <w:pPr>
          <w:pStyle w:val="3"/>
          <w:jc w:val="center"/>
        </w:pPr>
        <w:r>
          <w:fldChar w:fldCharType="begin"/>
        </w:r>
        <w:r>
          <w:instrText xml:space="preserve">PAGE   \* MERGEFORMAT</w:instrText>
        </w:r>
        <w:r>
          <w:fldChar w:fldCharType="separate"/>
        </w:r>
        <w:r>
          <w:rPr>
            <w:lang w:val="zh-CN"/>
          </w:rPr>
          <w:t>6</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WY0MGY2ZmZlMDYxOTU4YTc3MDZkZTY3N2FlNmZhZGEifQ=="/>
  </w:docVars>
  <w:rsids>
    <w:rsidRoot w:val="00BB5391"/>
    <w:rsid w:val="00052F1C"/>
    <w:rsid w:val="000B785C"/>
    <w:rsid w:val="00161957"/>
    <w:rsid w:val="002422E0"/>
    <w:rsid w:val="002A63AB"/>
    <w:rsid w:val="00461C1F"/>
    <w:rsid w:val="004678FA"/>
    <w:rsid w:val="00475D25"/>
    <w:rsid w:val="004A08FD"/>
    <w:rsid w:val="004E3253"/>
    <w:rsid w:val="005423BA"/>
    <w:rsid w:val="00612517"/>
    <w:rsid w:val="00672132"/>
    <w:rsid w:val="006C2636"/>
    <w:rsid w:val="00765CD1"/>
    <w:rsid w:val="007778B7"/>
    <w:rsid w:val="007F34CF"/>
    <w:rsid w:val="00A372A6"/>
    <w:rsid w:val="00AF7787"/>
    <w:rsid w:val="00B179AD"/>
    <w:rsid w:val="00B603FB"/>
    <w:rsid w:val="00BB5391"/>
    <w:rsid w:val="00BB579F"/>
    <w:rsid w:val="00BF4C33"/>
    <w:rsid w:val="00C74BA3"/>
    <w:rsid w:val="00D37AFA"/>
    <w:rsid w:val="00D60952"/>
    <w:rsid w:val="00D8617D"/>
    <w:rsid w:val="00DA746F"/>
    <w:rsid w:val="00FA15EA"/>
    <w:rsid w:val="05DE36F7"/>
    <w:rsid w:val="077B14C4"/>
    <w:rsid w:val="0B664DCA"/>
    <w:rsid w:val="12B02AC5"/>
    <w:rsid w:val="18775797"/>
    <w:rsid w:val="1F2E743E"/>
    <w:rsid w:val="1FC80AFE"/>
    <w:rsid w:val="21DA7AE4"/>
    <w:rsid w:val="265308BC"/>
    <w:rsid w:val="40CC2D5B"/>
    <w:rsid w:val="42750D5C"/>
    <w:rsid w:val="48B4155D"/>
    <w:rsid w:val="4F607F88"/>
    <w:rsid w:val="55620380"/>
    <w:rsid w:val="5AEE2D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_Style 2"/>
    <w:next w:val="1"/>
    <w:qFormat/>
    <w:uiPriority w:val="39"/>
    <w:pPr>
      <w:keepNext/>
      <w:keepLines/>
      <w:spacing w:before="480" w:beforeAutospacing="0" w:after="0" w:afterAutospacing="0" w:line="276" w:lineRule="auto"/>
      <w:jc w:val="both"/>
      <w:outlineLvl w:val="9"/>
    </w:pPr>
    <w:rPr>
      <w:rFonts w:ascii="仿宋" w:hAnsi="仿宋" w:eastAsia="仿宋" w:cs="Times New Roman"/>
      <w:color w:val="000000"/>
      <w:kern w:val="0"/>
      <w:sz w:val="32"/>
      <w:szCs w:val="32"/>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8">
    <w:name w:val="Strong"/>
    <w:basedOn w:val="7"/>
    <w:qFormat/>
    <w:uiPriority w:val="22"/>
    <w:rPr>
      <w:b/>
      <w:bCs/>
    </w:rPr>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3A22A4-97C1-489E-87A1-AA4B3A5E723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Pages>
  <Words>2116</Words>
  <Characters>2278</Characters>
  <Lines>19</Lines>
  <Paragraphs>5</Paragraphs>
  <TotalTime>0</TotalTime>
  <ScaleCrop>false</ScaleCrop>
  <LinksUpToDate>false</LinksUpToDate>
  <CharactersWithSpaces>2282</CharactersWithSpaces>
  <Application>WPS Office_11.8.6.11825_F1E327BC-269C-435d-A152-05C5408002CA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2018-02-02T00:59:00Z</dcterms:created>
  <dc:creator>HP</dc:creator>
  <cp:lastModifiedBy>向红桔</cp:lastModifiedBy>
  <dcterms:modified xsi:type="dcterms:W3CDTF">2025-02-28T07:02:35Z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2052-11.8.6.11825</vt:lpwstr>
  </property>
  <property fmtid="{D5CDD505-2E9C-101B-9397-08002B2CF9AE}" pid="3" name="ICV">
    <vt:lpwstr>C235506824CC464785DE2E75953D0D48</vt:lpwstr>
  </property>
</Properties>
</file>