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80" w:lineRule="exact"/>
        <w:ind w:firstLine="880" w:firstLineChars="200"/>
        <w:jc w:val="center"/>
        <w:textAlignment w:val="auto"/>
        <w:rPr>
          <w:rFonts w:hint="eastAsia" w:ascii="方正小标宋简体" w:hAnsi="方正小标宋简体" w:eastAsia="方正小标宋简体" w:cs="方正小标宋简体"/>
          <w:b w:val="0"/>
          <w:bCs w:val="0"/>
          <w:sz w:val="44"/>
          <w:szCs w:val="44"/>
          <w:lang w:val="en-US" w:eastAsia="zh-CN"/>
        </w:rPr>
      </w:pPr>
      <w:r>
        <w:rPr>
          <w:rFonts w:hint="eastAsia" w:ascii="方正小标宋简体" w:hAnsi="方正小标宋简体" w:eastAsia="方正小标宋简体" w:cs="方正小标宋简体"/>
          <w:b w:val="0"/>
          <w:bCs w:val="0"/>
          <w:sz w:val="44"/>
          <w:szCs w:val="44"/>
          <w:lang w:val="en-US" w:eastAsia="zh-CN"/>
        </w:rPr>
        <w:t>旺苍县国有林场</w:t>
      </w:r>
    </w:p>
    <w:p>
      <w:pPr>
        <w:keepNext w:val="0"/>
        <w:keepLines w:val="0"/>
        <w:pageBreakBefore w:val="0"/>
        <w:widowControl w:val="0"/>
        <w:kinsoku/>
        <w:wordWrap/>
        <w:overflowPunct/>
        <w:topLinePunct w:val="0"/>
        <w:autoSpaceDE/>
        <w:autoSpaceDN/>
        <w:bidi w:val="0"/>
        <w:adjustRightInd/>
        <w:snapToGrid/>
        <w:spacing w:line="680" w:lineRule="exact"/>
        <w:ind w:firstLine="880" w:firstLineChars="200"/>
        <w:jc w:val="center"/>
        <w:textAlignment w:val="auto"/>
        <w:rPr>
          <w:rFonts w:hint="eastAsia" w:ascii="方正小标宋简体" w:hAnsi="方正小标宋简体" w:eastAsia="方正小标宋简体" w:cs="方正小标宋简体"/>
          <w:b w:val="0"/>
          <w:bCs w:val="0"/>
          <w:sz w:val="44"/>
          <w:szCs w:val="44"/>
          <w:lang w:val="en-US" w:eastAsia="zh-CN"/>
        </w:rPr>
      </w:pPr>
      <w:r>
        <w:rPr>
          <w:rFonts w:hint="eastAsia" w:ascii="方正小标宋简体" w:hAnsi="方正小标宋简体" w:eastAsia="方正小标宋简体" w:cs="方正小标宋简体"/>
          <w:b w:val="0"/>
          <w:bCs w:val="0"/>
          <w:sz w:val="44"/>
          <w:szCs w:val="44"/>
          <w:lang w:val="en-US" w:eastAsia="zh-CN"/>
        </w:rPr>
        <w:t>2021年部门预算及绩效目标情况</w:t>
      </w:r>
    </w:p>
    <w:p>
      <w:pPr>
        <w:keepNext w:val="0"/>
        <w:keepLines w:val="0"/>
        <w:pageBreakBefore w:val="0"/>
        <w:widowControl w:val="0"/>
        <w:kinsoku/>
        <w:wordWrap/>
        <w:overflowPunct/>
        <w:topLinePunct w:val="0"/>
        <w:autoSpaceDE/>
        <w:autoSpaceDN/>
        <w:bidi w:val="0"/>
        <w:adjustRightInd/>
        <w:snapToGrid/>
        <w:spacing w:line="680" w:lineRule="exact"/>
        <w:ind w:firstLine="880" w:firstLineChars="200"/>
        <w:jc w:val="center"/>
        <w:textAlignment w:val="auto"/>
        <w:rPr>
          <w:rFonts w:hint="eastAsia" w:ascii="方正小标宋简体" w:hAnsi="方正小标宋简体" w:eastAsia="方正小标宋简体" w:cs="方正小标宋简体"/>
          <w:b w:val="0"/>
          <w:bCs w:val="0"/>
          <w:sz w:val="44"/>
          <w:szCs w:val="44"/>
          <w:lang w:val="en-US" w:eastAsia="zh-CN"/>
        </w:rPr>
      </w:pPr>
      <w:r>
        <w:rPr>
          <w:rFonts w:hint="eastAsia" w:ascii="方正小标宋简体" w:hAnsi="方正小标宋简体" w:eastAsia="方正小标宋简体" w:cs="方正小标宋简体"/>
          <w:b w:val="0"/>
          <w:bCs w:val="0"/>
          <w:sz w:val="44"/>
          <w:szCs w:val="44"/>
          <w:lang w:val="en-US" w:eastAsia="zh-CN"/>
        </w:rPr>
        <w:t>说  明</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480"/>
        <w:textAlignment w:val="auto"/>
        <w:rPr>
          <w:rFonts w:ascii="黑体" w:hAnsi="黑体" w:eastAsia="黑体" w:cs="宋体"/>
          <w:b/>
          <w:color w:val="333333"/>
          <w:kern w:val="0"/>
          <w:sz w:val="32"/>
          <w:szCs w:val="32"/>
        </w:rPr>
      </w:pPr>
      <w:r>
        <w:rPr>
          <w:rFonts w:hint="eastAsia" w:ascii="黑体" w:hAnsi="黑体" w:eastAsia="黑体" w:cs="宋体"/>
          <w:b/>
          <w:color w:val="333333"/>
          <w:kern w:val="0"/>
          <w:sz w:val="32"/>
          <w:szCs w:val="32"/>
        </w:rPr>
        <w:t>一、基本情况、职能</w:t>
      </w:r>
      <w:r>
        <w:rPr>
          <w:rFonts w:ascii="黑体" w:hAnsi="黑体" w:eastAsia="黑体" w:cs="宋体"/>
          <w:b/>
          <w:color w:val="333333"/>
          <w:kern w:val="0"/>
          <w:sz w:val="32"/>
          <w:szCs w:val="32"/>
        </w:rPr>
        <w:t>和主要工作</w:t>
      </w:r>
    </w:p>
    <w:p>
      <w:pPr>
        <w:spacing w:line="550" w:lineRule="exact"/>
        <w:ind w:firstLine="960" w:firstLineChars="300"/>
        <w:rPr>
          <w:rFonts w:hint="eastAsia" w:ascii="仿宋" w:hAnsi="仿宋" w:eastAsia="仿宋" w:cs="仿宋"/>
          <w:bCs/>
          <w:kern w:val="0"/>
          <w:sz w:val="32"/>
          <w:szCs w:val="32"/>
          <w:lang w:eastAsia="zh-CN"/>
        </w:rPr>
      </w:pPr>
      <w:r>
        <w:rPr>
          <w:rFonts w:hint="eastAsia" w:ascii="仿宋" w:hAnsi="仿宋" w:eastAsia="仿宋" w:cs="仿宋"/>
          <w:sz w:val="32"/>
          <w:szCs w:val="32"/>
        </w:rPr>
        <w:t>旺苍县国有林场</w:t>
      </w:r>
      <w:r>
        <w:rPr>
          <w:rFonts w:hint="eastAsia" w:ascii="仿宋" w:hAnsi="仿宋" w:eastAsia="仿宋" w:cs="仿宋"/>
          <w:sz w:val="32"/>
          <w:szCs w:val="32"/>
          <w:lang w:eastAsia="zh-CN"/>
        </w:rPr>
        <w:t>属一类事业单位，直属旺苍</w:t>
      </w:r>
      <w:r>
        <w:rPr>
          <w:rFonts w:hint="eastAsia" w:ascii="仿宋" w:hAnsi="仿宋" w:eastAsia="仿宋" w:cs="仿宋"/>
          <w:sz w:val="32"/>
          <w:szCs w:val="32"/>
        </w:rPr>
        <w:t>县林业局</w:t>
      </w:r>
      <w:r>
        <w:rPr>
          <w:rFonts w:hint="eastAsia" w:ascii="仿宋" w:hAnsi="仿宋" w:eastAsia="仿宋" w:cs="仿宋"/>
          <w:sz w:val="32"/>
          <w:szCs w:val="32"/>
          <w:lang w:eastAsia="zh-CN"/>
        </w:rPr>
        <w:t>，为</w:t>
      </w:r>
      <w:r>
        <w:rPr>
          <w:rFonts w:hint="eastAsia" w:ascii="仿宋" w:hAnsi="仿宋" w:eastAsia="仿宋" w:cs="仿宋"/>
          <w:sz w:val="32"/>
          <w:szCs w:val="32"/>
        </w:rPr>
        <w:t>二级</w:t>
      </w:r>
      <w:r>
        <w:rPr>
          <w:rFonts w:hint="eastAsia" w:ascii="仿宋" w:hAnsi="仿宋" w:eastAsia="仿宋" w:cs="仿宋"/>
          <w:sz w:val="32"/>
          <w:szCs w:val="32"/>
          <w:lang w:eastAsia="zh-CN"/>
        </w:rPr>
        <w:t>财政</w:t>
      </w:r>
      <w:r>
        <w:rPr>
          <w:rFonts w:hint="eastAsia" w:ascii="仿宋" w:hAnsi="仿宋" w:eastAsia="仿宋" w:cs="仿宋"/>
          <w:sz w:val="32"/>
          <w:szCs w:val="32"/>
        </w:rPr>
        <w:t>预算单位，内设办公室、业务室、财务室</w:t>
      </w:r>
      <w:r>
        <w:rPr>
          <w:rFonts w:hint="eastAsia" w:ascii="仿宋" w:hAnsi="仿宋" w:eastAsia="仿宋" w:cs="仿宋"/>
          <w:sz w:val="32"/>
          <w:szCs w:val="32"/>
          <w:lang w:eastAsia="zh-CN"/>
        </w:rPr>
        <w:t>；下设</w:t>
      </w:r>
      <w:r>
        <w:rPr>
          <w:rFonts w:hint="eastAsia" w:ascii="仿宋" w:hAnsi="仿宋" w:eastAsia="仿宋" w:cs="仿宋"/>
          <w:sz w:val="32"/>
          <w:szCs w:val="32"/>
        </w:rPr>
        <w:t>马家坪工区、老君山工区、光头山工区、老林坪工区。</w:t>
      </w:r>
      <w:r>
        <w:rPr>
          <w:rFonts w:hint="eastAsia" w:ascii="仿宋" w:hAnsi="仿宋" w:eastAsia="仿宋" w:cs="仿宋"/>
          <w:bCs/>
          <w:kern w:val="0"/>
          <w:sz w:val="32"/>
          <w:szCs w:val="32"/>
          <w:lang w:eastAsia="zh-CN"/>
        </w:rPr>
        <w:t>编制机构</w:t>
      </w:r>
      <w:r>
        <w:rPr>
          <w:rFonts w:hint="eastAsia" w:ascii="仿宋" w:hAnsi="仿宋" w:eastAsia="仿宋" w:cs="仿宋"/>
          <w:bCs/>
          <w:kern w:val="0"/>
          <w:sz w:val="32"/>
          <w:szCs w:val="32"/>
        </w:rPr>
        <w:t>核定</w:t>
      </w:r>
      <w:r>
        <w:rPr>
          <w:rFonts w:hint="eastAsia" w:ascii="仿宋" w:hAnsi="仿宋" w:eastAsia="仿宋" w:cs="仿宋"/>
          <w:bCs/>
          <w:kern w:val="0"/>
          <w:sz w:val="32"/>
          <w:szCs w:val="32"/>
          <w:lang w:eastAsia="zh-CN"/>
        </w:rPr>
        <w:t>我场</w:t>
      </w:r>
      <w:r>
        <w:rPr>
          <w:rFonts w:hint="eastAsia" w:ascii="仿宋" w:hAnsi="仿宋" w:eastAsia="仿宋" w:cs="仿宋"/>
          <w:bCs/>
          <w:kern w:val="0"/>
          <w:sz w:val="32"/>
          <w:szCs w:val="32"/>
        </w:rPr>
        <w:t>事业编制数</w:t>
      </w:r>
      <w:r>
        <w:rPr>
          <w:rFonts w:hint="eastAsia" w:ascii="仿宋" w:hAnsi="仿宋" w:eastAsia="仿宋" w:cs="仿宋"/>
          <w:bCs/>
          <w:kern w:val="0"/>
          <w:sz w:val="32"/>
          <w:szCs w:val="32"/>
          <w:lang w:val="en-US" w:eastAsia="zh-CN"/>
        </w:rPr>
        <w:t>29</w:t>
      </w:r>
      <w:r>
        <w:rPr>
          <w:rFonts w:hint="eastAsia" w:ascii="仿宋" w:hAnsi="仿宋" w:eastAsia="仿宋" w:cs="仿宋"/>
          <w:bCs/>
          <w:kern w:val="0"/>
          <w:sz w:val="32"/>
          <w:szCs w:val="32"/>
          <w:lang w:eastAsia="zh-CN"/>
        </w:rPr>
        <w:t>个。单位</w:t>
      </w:r>
      <w:r>
        <w:rPr>
          <w:rFonts w:hint="eastAsia" w:ascii="仿宋" w:hAnsi="仿宋" w:eastAsia="仿宋" w:cs="仿宋"/>
          <w:bCs/>
          <w:kern w:val="0"/>
          <w:sz w:val="32"/>
          <w:szCs w:val="32"/>
        </w:rPr>
        <w:t>实有</w:t>
      </w:r>
      <w:r>
        <w:rPr>
          <w:rFonts w:hint="eastAsia" w:ascii="仿宋" w:hAnsi="仿宋" w:eastAsia="仿宋" w:cs="仿宋"/>
          <w:bCs/>
          <w:kern w:val="0"/>
          <w:sz w:val="32"/>
          <w:szCs w:val="32"/>
          <w:lang w:eastAsia="zh-CN"/>
        </w:rPr>
        <w:t>人员</w:t>
      </w:r>
      <w:r>
        <w:rPr>
          <w:rFonts w:hint="eastAsia" w:ascii="仿宋" w:hAnsi="仿宋" w:eastAsia="仿宋" w:cs="仿宋"/>
          <w:bCs/>
          <w:kern w:val="0"/>
          <w:sz w:val="32"/>
          <w:szCs w:val="32"/>
          <w:lang w:val="en-US" w:eastAsia="zh-CN"/>
        </w:rPr>
        <w:t>46</w:t>
      </w:r>
      <w:r>
        <w:rPr>
          <w:rFonts w:hint="eastAsia" w:ascii="仿宋" w:hAnsi="仿宋" w:eastAsia="仿宋" w:cs="仿宋"/>
          <w:bCs/>
          <w:kern w:val="0"/>
          <w:sz w:val="32"/>
          <w:szCs w:val="32"/>
        </w:rPr>
        <w:t>人，其中，</w:t>
      </w:r>
      <w:r>
        <w:rPr>
          <w:rFonts w:hint="eastAsia" w:ascii="仿宋" w:hAnsi="仿宋" w:eastAsia="仿宋" w:cs="仿宋"/>
          <w:bCs/>
          <w:kern w:val="0"/>
          <w:sz w:val="32"/>
          <w:szCs w:val="32"/>
          <w:lang w:eastAsia="zh-CN"/>
        </w:rPr>
        <w:t>有</w:t>
      </w:r>
      <w:r>
        <w:rPr>
          <w:rFonts w:hint="eastAsia" w:ascii="仿宋" w:hAnsi="仿宋" w:eastAsia="仿宋" w:cs="仿宋"/>
          <w:bCs/>
          <w:kern w:val="0"/>
          <w:sz w:val="32"/>
          <w:szCs w:val="32"/>
        </w:rPr>
        <w:t>事业编制人员</w:t>
      </w:r>
      <w:r>
        <w:rPr>
          <w:rFonts w:hint="eastAsia" w:ascii="仿宋" w:hAnsi="仿宋" w:eastAsia="仿宋" w:cs="仿宋"/>
          <w:bCs/>
          <w:kern w:val="0"/>
          <w:sz w:val="32"/>
          <w:szCs w:val="32"/>
          <w:lang w:val="en-US" w:eastAsia="zh-CN"/>
        </w:rPr>
        <w:t>29</w:t>
      </w:r>
      <w:r>
        <w:rPr>
          <w:rFonts w:hint="eastAsia" w:ascii="仿宋" w:hAnsi="仿宋" w:eastAsia="仿宋" w:cs="仿宋"/>
          <w:bCs/>
          <w:kern w:val="0"/>
          <w:sz w:val="32"/>
          <w:szCs w:val="32"/>
        </w:rPr>
        <w:t>名，未</w:t>
      </w:r>
      <w:r>
        <w:rPr>
          <w:rFonts w:hint="eastAsia" w:ascii="仿宋" w:hAnsi="仿宋" w:eastAsia="仿宋" w:cs="仿宋"/>
          <w:bCs/>
          <w:kern w:val="0"/>
          <w:sz w:val="32"/>
          <w:szCs w:val="32"/>
          <w:lang w:eastAsia="zh-CN"/>
        </w:rPr>
        <w:t>进</w:t>
      </w:r>
      <w:r>
        <w:rPr>
          <w:rFonts w:hint="eastAsia" w:ascii="仿宋" w:hAnsi="仿宋" w:eastAsia="仿宋" w:cs="仿宋"/>
          <w:bCs/>
          <w:kern w:val="0"/>
          <w:sz w:val="32"/>
          <w:szCs w:val="32"/>
        </w:rPr>
        <w:t>事业编制人员17人。</w:t>
      </w:r>
      <w:r>
        <w:rPr>
          <w:rFonts w:hint="eastAsia" w:ascii="仿宋" w:hAnsi="仿宋" w:eastAsia="仿宋" w:cs="仿宋"/>
          <w:bCs/>
          <w:kern w:val="0"/>
          <w:sz w:val="32"/>
          <w:szCs w:val="32"/>
          <w:lang w:eastAsia="zh-CN"/>
        </w:rPr>
        <w:t>退休人员</w:t>
      </w:r>
      <w:r>
        <w:rPr>
          <w:rFonts w:hint="eastAsia" w:ascii="仿宋" w:hAnsi="仿宋" w:eastAsia="仿宋" w:cs="仿宋"/>
          <w:bCs/>
          <w:kern w:val="0"/>
          <w:sz w:val="32"/>
          <w:szCs w:val="32"/>
          <w:lang w:val="en-US" w:eastAsia="zh-CN"/>
        </w:rPr>
        <w:t xml:space="preserve"> 43人。有事业编制人员</w:t>
      </w:r>
      <w:r>
        <w:rPr>
          <w:rFonts w:hint="eastAsia" w:ascii="仿宋" w:hAnsi="仿宋" w:eastAsia="仿宋" w:cs="仿宋"/>
          <w:sz w:val="32"/>
          <w:szCs w:val="32"/>
          <w:lang w:val="en-US" w:eastAsia="zh-CN"/>
        </w:rPr>
        <w:t>经费形</w:t>
      </w:r>
      <w:r>
        <w:rPr>
          <w:rFonts w:hint="eastAsia" w:ascii="仿宋" w:hAnsi="仿宋" w:eastAsia="仿宋" w:cs="仿宋"/>
          <w:color w:val="auto"/>
          <w:sz w:val="32"/>
          <w:szCs w:val="32"/>
          <w:lang w:val="en-US" w:eastAsia="zh-CN"/>
        </w:rPr>
        <w:t>式为收支统管，全额保障</w:t>
      </w:r>
      <w:r>
        <w:rPr>
          <w:rFonts w:hint="eastAsia" w:ascii="仿宋" w:hAnsi="仿宋" w:eastAsia="仿宋" w:cs="仿宋"/>
          <w:color w:val="333333"/>
          <w:kern w:val="0"/>
          <w:sz w:val="32"/>
          <w:szCs w:val="32"/>
        </w:rPr>
        <w:t>。</w:t>
      </w:r>
      <w:r>
        <w:rPr>
          <w:rFonts w:hint="eastAsia" w:ascii="仿宋" w:hAnsi="仿宋" w:eastAsia="仿宋" w:cs="仿宋"/>
          <w:bCs/>
          <w:kern w:val="0"/>
          <w:sz w:val="32"/>
          <w:szCs w:val="32"/>
        </w:rPr>
        <w:t>未</w:t>
      </w:r>
      <w:r>
        <w:rPr>
          <w:rFonts w:hint="eastAsia" w:ascii="仿宋" w:hAnsi="仿宋" w:eastAsia="仿宋" w:cs="仿宋"/>
          <w:bCs/>
          <w:kern w:val="0"/>
          <w:sz w:val="32"/>
          <w:szCs w:val="32"/>
          <w:lang w:eastAsia="zh-CN"/>
        </w:rPr>
        <w:t>进</w:t>
      </w:r>
      <w:r>
        <w:rPr>
          <w:rFonts w:hint="eastAsia" w:ascii="仿宋" w:hAnsi="仿宋" w:eastAsia="仿宋" w:cs="仿宋"/>
          <w:bCs/>
          <w:kern w:val="0"/>
          <w:sz w:val="32"/>
          <w:szCs w:val="32"/>
        </w:rPr>
        <w:t>事业编制人员经费由天保资金解决，不足部分县财政</w:t>
      </w:r>
      <w:r>
        <w:rPr>
          <w:rFonts w:hint="eastAsia" w:ascii="仿宋" w:hAnsi="仿宋" w:eastAsia="仿宋" w:cs="仿宋"/>
          <w:bCs/>
          <w:kern w:val="0"/>
          <w:sz w:val="32"/>
          <w:szCs w:val="32"/>
          <w:lang w:eastAsia="zh-CN"/>
        </w:rPr>
        <w:t>承担</w:t>
      </w:r>
      <w:r>
        <w:rPr>
          <w:rFonts w:hint="eastAsia" w:ascii="仿宋" w:hAnsi="仿宋" w:eastAsia="仿宋" w:cs="仿宋"/>
          <w:bCs/>
          <w:kern w:val="0"/>
          <w:sz w:val="32"/>
          <w:szCs w:val="32"/>
        </w:rPr>
        <w:t>。固定资产总额</w:t>
      </w:r>
      <w:r>
        <w:rPr>
          <w:rFonts w:hint="eastAsia" w:ascii="仿宋" w:hAnsi="仿宋" w:eastAsia="仿宋" w:cs="仿宋"/>
          <w:bCs/>
          <w:kern w:val="0"/>
          <w:sz w:val="32"/>
          <w:szCs w:val="32"/>
          <w:lang w:val="en-US" w:eastAsia="zh-CN"/>
        </w:rPr>
        <w:t xml:space="preserve"> 1221.42 </w:t>
      </w:r>
      <w:r>
        <w:rPr>
          <w:rFonts w:hint="eastAsia" w:ascii="仿宋" w:hAnsi="仿宋" w:eastAsia="仿宋" w:cs="仿宋"/>
          <w:bCs/>
          <w:kern w:val="0"/>
          <w:sz w:val="32"/>
          <w:szCs w:val="32"/>
        </w:rPr>
        <w:t>万元。基本职能职责如下</w:t>
      </w:r>
      <w:r>
        <w:rPr>
          <w:rFonts w:hint="eastAsia" w:ascii="仿宋" w:hAnsi="仿宋" w:eastAsia="仿宋" w:cs="仿宋"/>
          <w:bCs/>
          <w:kern w:val="0"/>
          <w:sz w:val="32"/>
          <w:szCs w:val="32"/>
          <w:lang w:eastAsia="zh-CN"/>
        </w:rPr>
        <w:t>：</w:t>
      </w:r>
    </w:p>
    <w:p>
      <w:pPr>
        <w:spacing w:line="550" w:lineRule="exact"/>
        <w:ind w:firstLine="960" w:firstLineChars="300"/>
        <w:rPr>
          <w:rFonts w:hint="eastAsia" w:ascii="仿宋" w:hAnsi="仿宋" w:eastAsia="仿宋" w:cs="仿宋"/>
          <w:b/>
          <w:sz w:val="32"/>
          <w:szCs w:val="32"/>
        </w:rPr>
      </w:pPr>
      <w:r>
        <w:rPr>
          <w:rFonts w:hint="eastAsia" w:ascii="仿宋" w:hAnsi="仿宋" w:eastAsia="仿宋" w:cs="仿宋"/>
          <w:sz w:val="32"/>
          <w:szCs w:val="32"/>
        </w:rPr>
        <w:t>1.贯彻执行国家有关林业方针、政策和法律、法规，扩大森林资源，提高森林质量，充分发挥国有林地生产潜力，提高生态、社会和经济效益。</w:t>
      </w:r>
    </w:p>
    <w:p>
      <w:pPr>
        <w:spacing w:line="550" w:lineRule="exact"/>
        <w:ind w:firstLine="960" w:firstLineChars="300"/>
        <w:rPr>
          <w:rFonts w:hint="eastAsia" w:ascii="仿宋" w:hAnsi="仿宋" w:eastAsia="仿宋" w:cs="仿宋"/>
          <w:sz w:val="32"/>
          <w:szCs w:val="32"/>
        </w:rPr>
      </w:pPr>
      <w:r>
        <w:rPr>
          <w:rFonts w:hint="eastAsia" w:ascii="仿宋" w:hAnsi="仿宋" w:eastAsia="仿宋" w:cs="仿宋"/>
          <w:sz w:val="32"/>
          <w:szCs w:val="32"/>
        </w:rPr>
        <w:t>2.制定林场中长期发展规划和年度发展计划并组织实施。</w:t>
      </w:r>
    </w:p>
    <w:p>
      <w:pPr>
        <w:spacing w:line="550" w:lineRule="exact"/>
        <w:ind w:firstLine="960" w:firstLineChars="300"/>
        <w:rPr>
          <w:rFonts w:hint="eastAsia" w:ascii="仿宋" w:hAnsi="仿宋" w:eastAsia="仿宋" w:cs="仿宋"/>
          <w:sz w:val="32"/>
          <w:szCs w:val="32"/>
        </w:rPr>
      </w:pPr>
      <w:r>
        <w:rPr>
          <w:rFonts w:hint="eastAsia" w:ascii="仿宋" w:hAnsi="仿宋" w:eastAsia="仿宋" w:cs="仿宋"/>
          <w:sz w:val="32"/>
          <w:szCs w:val="32"/>
        </w:rPr>
        <w:t>3.负责管护区域内的森林资源保护和培育、种植资源收集和保存、生物多样性和野生动植物保护、林业有害生物防治、森林防火和火灾扑救等工作。</w:t>
      </w:r>
    </w:p>
    <w:p>
      <w:pPr>
        <w:spacing w:line="550" w:lineRule="exact"/>
        <w:ind w:firstLine="960" w:firstLineChars="300"/>
        <w:rPr>
          <w:rFonts w:hint="eastAsia" w:ascii="仿宋" w:hAnsi="仿宋" w:eastAsia="仿宋" w:cs="仿宋"/>
          <w:sz w:val="32"/>
          <w:szCs w:val="32"/>
        </w:rPr>
      </w:pPr>
      <w:r>
        <w:rPr>
          <w:rFonts w:hint="eastAsia" w:ascii="仿宋" w:hAnsi="仿宋" w:eastAsia="仿宋" w:cs="仿宋"/>
          <w:sz w:val="32"/>
          <w:szCs w:val="32"/>
        </w:rPr>
        <w:t>4.承担上级主管部门交办的其他工作任务。</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480"/>
        <w:textAlignment w:val="auto"/>
        <w:rPr>
          <w:rFonts w:ascii="黑体" w:hAnsi="黑体" w:eastAsia="黑体" w:cs="宋体"/>
          <w:b/>
          <w:color w:val="333333"/>
          <w:kern w:val="0"/>
          <w:sz w:val="32"/>
          <w:szCs w:val="32"/>
        </w:rPr>
      </w:pPr>
      <w:r>
        <w:rPr>
          <w:rFonts w:hint="eastAsia" w:ascii="黑体" w:hAnsi="黑体" w:eastAsia="黑体" w:cs="宋体"/>
          <w:b/>
          <w:color w:val="333333"/>
          <w:kern w:val="0"/>
          <w:sz w:val="32"/>
          <w:szCs w:val="32"/>
        </w:rPr>
        <w:t>二、收支预算情况说明</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按照综合预算的原则，所有收入和支出均纳入部门预算管理。2021年收支总预算3450496元，比2020年收支预算总数增加249350元，主要原因为人员增加。</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（一）收入预算情况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2021年收入预算3450496元，其中：一般公共预算拨款收入3450496，占100%；政府性基金预算拨款收入0元，占0%；国有资本经营预算拨款收入0元，占0%。</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（二）支出预算情况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2021年支出预算3450496元，其中：基本支出3450496元，占100%；项目支出0元，占0%。</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3" w:firstLineChars="200"/>
        <w:textAlignment w:val="auto"/>
        <w:rPr>
          <w:rFonts w:ascii="黑体" w:hAnsi="黑体" w:eastAsia="黑体" w:cs="宋体"/>
          <w:b/>
          <w:color w:val="333333"/>
          <w:kern w:val="0"/>
          <w:sz w:val="32"/>
          <w:szCs w:val="32"/>
        </w:rPr>
      </w:pPr>
      <w:r>
        <w:rPr>
          <w:rFonts w:hint="eastAsia" w:ascii="黑体" w:hAnsi="黑体" w:eastAsia="黑体" w:cs="宋体"/>
          <w:b/>
          <w:color w:val="333333"/>
          <w:kern w:val="0"/>
          <w:sz w:val="32"/>
          <w:szCs w:val="32"/>
        </w:rPr>
        <w:t>三、财政</w:t>
      </w:r>
      <w:r>
        <w:rPr>
          <w:rFonts w:ascii="黑体" w:hAnsi="黑体" w:eastAsia="黑体" w:cs="宋体"/>
          <w:b/>
          <w:color w:val="333333"/>
          <w:kern w:val="0"/>
          <w:sz w:val="32"/>
          <w:szCs w:val="32"/>
        </w:rPr>
        <w:t>拨款</w:t>
      </w:r>
      <w:r>
        <w:rPr>
          <w:rFonts w:hint="eastAsia" w:ascii="黑体" w:hAnsi="黑体" w:eastAsia="黑体" w:cs="宋体"/>
          <w:b/>
          <w:color w:val="333333"/>
          <w:kern w:val="0"/>
          <w:sz w:val="32"/>
          <w:szCs w:val="32"/>
        </w:rPr>
        <w:t>收支预算情况说明</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2021年财政拨款收支总预算3450496元，比2020年收支预算总数增加249350元，主要原因为人员增加。</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收入包括：本年一般公共预算拨款收入3450496元、政府性基金预算拨款收入0元，国有资本经营预算拨款收入0。支出包括：一般公共服务支出0元。</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3" w:firstLineChars="200"/>
        <w:textAlignment w:val="auto"/>
        <w:rPr>
          <w:rFonts w:ascii="黑体" w:hAnsi="黑体" w:eastAsia="黑体" w:cs="宋体"/>
          <w:b/>
          <w:color w:val="333333"/>
          <w:kern w:val="0"/>
          <w:sz w:val="32"/>
          <w:szCs w:val="32"/>
        </w:rPr>
      </w:pPr>
      <w:r>
        <w:rPr>
          <w:rFonts w:hint="eastAsia" w:ascii="黑体" w:hAnsi="黑体" w:eastAsia="黑体" w:cs="宋体"/>
          <w:b/>
          <w:color w:val="333333"/>
          <w:kern w:val="0"/>
          <w:sz w:val="32"/>
          <w:szCs w:val="32"/>
        </w:rPr>
        <w:t>四、一般公共预算当年拨款情况说明</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（一）一般公共预算当年拨款规模变化情况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2021年一般公共预算当年拨款3450496元，比2020年收支预算总数增加249350元，变动的主要原因是人员增加。</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（二）一般公共预算当年拨款结构情况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一般公共服务支出0元，占0%；公共安全支出0元，占0%；教育支出0元，占0%。</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（三）一般公共预算当年拨款具体使用情况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1.一般公共服务（类）人大事务（款）行政运行（项）2021年预算数为0元。</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2.一般公共服务（类）人大事务（款）一般行政管理事务（项目）2021年预算数为0元。</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3" w:firstLineChars="200"/>
        <w:textAlignment w:val="auto"/>
        <w:rPr>
          <w:rFonts w:ascii="黑体" w:hAnsi="黑体" w:eastAsia="黑体" w:cs="宋体"/>
          <w:b/>
          <w:color w:val="333333"/>
          <w:kern w:val="0"/>
          <w:sz w:val="32"/>
          <w:szCs w:val="32"/>
        </w:rPr>
      </w:pPr>
      <w:r>
        <w:rPr>
          <w:rFonts w:hint="eastAsia" w:ascii="黑体" w:hAnsi="黑体" w:eastAsia="黑体" w:cs="宋体"/>
          <w:b/>
          <w:color w:val="333333"/>
          <w:kern w:val="0"/>
          <w:sz w:val="32"/>
          <w:szCs w:val="32"/>
        </w:rPr>
        <w:t>五、一般公共预算基本支出情况说明</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2021年一般公共预算基本支出3450496元，其中：人员经费3166082元，主要包括：基本工资、津贴补贴、奖金、社会保险缴费等支出。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公用经费284414元，主要包括：办公费、印刷费、水费、电费、邮电费、差旅费、维修（护）费、物业管理费、劳务费等支出。</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3" w:firstLineChars="200"/>
        <w:textAlignment w:val="auto"/>
        <w:rPr>
          <w:rFonts w:ascii="黑体" w:hAnsi="黑体" w:eastAsia="黑体" w:cs="宋体"/>
          <w:b/>
          <w:color w:val="333333"/>
          <w:kern w:val="0"/>
          <w:sz w:val="32"/>
          <w:szCs w:val="32"/>
        </w:rPr>
      </w:pPr>
      <w:r>
        <w:rPr>
          <w:rFonts w:hint="eastAsia" w:ascii="黑体" w:hAnsi="黑体" w:eastAsia="黑体" w:cs="宋体"/>
          <w:b/>
          <w:color w:val="333333"/>
          <w:kern w:val="0"/>
          <w:sz w:val="32"/>
          <w:szCs w:val="32"/>
        </w:rPr>
        <w:t>六、“三公”经费财政拨款预算安排情况说明</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2021年财政拨款安排“三公”经费预算70000元。为公务用车运行维护费。</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3" w:firstLineChars="200"/>
        <w:textAlignment w:val="auto"/>
        <w:rPr>
          <w:rFonts w:ascii="黑体" w:hAnsi="黑体" w:eastAsia="黑体" w:cs="宋体"/>
          <w:b/>
          <w:color w:val="333333"/>
          <w:kern w:val="0"/>
          <w:sz w:val="32"/>
          <w:szCs w:val="32"/>
        </w:rPr>
      </w:pPr>
      <w:r>
        <w:rPr>
          <w:rFonts w:hint="eastAsia" w:ascii="黑体" w:hAnsi="黑体" w:eastAsia="黑体" w:cs="宋体"/>
          <w:b/>
          <w:color w:val="333333"/>
          <w:kern w:val="0"/>
          <w:sz w:val="32"/>
          <w:szCs w:val="32"/>
        </w:rPr>
        <w:t>七、政府性基金预算支出情况说明</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2021年政府性基金预算拨款安排的支出0元。</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3" w:firstLineChars="200"/>
        <w:textAlignment w:val="auto"/>
        <w:rPr>
          <w:rFonts w:ascii="黑体" w:hAnsi="黑体" w:eastAsia="黑体" w:cs="宋体"/>
          <w:b/>
          <w:color w:val="333333"/>
          <w:kern w:val="0"/>
          <w:sz w:val="32"/>
          <w:szCs w:val="32"/>
        </w:rPr>
      </w:pPr>
      <w:r>
        <w:rPr>
          <w:rFonts w:hint="eastAsia" w:ascii="黑体" w:hAnsi="黑体" w:eastAsia="黑体" w:cs="宋体"/>
          <w:b/>
          <w:color w:val="333333"/>
          <w:kern w:val="0"/>
          <w:sz w:val="32"/>
          <w:szCs w:val="32"/>
        </w:rPr>
        <w:t>八、国有资本经营预算支出情况说明</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2021年国有资本经营预算拨款安排的支出0元。</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3" w:firstLineChars="200"/>
        <w:textAlignment w:val="auto"/>
        <w:rPr>
          <w:rFonts w:ascii="黑体" w:hAnsi="黑体" w:eastAsia="黑体" w:cs="宋体"/>
          <w:b/>
          <w:color w:val="333333"/>
          <w:kern w:val="0"/>
          <w:sz w:val="32"/>
          <w:szCs w:val="32"/>
        </w:rPr>
      </w:pPr>
      <w:r>
        <w:rPr>
          <w:rFonts w:hint="eastAsia" w:ascii="黑体" w:hAnsi="黑体" w:eastAsia="黑体" w:cs="宋体"/>
          <w:b/>
          <w:color w:val="333333"/>
          <w:kern w:val="0"/>
          <w:sz w:val="32"/>
          <w:szCs w:val="32"/>
        </w:rPr>
        <w:t>九、其他重要事项的情况说明</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482" w:firstLineChars="150"/>
        <w:textAlignment w:val="auto"/>
        <w:rPr>
          <w:rFonts w:ascii="仿宋_GB2312" w:hAnsi="微软雅黑" w:eastAsia="仿宋_GB2312" w:cs="宋体"/>
          <w:color w:val="333333"/>
          <w:kern w:val="0"/>
          <w:sz w:val="32"/>
          <w:szCs w:val="32"/>
        </w:rPr>
      </w:pPr>
      <w:r>
        <w:rPr>
          <w:rFonts w:hint="eastAsia" w:ascii="仿宋_GB2312" w:hAnsi="微软雅黑" w:eastAsia="仿宋_GB2312" w:cs="宋体"/>
          <w:b/>
          <w:bCs/>
          <w:color w:val="333333"/>
          <w:kern w:val="0"/>
          <w:sz w:val="32"/>
          <w:szCs w:val="32"/>
        </w:rPr>
        <w:t>（一）机关运行经费</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0" w:firstLineChars="200"/>
        <w:textAlignment w:val="auto"/>
        <w:rPr>
          <w:rFonts w:ascii="仿宋_GB2312" w:hAnsi="微软雅黑" w:eastAsia="仿宋_GB2312" w:cs="宋体"/>
          <w:color w:val="333333"/>
          <w:kern w:val="0"/>
          <w:sz w:val="32"/>
          <w:szCs w:val="32"/>
        </w:rPr>
      </w:pPr>
      <w:r>
        <w:rPr>
          <w:rFonts w:hint="eastAsia" w:ascii="仿宋" w:hAnsi="仿宋" w:eastAsia="仿宋" w:cs="仿宋"/>
          <w:color w:val="auto"/>
          <w:sz w:val="32"/>
          <w:szCs w:val="32"/>
          <w:lang w:val="en-US" w:eastAsia="zh-CN"/>
        </w:rPr>
        <w:t>2021年，机关运行经费财政拨款预算为0元。</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482" w:firstLineChars="150"/>
        <w:textAlignment w:val="auto"/>
        <w:rPr>
          <w:rFonts w:ascii="仿宋_GB2312" w:hAnsi="微软雅黑" w:eastAsia="仿宋_GB2312" w:cs="宋体"/>
          <w:color w:val="333333"/>
          <w:kern w:val="0"/>
          <w:sz w:val="32"/>
          <w:szCs w:val="32"/>
        </w:rPr>
      </w:pPr>
      <w:r>
        <w:rPr>
          <w:rFonts w:hint="eastAsia" w:ascii="仿宋_GB2312" w:hAnsi="微软雅黑" w:eastAsia="仿宋_GB2312" w:cs="宋体"/>
          <w:b/>
          <w:bCs/>
          <w:color w:val="333333"/>
          <w:kern w:val="0"/>
          <w:sz w:val="32"/>
          <w:szCs w:val="32"/>
        </w:rPr>
        <w:t>（二）政府采购情况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2021年，安排政府采购预算0元。</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482" w:firstLineChars="150"/>
        <w:textAlignment w:val="auto"/>
        <w:rPr>
          <w:rFonts w:ascii="仿宋_GB2312" w:hAnsi="微软雅黑" w:eastAsia="仿宋_GB2312" w:cs="宋体"/>
          <w:color w:val="333333"/>
          <w:kern w:val="0"/>
          <w:sz w:val="32"/>
          <w:szCs w:val="32"/>
        </w:rPr>
      </w:pPr>
      <w:r>
        <w:rPr>
          <w:rFonts w:hint="eastAsia" w:ascii="仿宋_GB2312" w:hAnsi="微软雅黑" w:eastAsia="仿宋_GB2312" w:cs="宋体"/>
          <w:b/>
          <w:bCs/>
          <w:color w:val="333333"/>
          <w:kern w:val="0"/>
          <w:sz w:val="32"/>
          <w:szCs w:val="32"/>
        </w:rPr>
        <w:t>（三）国有资产占有使用情况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截至2020年底，我单位有一般公务用车、执法执勤用车。2021年部门预算未安排购置车辆。</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482" w:firstLineChars="150"/>
        <w:textAlignment w:val="auto"/>
        <w:rPr>
          <w:rFonts w:ascii="仿宋_GB2312" w:hAnsi="微软雅黑" w:eastAsia="仿宋_GB2312" w:cs="宋体"/>
          <w:color w:val="333333"/>
          <w:kern w:val="0"/>
          <w:sz w:val="32"/>
          <w:szCs w:val="32"/>
        </w:rPr>
      </w:pPr>
      <w:r>
        <w:rPr>
          <w:rFonts w:hint="eastAsia" w:ascii="仿宋_GB2312" w:hAnsi="微软雅黑" w:eastAsia="仿宋_GB2312" w:cs="宋体"/>
          <w:b/>
          <w:bCs/>
          <w:color w:val="333333"/>
          <w:kern w:val="0"/>
          <w:sz w:val="32"/>
          <w:szCs w:val="32"/>
        </w:rPr>
        <w:t>（四）绩效评价</w:t>
      </w:r>
      <w:r>
        <w:rPr>
          <w:rFonts w:ascii="仿宋_GB2312" w:hAnsi="微软雅黑" w:eastAsia="仿宋_GB2312" w:cs="宋体"/>
          <w:b/>
          <w:bCs/>
          <w:color w:val="333333"/>
          <w:kern w:val="0"/>
          <w:sz w:val="32"/>
          <w:szCs w:val="32"/>
        </w:rPr>
        <w:t>及绩效</w:t>
      </w:r>
      <w:r>
        <w:rPr>
          <w:rFonts w:hint="eastAsia" w:ascii="仿宋_GB2312" w:hAnsi="微软雅黑" w:eastAsia="仿宋_GB2312" w:cs="宋体"/>
          <w:b/>
          <w:bCs/>
          <w:color w:val="333333"/>
          <w:kern w:val="0"/>
          <w:sz w:val="32"/>
          <w:szCs w:val="32"/>
        </w:rPr>
        <w:t>目标设置情况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按《旺苍县财政支出绩效评价管理办法》规定，我单位编制了部门整体支出绩效目标。我单位将牢牢树立绩效管理理念、强化主体意识、落实工作责任，切实将绩效评价作为改进工作管理、提升工作水平、提高资金效益的有力措施。在开展评价工作中，积极提供资料、主动配合工作，共同推进绩效评价有序开展、取得实效。</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3" w:firstLineChars="200"/>
        <w:textAlignment w:val="auto"/>
        <w:rPr>
          <w:rFonts w:ascii="黑体" w:hAnsi="黑体" w:eastAsia="黑体" w:cs="宋体"/>
          <w:b/>
          <w:color w:val="333333"/>
          <w:kern w:val="0"/>
          <w:sz w:val="32"/>
          <w:szCs w:val="32"/>
        </w:rPr>
      </w:pPr>
      <w:r>
        <w:rPr>
          <w:rFonts w:hint="eastAsia" w:ascii="黑体" w:hAnsi="黑体" w:eastAsia="黑体" w:cs="宋体"/>
          <w:b/>
          <w:color w:val="333333"/>
          <w:kern w:val="0"/>
          <w:sz w:val="32"/>
          <w:szCs w:val="32"/>
        </w:rPr>
        <w:t>十、专用名词解释</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1、一般公共预算拨款收入。指财政当年拨付的资金。</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2、基本支出：指为保障机构正常运转、完成日常工作任务而发生的人员支出和公用支出。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3、项目支出：指在基本支出之外为完成相关行政任务和事业发展目标所发生的支出。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4、政府采购预算是指采购机关根据事业发展计划和行政任务编制的、并经过规定程序批准的年度政府采购计划。</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5、“三公”经费：是指用财政拨款安排的因公出国（境）费、公务用车购置及运行费和公务接待费。其中，因公出国（境）费反映单位公务出国（境）的住宿费、旅费、伙食补助费、杂费、培训费等支出；公</w:t>
      </w:r>
      <w:bookmarkStart w:id="0" w:name="_GoBack"/>
      <w:bookmarkEnd w:id="0"/>
      <w:r>
        <w:rPr>
          <w:rFonts w:hint="eastAsia" w:ascii="仿宋" w:hAnsi="仿宋" w:eastAsia="仿宋" w:cs="仿宋"/>
          <w:color w:val="auto"/>
          <w:sz w:val="32"/>
          <w:szCs w:val="32"/>
          <w:lang w:val="en-US" w:eastAsia="zh-CN"/>
        </w:rPr>
        <w:t>务用车购置及运行费反映单位公务用车购置费及租用费、燃料费、维修费、过路过桥费、保险费、安全奖励费用等支出；公务接待费反映单位按规定开支的各类公务接待（含外宾接待）支出。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6、绩效评价：财政绩效评价也称政府支出绩效评价，是指运用一定的评价方法、量化指标及评价标准，对政府部门为实现其职能所确定的绩效目标的实现程度以及为实现这一目标所安排预算的执行结果进行的综合性评价。</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7、机关运行经费。为保障行政单位（包括参照公务员法管理的事业单位）运行用于购买货物和服务的各项资金。包括办公及印刷费、邮电费、差旅费、会议费、福利费、日常维修费、公务接待费、专用材料及一般设备购置费、办公用房水电费、办公用房物业管理费、公务用车运行维护费以及其他费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8、社会保障和就业（类）行政事业单位离退休（款）机关事业单位基本养老保险缴费支出（项）。指部门实施养老保险制度后，由单位缴纳的养老保险费的支出。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9、卫生健康（类）行政事业单位医疗（款）行政单位医疗（项）。指单位用于缴纳单位基本医疗保险支出。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10、卫生健康（类）行政事业单位医疗（款）事业单位医疗（项）。指事业单位用于缴纳单位基本医疗保险支出。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11、住房保障（类）住房改革支出（款）住房公积金（项）。指按照《住房公积金管理条例》的规定，由单位及其在职职工缴存的长期住房储金。</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modern"/>
    <w:pitch w:val="default"/>
    <w:sig w:usb0="800002BF" w:usb1="38CF7CFA" w:usb2="00000016" w:usb3="00000000" w:csb0="00040001"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等线">
    <w:altName w:val="Arial Unicode MS"/>
    <w:panose1 w:val="00000000000000000000"/>
    <w:charset w:val="00"/>
    <w:family w:val="auto"/>
    <w:pitch w:val="default"/>
    <w:sig w:usb0="00000000" w:usb1="00000000" w:usb2="00000000" w:usb3="00000000" w:csb0="00000000"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052072620"/>
      <w:docPartObj>
        <w:docPartGallery w:val="autotext"/>
      </w:docPartObj>
    </w:sdtPr>
    <w:sdtContent>
      <w:p>
        <w:pPr>
          <w:pStyle w:val="3"/>
          <w:jc w:val="center"/>
        </w:pPr>
        <w:r>
          <w:fldChar w:fldCharType="begin"/>
        </w:r>
        <w:r>
          <w:instrText xml:space="preserve">PAGE   \* MERGEFORMAT</w:instrText>
        </w:r>
        <w:r>
          <w:fldChar w:fldCharType="separate"/>
        </w:r>
        <w:r>
          <w:rPr>
            <w:lang w:val="zh-CN"/>
          </w:rPr>
          <w:t>6</w:t>
        </w:r>
        <w:r>
          <w:fldChar w:fldCharType="end"/>
        </w:r>
      </w:p>
    </w:sdtContent>
  </w:sdt>
  <w:p>
    <w:pPr>
      <w:pStyle w:val="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WY0MGY2ZmZlMDYxOTU4YTc3MDZkZTY3N2FlNmZhZGEifQ=="/>
  </w:docVars>
  <w:rsids>
    <w:rsidRoot w:val="00BB5391"/>
    <w:rsid w:val="00052F1C"/>
    <w:rsid w:val="000B785C"/>
    <w:rsid w:val="00161957"/>
    <w:rsid w:val="002422E0"/>
    <w:rsid w:val="002A63AB"/>
    <w:rsid w:val="00461C1F"/>
    <w:rsid w:val="004678FA"/>
    <w:rsid w:val="00475D25"/>
    <w:rsid w:val="004A08FD"/>
    <w:rsid w:val="004E3253"/>
    <w:rsid w:val="005423BA"/>
    <w:rsid w:val="00612517"/>
    <w:rsid w:val="00672132"/>
    <w:rsid w:val="006C2636"/>
    <w:rsid w:val="00765CD1"/>
    <w:rsid w:val="007778B7"/>
    <w:rsid w:val="007F34CF"/>
    <w:rsid w:val="00A372A6"/>
    <w:rsid w:val="00AF7787"/>
    <w:rsid w:val="00B179AD"/>
    <w:rsid w:val="00B603FB"/>
    <w:rsid w:val="00BB5391"/>
    <w:rsid w:val="00BB579F"/>
    <w:rsid w:val="00BF4C33"/>
    <w:rsid w:val="00C74BA3"/>
    <w:rsid w:val="00D37AFA"/>
    <w:rsid w:val="00D60952"/>
    <w:rsid w:val="00D8617D"/>
    <w:rsid w:val="00DA746F"/>
    <w:rsid w:val="00FA15EA"/>
    <w:rsid w:val="03F164B8"/>
    <w:rsid w:val="05DE36F7"/>
    <w:rsid w:val="08A116EA"/>
    <w:rsid w:val="08E15357"/>
    <w:rsid w:val="0F603FF3"/>
    <w:rsid w:val="0FB32D84"/>
    <w:rsid w:val="11AC7198"/>
    <w:rsid w:val="12B02AC5"/>
    <w:rsid w:val="18775797"/>
    <w:rsid w:val="1D9C4564"/>
    <w:rsid w:val="1F2E743E"/>
    <w:rsid w:val="255B4D05"/>
    <w:rsid w:val="26525CA8"/>
    <w:rsid w:val="36B67FED"/>
    <w:rsid w:val="3D2D6B2F"/>
    <w:rsid w:val="42750D5C"/>
    <w:rsid w:val="434D0E60"/>
    <w:rsid w:val="436C56C2"/>
    <w:rsid w:val="45C254BE"/>
    <w:rsid w:val="469D2F78"/>
    <w:rsid w:val="4ED05ADA"/>
    <w:rsid w:val="4F607F88"/>
    <w:rsid w:val="50597BD2"/>
    <w:rsid w:val="525335B6"/>
    <w:rsid w:val="52C5188C"/>
    <w:rsid w:val="55620380"/>
    <w:rsid w:val="58533496"/>
    <w:rsid w:val="5A4C3F77"/>
    <w:rsid w:val="5AEE2D41"/>
    <w:rsid w:val="5D055F58"/>
    <w:rsid w:val="5DD76917"/>
    <w:rsid w:val="62A7094F"/>
    <w:rsid w:val="6A0C7949"/>
    <w:rsid w:val="6C00528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customStyle="1" w:styleId="2">
    <w:name w:val="_Style 2"/>
    <w:next w:val="1"/>
    <w:qFormat/>
    <w:uiPriority w:val="39"/>
    <w:pPr>
      <w:keepNext/>
      <w:keepLines/>
      <w:spacing w:before="480" w:beforeAutospacing="0" w:after="0" w:afterAutospacing="0" w:line="276" w:lineRule="auto"/>
      <w:jc w:val="both"/>
      <w:outlineLvl w:val="9"/>
    </w:pPr>
    <w:rPr>
      <w:rFonts w:ascii="仿宋" w:hAnsi="仿宋" w:eastAsia="仿宋" w:cs="Times New Roman"/>
      <w:color w:val="000000"/>
      <w:kern w:val="0"/>
      <w:sz w:val="32"/>
      <w:szCs w:val="32"/>
    </w:rPr>
  </w:style>
  <w:style w:type="paragraph" w:styleId="3">
    <w:name w:val="footer"/>
    <w:basedOn w:val="1"/>
    <w:link w:val="10"/>
    <w:unhideWhenUsed/>
    <w:qFormat/>
    <w:uiPriority w:val="99"/>
    <w:pPr>
      <w:tabs>
        <w:tab w:val="center" w:pos="4153"/>
        <w:tab w:val="right" w:pos="8306"/>
      </w:tabs>
      <w:snapToGrid w:val="0"/>
      <w:jc w:val="left"/>
    </w:pPr>
    <w:rPr>
      <w:sz w:val="18"/>
      <w:szCs w:val="18"/>
    </w:rPr>
  </w:style>
  <w:style w:type="paragraph" w:styleId="4">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styleId="8">
    <w:name w:val="Strong"/>
    <w:basedOn w:val="7"/>
    <w:qFormat/>
    <w:uiPriority w:val="22"/>
    <w:rPr>
      <w:b/>
      <w:bCs/>
    </w:rPr>
  </w:style>
  <w:style w:type="character" w:customStyle="1" w:styleId="9">
    <w:name w:val="页眉 字符"/>
    <w:basedOn w:val="7"/>
    <w:link w:val="4"/>
    <w:qFormat/>
    <w:uiPriority w:val="99"/>
    <w:rPr>
      <w:sz w:val="18"/>
      <w:szCs w:val="18"/>
    </w:rPr>
  </w:style>
  <w:style w:type="character" w:customStyle="1" w:styleId="10">
    <w:name w:val="页脚 字符"/>
    <w:basedOn w:val="7"/>
    <w:link w:val="3"/>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73A22A4-97C1-489E-87A1-AA4B3A5E723B}">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5</Pages>
  <Words>2246</Words>
  <Characters>2418</Characters>
  <Lines>19</Lines>
  <Paragraphs>5</Paragraphs>
  <TotalTime>1</TotalTime>
  <ScaleCrop>false</ScaleCrop>
  <LinksUpToDate>false</LinksUpToDate>
  <CharactersWithSpaces>2423</CharactersWithSpaces>
  <Application>WPS Office_11.8.6.11825_F1E327BC-269C-435d-A152-05C5408002CA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2018-02-02T00:59:00Z</dcterms:created>
  <dc:creator>HP</dc:creator>
  <cp:lastModifiedBy>向红桔</cp:lastModifiedBy>
  <dcterms:modified xsi:type="dcterms:W3CDTF">2025-02-28T07:04:55Z</dcterms:modified>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2052-11.8.6.11825</vt:lpwstr>
  </property>
  <property fmtid="{D5CDD505-2E9C-101B-9397-08002B2CF9AE}" pid="3" name="ICV">
    <vt:lpwstr>43D7E8330A3F4F0999F97FE589358132</vt:lpwstr>
  </property>
</Properties>
</file>