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06F9">
      <w:pPr>
        <w:spacing w:line="600" w:lineRule="exact"/>
        <w:jc w:val="center"/>
        <w:outlineLvl w:val="0"/>
        <w:rPr>
          <w:rFonts w:ascii="方正小标宋简体" w:hAnsi="宋体" w:eastAsia="方正小标宋简体"/>
          <w:sz w:val="72"/>
          <w:szCs w:val="72"/>
        </w:rPr>
      </w:pPr>
      <w:bookmarkStart w:id="0" w:name="_Toc15306267"/>
    </w:p>
    <w:p w14:paraId="1E0EBC5A">
      <w:pPr>
        <w:spacing w:line="600" w:lineRule="exact"/>
        <w:jc w:val="center"/>
        <w:outlineLvl w:val="0"/>
        <w:rPr>
          <w:rFonts w:ascii="方正小标宋简体" w:hAnsi="宋体" w:eastAsia="方正小标宋简体"/>
          <w:sz w:val="72"/>
          <w:szCs w:val="72"/>
        </w:rPr>
      </w:pPr>
    </w:p>
    <w:p w14:paraId="22C3D666">
      <w:pPr>
        <w:spacing w:line="600" w:lineRule="exact"/>
        <w:jc w:val="center"/>
        <w:outlineLvl w:val="0"/>
        <w:rPr>
          <w:rFonts w:ascii="方正小标宋简体" w:hAnsi="宋体" w:eastAsia="方正小标宋简体"/>
          <w:sz w:val="72"/>
          <w:szCs w:val="72"/>
        </w:rPr>
      </w:pPr>
    </w:p>
    <w:p w14:paraId="483527D8">
      <w:pPr>
        <w:spacing w:line="600" w:lineRule="exact"/>
        <w:jc w:val="center"/>
        <w:outlineLvl w:val="0"/>
        <w:rPr>
          <w:rFonts w:ascii="方正小标宋简体" w:hAnsi="宋体" w:eastAsia="方正小标宋简体"/>
          <w:sz w:val="72"/>
          <w:szCs w:val="72"/>
        </w:rPr>
      </w:pPr>
    </w:p>
    <w:p w14:paraId="4CE8BC70">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78441"/>
      <w:bookmarkStart w:id="4" w:name="_Toc15377425"/>
      <w:bookmarkStart w:id="5" w:name="_Toc15396475"/>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5"/>
      <w:bookmarkStart w:id="6" w:name="_Toc15396598"/>
      <w:bookmarkStart w:id="7" w:name="_Toc15377194"/>
      <w:bookmarkStart w:id="8" w:name="_Toc15306268"/>
      <w:bookmarkStart w:id="9" w:name="_Toc15396476"/>
      <w:bookmarkStart w:id="10" w:name="_Toc15378442"/>
      <w:bookmarkStart w:id="11" w:name="_Toc15377426"/>
    </w:p>
    <w:p w14:paraId="757AAD97">
      <w:pPr>
        <w:adjustRightInd w:val="0"/>
        <w:snapToGrid w:val="0"/>
        <w:spacing w:line="360" w:lineRule="auto"/>
        <w:ind w:left="-420" w:leftChars="-200"/>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中共旺苍县纪律检查委员会</w:t>
      </w:r>
    </w:p>
    <w:p w14:paraId="6FCE6E80">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253CFD6D">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3CAF3E2">
      <w:pPr>
        <w:widowControl/>
        <w:jc w:val="center"/>
        <w:rPr>
          <w:rFonts w:ascii="黑体" w:hAnsi="黑体" w:eastAsia="黑体" w:cstheme="minorBidi"/>
          <w:sz w:val="28"/>
          <w:szCs w:val="28"/>
        </w:rPr>
      </w:pPr>
    </w:p>
    <w:p w14:paraId="2DED9E05">
      <w:pPr>
        <w:pStyle w:val="10"/>
      </w:pPr>
      <w:r>
        <w:rPr>
          <w:rFonts w:hint="eastAsia"/>
        </w:rPr>
        <w:t>公开时间：2022年10月11日</w:t>
      </w:r>
    </w:p>
    <w:p w14:paraId="3F98F6D2"/>
    <w:p w14:paraId="0FDB55BB">
      <w:pPr>
        <w:pStyle w:val="10"/>
        <w:adjustRightInd w:val="0"/>
        <w:snapToGrid w:val="0"/>
        <w:spacing w:before="0" w:line="440" w:lineRule="exact"/>
        <w:jc w:val="left"/>
        <w:rPr>
          <w:rFonts w:cstheme="minorBidi"/>
          <w:sz w:val="24"/>
          <w:szCs w:val="24"/>
        </w:rPr>
      </w:pPr>
      <w:r>
        <w:rPr>
          <w:rFonts w:hint="eastAsia"/>
          <w:sz w:val="24"/>
        </w:rPr>
        <w:t>第一部分单位概况</w:t>
      </w:r>
    </w:p>
    <w:p w14:paraId="06822046">
      <w:pPr>
        <w:pStyle w:val="11"/>
        <w:adjustRightInd w:val="0"/>
        <w:snapToGrid w:val="0"/>
        <w:spacing w:line="440" w:lineRule="exact"/>
        <w:jc w:val="left"/>
        <w:rPr>
          <w:rFonts w:asciiTheme="minorEastAsia" w:hAnsiTheme="minorEastAsia" w:eastAsiaTheme="minorEastAsia" w:cstheme="minorEastAsia"/>
          <w:sz w:val="24"/>
        </w:rPr>
      </w:pPr>
      <w:r>
        <w:rPr>
          <w:rFonts w:hint="eastAsia"/>
          <w:sz w:val="24"/>
        </w:rPr>
        <w:t>一、职能简介</w:t>
      </w:r>
      <w:r>
        <w:rPr>
          <w:rFonts w:ascii="仿宋" w:hAnsi="仿宋" w:eastAsia="仿宋"/>
          <w:sz w:val="24"/>
          <w:szCs w:val="28"/>
        </w:rPr>
        <w:t>........................</w:t>
      </w:r>
      <w:r>
        <w:rPr>
          <w:rFonts w:hint="eastAsia" w:ascii="仿宋" w:hAnsi="仿宋" w:eastAsia="仿宋"/>
          <w:sz w:val="24"/>
          <w:szCs w:val="28"/>
        </w:rPr>
        <w:t>.............................</w:t>
      </w:r>
      <w:r>
        <w:rPr>
          <w:rFonts w:hint="eastAsia" w:asciiTheme="minorEastAsia" w:hAnsiTheme="minorEastAsia" w:eastAsiaTheme="minorEastAsia" w:cstheme="minorEastAsia"/>
          <w:sz w:val="24"/>
        </w:rPr>
        <w:t>4</w:t>
      </w:r>
    </w:p>
    <w:p w14:paraId="144D7199">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w:t>
      </w:r>
      <w:r>
        <w:rPr>
          <w:rFonts w:ascii="仿宋" w:hAnsi="仿宋" w:eastAsia="仿宋"/>
          <w:sz w:val="24"/>
          <w:szCs w:val="28"/>
        </w:rPr>
        <w:t>.....</w:t>
      </w:r>
      <w:r>
        <w:rPr>
          <w:rFonts w:hint="eastAsia" w:ascii="仿宋" w:hAnsi="仿宋" w:eastAsia="仿宋"/>
          <w:sz w:val="24"/>
          <w:szCs w:val="28"/>
        </w:rPr>
        <w:t>..............................</w:t>
      </w:r>
      <w:r>
        <w:rPr>
          <w:rFonts w:ascii="仿宋" w:hAnsi="仿宋" w:eastAsia="仿宋"/>
          <w:sz w:val="24"/>
          <w:szCs w:val="28"/>
        </w:rPr>
        <w:t>....</w:t>
      </w:r>
      <w:r>
        <w:rPr>
          <w:rFonts w:hint="eastAsia" w:asciiTheme="minorEastAsia" w:hAnsiTheme="minorEastAsia" w:eastAsiaTheme="minorEastAsia" w:cstheme="minorEastAsia"/>
          <w:sz w:val="24"/>
        </w:rPr>
        <w:t>6</w:t>
      </w:r>
    </w:p>
    <w:p w14:paraId="0E40121F">
      <w:pPr>
        <w:pStyle w:val="10"/>
        <w:adjustRightInd w:val="0"/>
        <w:snapToGrid w:val="0"/>
        <w:spacing w:before="0" w:line="440" w:lineRule="exact"/>
        <w:jc w:val="left"/>
        <w:rPr>
          <w:sz w:val="24"/>
          <w:szCs w:val="24"/>
        </w:rPr>
      </w:pPr>
      <w:r>
        <w:rPr>
          <w:rFonts w:hint="eastAsia"/>
          <w:sz w:val="24"/>
        </w:rPr>
        <w:t>第二部分 2021年度单位决算情况说明.................................</w:t>
      </w:r>
      <w:r>
        <w:rPr>
          <w:rFonts w:hint="eastAsia" w:asciiTheme="minorEastAsia" w:hAnsiTheme="minorEastAsia" w:eastAsiaTheme="minorEastAsia" w:cstheme="minorEastAsia"/>
          <w:sz w:val="24"/>
          <w:szCs w:val="24"/>
        </w:rPr>
        <w:t>10</w:t>
      </w:r>
    </w:p>
    <w:p w14:paraId="5999515D">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ascii="仿宋" w:hAnsi="仿宋" w:eastAsia="仿宋"/>
          <w:sz w:val="24"/>
          <w:szCs w:val="28"/>
        </w:rPr>
        <w:t>....................................10</w:t>
      </w:r>
    </w:p>
    <w:p w14:paraId="281E533F">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ascii="仿宋" w:hAnsi="仿宋" w:eastAsia="仿宋"/>
          <w:sz w:val="24"/>
          <w:szCs w:val="28"/>
        </w:rPr>
        <w:t>............................................10</w:t>
      </w:r>
    </w:p>
    <w:p w14:paraId="5EFD0D93">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ascii="仿宋" w:hAnsi="仿宋" w:eastAsia="仿宋"/>
          <w:sz w:val="24"/>
          <w:szCs w:val="28"/>
        </w:rPr>
        <w:t>............................................11</w:t>
      </w:r>
    </w:p>
    <w:p w14:paraId="619E6055">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ascii="仿宋" w:hAnsi="仿宋" w:eastAsia="仿宋"/>
          <w:sz w:val="24"/>
          <w:szCs w:val="28"/>
        </w:rPr>
        <w:t>............................11</w:t>
      </w:r>
    </w:p>
    <w:p w14:paraId="015EABD4">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ascii="仿宋" w:hAnsi="仿宋" w:eastAsia="仿宋"/>
          <w:sz w:val="24"/>
          <w:szCs w:val="28"/>
        </w:rPr>
        <w:t>........................12</w:t>
      </w:r>
    </w:p>
    <w:p w14:paraId="66200EA4">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ascii="仿宋" w:hAnsi="仿宋" w:eastAsia="仿宋"/>
          <w:sz w:val="24"/>
          <w:szCs w:val="28"/>
        </w:rPr>
        <w:t>....................14</w:t>
      </w:r>
    </w:p>
    <w:p w14:paraId="0D7199F7">
      <w:pPr>
        <w:pStyle w:val="11"/>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w:t>
      </w:r>
      <w:r>
        <w:rPr>
          <w:rFonts w:hint="eastAsia" w:ascii="仿宋" w:hAnsi="仿宋" w:eastAsia="仿宋"/>
          <w:sz w:val="24"/>
          <w:szCs w:val="28"/>
        </w:rPr>
        <w:t>..........................14</w:t>
      </w:r>
    </w:p>
    <w:p w14:paraId="59A919EF">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ascii="仿宋" w:hAnsi="仿宋" w:eastAsia="仿宋"/>
          <w:sz w:val="24"/>
          <w:szCs w:val="28"/>
        </w:rPr>
        <w:t>..............................16</w:t>
      </w:r>
    </w:p>
    <w:p w14:paraId="23EC17C2">
      <w:pPr>
        <w:pStyle w:val="11"/>
        <w:adjustRightInd w:val="0"/>
        <w:snapToGrid w:val="0"/>
        <w:spacing w:line="440" w:lineRule="exact"/>
        <w:jc w:val="left"/>
        <w:rPr>
          <w:sz w:val="24"/>
        </w:rPr>
      </w:pPr>
      <w:r>
        <w:rPr>
          <w:rFonts w:hint="eastAsia"/>
          <w:sz w:val="24"/>
        </w:rPr>
        <w:t>九、国有资本经营预算支出决算情况说明</w:t>
      </w:r>
      <w:r>
        <w:rPr>
          <w:rFonts w:hint="eastAsia" w:ascii="仿宋" w:hAnsi="仿宋" w:eastAsia="仿宋"/>
          <w:sz w:val="24"/>
          <w:szCs w:val="28"/>
        </w:rPr>
        <w:t>............................16</w:t>
      </w:r>
    </w:p>
    <w:p w14:paraId="34CEE923">
      <w:pPr>
        <w:pStyle w:val="11"/>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w:t>
      </w:r>
      <w:r>
        <w:rPr>
          <w:rFonts w:hint="eastAsia" w:ascii="仿宋" w:hAnsi="仿宋" w:eastAsia="仿宋"/>
          <w:sz w:val="24"/>
          <w:szCs w:val="28"/>
        </w:rPr>
        <w:t>............................................16</w:t>
      </w:r>
    </w:p>
    <w:p w14:paraId="3B7780F8">
      <w:pPr>
        <w:pStyle w:val="11"/>
        <w:adjustRightInd w:val="0"/>
        <w:snapToGrid w:val="0"/>
        <w:spacing w:line="440" w:lineRule="exact"/>
        <w:jc w:val="left"/>
      </w:pPr>
      <w:r>
        <w:rPr>
          <w:rFonts w:hint="eastAsia"/>
          <w:sz w:val="24"/>
        </w:rPr>
        <w:t>十一、其他重要事项的情况说明</w:t>
      </w:r>
      <w:r>
        <w:rPr>
          <w:rFonts w:hint="eastAsia" w:ascii="仿宋" w:hAnsi="仿宋" w:eastAsia="仿宋"/>
          <w:sz w:val="24"/>
          <w:szCs w:val="28"/>
        </w:rPr>
        <w:t>....................................16</w:t>
      </w:r>
    </w:p>
    <w:p w14:paraId="21A82CAB">
      <w:pPr>
        <w:pStyle w:val="10"/>
        <w:adjustRightInd w:val="0"/>
        <w:snapToGrid w:val="0"/>
        <w:spacing w:before="0" w:line="440" w:lineRule="exact"/>
        <w:jc w:val="left"/>
        <w:rPr>
          <w:sz w:val="24"/>
        </w:rPr>
      </w:pPr>
      <w:r>
        <w:rPr>
          <w:rFonts w:hint="eastAsia" w:ascii="Times New Roman" w:hAnsi="Times New Roman" w:eastAsia="宋体"/>
          <w:sz w:val="24"/>
          <w:szCs w:val="24"/>
        </w:rPr>
        <w:t>第三部分名词解释</w:t>
      </w:r>
      <w:r>
        <w:rPr>
          <w:rFonts w:hint="eastAsia"/>
          <w:sz w:val="24"/>
        </w:rPr>
        <w:t>...................................................18</w:t>
      </w:r>
    </w:p>
    <w:p w14:paraId="63AC327B">
      <w:pPr>
        <w:pStyle w:val="10"/>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第四部分附件</w:t>
      </w:r>
      <w:r>
        <w:rPr>
          <w:rFonts w:hint="eastAsia"/>
          <w:sz w:val="24"/>
        </w:rPr>
        <w:t>.......................................................21</w:t>
      </w:r>
    </w:p>
    <w:p w14:paraId="49A785DA">
      <w:pPr>
        <w:pStyle w:val="10"/>
        <w:adjustRightInd w:val="0"/>
        <w:snapToGrid w:val="0"/>
        <w:spacing w:before="0" w:line="440" w:lineRule="exact"/>
        <w:jc w:val="left"/>
        <w:rPr>
          <w:rFonts w:cstheme="minorBidi"/>
          <w:sz w:val="24"/>
          <w:szCs w:val="24"/>
        </w:rPr>
      </w:pPr>
      <w:r>
        <w:rPr>
          <w:rFonts w:hint="eastAsia" w:ascii="Times New Roman" w:hAnsi="Times New Roman" w:eastAsia="宋体"/>
          <w:sz w:val="24"/>
          <w:szCs w:val="24"/>
        </w:rPr>
        <w:t>第五部分附表</w:t>
      </w:r>
      <w:r>
        <w:rPr>
          <w:rFonts w:hint="eastAsia"/>
          <w:sz w:val="24"/>
        </w:rPr>
        <w:t>.......................................................27</w:t>
      </w:r>
    </w:p>
    <w:p w14:paraId="0912216E">
      <w:pPr>
        <w:pStyle w:val="11"/>
        <w:adjustRightInd w:val="0"/>
        <w:snapToGrid w:val="0"/>
        <w:spacing w:line="440" w:lineRule="exact"/>
        <w:jc w:val="left"/>
        <w:rPr>
          <w:sz w:val="24"/>
        </w:rPr>
      </w:pPr>
      <w:r>
        <w:rPr>
          <w:rFonts w:hint="eastAsia"/>
          <w:sz w:val="24"/>
        </w:rPr>
        <w:t>一、收入支出决算总表</w:t>
      </w:r>
      <w:r>
        <w:rPr>
          <w:rFonts w:hint="eastAsia" w:ascii="仿宋" w:hAnsi="仿宋" w:eastAsia="仿宋"/>
          <w:sz w:val="24"/>
          <w:szCs w:val="28"/>
        </w:rPr>
        <w:t>............................................27</w:t>
      </w:r>
    </w:p>
    <w:p w14:paraId="780EAA04">
      <w:pPr>
        <w:pStyle w:val="11"/>
        <w:adjustRightInd w:val="0"/>
        <w:snapToGrid w:val="0"/>
        <w:spacing w:line="440" w:lineRule="exact"/>
        <w:jc w:val="left"/>
        <w:rPr>
          <w:sz w:val="24"/>
        </w:rPr>
      </w:pPr>
      <w:r>
        <w:rPr>
          <w:rFonts w:hint="eastAsia"/>
          <w:sz w:val="24"/>
        </w:rPr>
        <w:t>二、收入决算表</w:t>
      </w:r>
      <w:r>
        <w:rPr>
          <w:rFonts w:hint="eastAsia" w:ascii="仿宋" w:hAnsi="仿宋" w:eastAsia="仿宋"/>
          <w:sz w:val="24"/>
          <w:szCs w:val="28"/>
        </w:rPr>
        <w:t>..................................................27</w:t>
      </w:r>
    </w:p>
    <w:p w14:paraId="059B9AFC">
      <w:pPr>
        <w:pStyle w:val="11"/>
        <w:adjustRightInd w:val="0"/>
        <w:snapToGrid w:val="0"/>
        <w:spacing w:line="440" w:lineRule="exact"/>
        <w:jc w:val="left"/>
        <w:rPr>
          <w:sz w:val="24"/>
        </w:rPr>
      </w:pPr>
      <w:r>
        <w:rPr>
          <w:rFonts w:hint="eastAsia"/>
          <w:sz w:val="24"/>
        </w:rPr>
        <w:t>三、支出决算表</w:t>
      </w:r>
      <w:r>
        <w:rPr>
          <w:rFonts w:hint="eastAsia" w:ascii="仿宋" w:hAnsi="仿宋" w:eastAsia="仿宋"/>
          <w:sz w:val="24"/>
          <w:szCs w:val="28"/>
        </w:rPr>
        <w:t>..................................................27</w:t>
      </w:r>
    </w:p>
    <w:p w14:paraId="349719B3">
      <w:pPr>
        <w:pStyle w:val="11"/>
        <w:adjustRightInd w:val="0"/>
        <w:snapToGrid w:val="0"/>
        <w:spacing w:line="440" w:lineRule="exact"/>
        <w:jc w:val="left"/>
        <w:rPr>
          <w:sz w:val="24"/>
        </w:rPr>
      </w:pPr>
      <w:r>
        <w:rPr>
          <w:rFonts w:hint="eastAsia"/>
          <w:sz w:val="24"/>
        </w:rPr>
        <w:t>四、财政拨款收入支出决算总表</w:t>
      </w:r>
      <w:r>
        <w:rPr>
          <w:rFonts w:hint="eastAsia" w:ascii="仿宋" w:hAnsi="仿宋" w:eastAsia="仿宋"/>
          <w:sz w:val="24"/>
          <w:szCs w:val="28"/>
        </w:rPr>
        <w:t>....................................27</w:t>
      </w:r>
    </w:p>
    <w:p w14:paraId="7F06DB97">
      <w:pPr>
        <w:pStyle w:val="11"/>
        <w:adjustRightInd w:val="0"/>
        <w:snapToGrid w:val="0"/>
        <w:spacing w:line="440" w:lineRule="exact"/>
        <w:jc w:val="left"/>
        <w:rPr>
          <w:sz w:val="24"/>
        </w:rPr>
      </w:pPr>
      <w:r>
        <w:rPr>
          <w:rFonts w:hint="eastAsia"/>
          <w:sz w:val="24"/>
        </w:rPr>
        <w:t>五、财政拨款支出决算明细表</w:t>
      </w:r>
      <w:r>
        <w:rPr>
          <w:rFonts w:hint="eastAsia" w:ascii="仿宋" w:hAnsi="仿宋" w:eastAsia="仿宋"/>
          <w:sz w:val="24"/>
          <w:szCs w:val="28"/>
        </w:rPr>
        <w:t>......................................27</w:t>
      </w:r>
    </w:p>
    <w:p w14:paraId="25B8A102">
      <w:pPr>
        <w:pStyle w:val="11"/>
        <w:adjustRightInd w:val="0"/>
        <w:snapToGrid w:val="0"/>
        <w:spacing w:line="440" w:lineRule="exact"/>
        <w:jc w:val="left"/>
        <w:rPr>
          <w:sz w:val="24"/>
        </w:rPr>
      </w:pPr>
      <w:r>
        <w:rPr>
          <w:rFonts w:hint="eastAsia"/>
          <w:sz w:val="24"/>
        </w:rPr>
        <w:t>六、一般公共预算财政拨款支出决算表</w:t>
      </w:r>
      <w:r>
        <w:rPr>
          <w:rFonts w:hint="eastAsia" w:ascii="仿宋" w:hAnsi="仿宋" w:eastAsia="仿宋"/>
          <w:sz w:val="24"/>
          <w:szCs w:val="28"/>
        </w:rPr>
        <w:t>..............................27</w:t>
      </w:r>
    </w:p>
    <w:p w14:paraId="385648CA">
      <w:pPr>
        <w:pStyle w:val="11"/>
        <w:adjustRightInd w:val="0"/>
        <w:snapToGrid w:val="0"/>
        <w:spacing w:line="440" w:lineRule="exact"/>
        <w:jc w:val="left"/>
        <w:rPr>
          <w:sz w:val="24"/>
        </w:rPr>
      </w:pPr>
      <w:r>
        <w:rPr>
          <w:rFonts w:hint="eastAsia"/>
          <w:sz w:val="24"/>
        </w:rPr>
        <w:t>七、一般公共预算财政拨款支出决算明细表</w:t>
      </w:r>
      <w:r>
        <w:rPr>
          <w:rFonts w:hint="eastAsia" w:ascii="仿宋" w:hAnsi="仿宋" w:eastAsia="仿宋"/>
          <w:sz w:val="24"/>
          <w:szCs w:val="28"/>
        </w:rPr>
        <w:t>..........................27</w:t>
      </w:r>
    </w:p>
    <w:p w14:paraId="6E0DE2BB">
      <w:pPr>
        <w:pStyle w:val="11"/>
        <w:adjustRightInd w:val="0"/>
        <w:snapToGrid w:val="0"/>
        <w:spacing w:line="440" w:lineRule="exact"/>
        <w:jc w:val="left"/>
        <w:rPr>
          <w:sz w:val="24"/>
        </w:rPr>
      </w:pPr>
      <w:r>
        <w:rPr>
          <w:rFonts w:hint="eastAsia"/>
          <w:sz w:val="24"/>
        </w:rPr>
        <w:t>八、一般公共预算财政拨款基本支出决算表</w:t>
      </w:r>
      <w:r>
        <w:rPr>
          <w:rFonts w:hint="eastAsia" w:ascii="仿宋" w:hAnsi="仿宋" w:eastAsia="仿宋"/>
          <w:sz w:val="24"/>
          <w:szCs w:val="28"/>
        </w:rPr>
        <w:t>..........................27</w:t>
      </w:r>
    </w:p>
    <w:p w14:paraId="210507C7">
      <w:pPr>
        <w:pStyle w:val="11"/>
        <w:adjustRightInd w:val="0"/>
        <w:snapToGrid w:val="0"/>
        <w:spacing w:line="440" w:lineRule="exact"/>
        <w:jc w:val="left"/>
        <w:rPr>
          <w:sz w:val="24"/>
        </w:rPr>
      </w:pPr>
      <w:r>
        <w:rPr>
          <w:rFonts w:hint="eastAsia"/>
          <w:sz w:val="24"/>
        </w:rPr>
        <w:t>九、一般公共预算财政拨款项目支出决算表</w:t>
      </w:r>
      <w:r>
        <w:rPr>
          <w:rFonts w:hint="eastAsia" w:ascii="仿宋" w:hAnsi="仿宋" w:eastAsia="仿宋"/>
          <w:sz w:val="24"/>
          <w:szCs w:val="28"/>
        </w:rPr>
        <w:t>..........................27</w:t>
      </w:r>
    </w:p>
    <w:p w14:paraId="25018B47">
      <w:pPr>
        <w:pStyle w:val="11"/>
        <w:adjustRightInd w:val="0"/>
        <w:snapToGrid w:val="0"/>
        <w:spacing w:line="440" w:lineRule="exact"/>
        <w:jc w:val="left"/>
        <w:rPr>
          <w:sz w:val="24"/>
        </w:rPr>
      </w:pPr>
      <w:r>
        <w:rPr>
          <w:rFonts w:hint="eastAsia"/>
          <w:sz w:val="24"/>
        </w:rPr>
        <w:t>十、一般公共预算财政拨款“三公”经费支出决算表</w:t>
      </w:r>
      <w:r>
        <w:rPr>
          <w:rFonts w:hint="eastAsia" w:ascii="仿宋" w:hAnsi="仿宋" w:eastAsia="仿宋"/>
          <w:sz w:val="24"/>
          <w:szCs w:val="28"/>
        </w:rPr>
        <w:t>..................27</w:t>
      </w:r>
    </w:p>
    <w:p w14:paraId="5AAD887B">
      <w:pPr>
        <w:pStyle w:val="11"/>
        <w:adjustRightInd w:val="0"/>
        <w:snapToGrid w:val="0"/>
        <w:spacing w:line="440" w:lineRule="exact"/>
        <w:jc w:val="left"/>
        <w:rPr>
          <w:sz w:val="24"/>
        </w:rPr>
      </w:pPr>
      <w:r>
        <w:rPr>
          <w:rFonts w:hint="eastAsia"/>
          <w:sz w:val="24"/>
        </w:rPr>
        <w:t>十一、政府性基金预算财政拨款收入支出决算表</w:t>
      </w:r>
      <w:r>
        <w:rPr>
          <w:rFonts w:hint="eastAsia" w:ascii="仿宋" w:hAnsi="仿宋" w:eastAsia="仿宋"/>
          <w:sz w:val="24"/>
          <w:szCs w:val="28"/>
        </w:rPr>
        <w:t>......................27</w:t>
      </w:r>
    </w:p>
    <w:p w14:paraId="2CEEC27C">
      <w:pPr>
        <w:pStyle w:val="11"/>
        <w:adjustRightInd w:val="0"/>
        <w:snapToGrid w:val="0"/>
        <w:spacing w:line="440" w:lineRule="exact"/>
        <w:jc w:val="left"/>
        <w:rPr>
          <w:sz w:val="24"/>
        </w:rPr>
      </w:pPr>
      <w:r>
        <w:rPr>
          <w:rFonts w:hint="eastAsia"/>
          <w:sz w:val="24"/>
        </w:rPr>
        <w:t>十二、政府性基金预算财政拨款“三公”经费支出决算表</w:t>
      </w:r>
      <w:r>
        <w:rPr>
          <w:rFonts w:hint="eastAsia" w:ascii="仿宋" w:hAnsi="仿宋" w:eastAsia="仿宋"/>
          <w:sz w:val="24"/>
          <w:szCs w:val="28"/>
        </w:rPr>
        <w:t>..............27</w:t>
      </w:r>
    </w:p>
    <w:p w14:paraId="77364573">
      <w:pPr>
        <w:pStyle w:val="11"/>
        <w:adjustRightInd w:val="0"/>
        <w:snapToGrid w:val="0"/>
        <w:spacing w:line="440" w:lineRule="exact"/>
        <w:jc w:val="left"/>
        <w:rPr>
          <w:sz w:val="24"/>
        </w:rPr>
      </w:pPr>
      <w:r>
        <w:rPr>
          <w:rFonts w:hint="eastAsia"/>
          <w:sz w:val="24"/>
        </w:rPr>
        <w:t>十三、国有资本经营预算财政拨款收入支出决算表</w:t>
      </w:r>
      <w:r>
        <w:rPr>
          <w:rFonts w:hint="eastAsia" w:ascii="仿宋" w:hAnsi="仿宋" w:eastAsia="仿宋"/>
          <w:sz w:val="24"/>
          <w:szCs w:val="28"/>
        </w:rPr>
        <w:t>....................27</w:t>
      </w:r>
    </w:p>
    <w:p w14:paraId="584932B9">
      <w:pPr>
        <w:pStyle w:val="11"/>
        <w:adjustRightInd w:val="0"/>
        <w:snapToGrid w:val="0"/>
        <w:spacing w:line="440" w:lineRule="exact"/>
        <w:jc w:val="left"/>
        <w:rPr>
          <w:sz w:val="24"/>
        </w:rPr>
      </w:pPr>
      <w:r>
        <w:rPr>
          <w:rFonts w:hint="eastAsia"/>
          <w:sz w:val="24"/>
        </w:rPr>
        <w:t>十四、国有资本经营预算财政拨款支出决算表</w:t>
      </w:r>
      <w:r>
        <w:rPr>
          <w:rFonts w:hint="eastAsia" w:ascii="仿宋" w:hAnsi="仿宋" w:eastAsia="仿宋"/>
          <w:sz w:val="24"/>
          <w:szCs w:val="28"/>
        </w:rPr>
        <w:t>........................27</w:t>
      </w:r>
    </w:p>
    <w:p w14:paraId="3B4D9F9E">
      <w:pPr>
        <w:widowControl/>
        <w:adjustRightInd w:val="0"/>
        <w:snapToGrid w:val="0"/>
        <w:spacing w:line="440" w:lineRule="exact"/>
        <w:ind w:firstLine="1320" w:firstLineChars="550"/>
        <w:jc w:val="left"/>
        <w:rPr>
          <w:sz w:val="24"/>
        </w:rPr>
      </w:pPr>
    </w:p>
    <w:p w14:paraId="78D56771">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77857A0E">
      <w:pPr>
        <w:pStyle w:val="3"/>
        <w:jc w:val="center"/>
        <w:rPr>
          <w:rFonts w:ascii="黑体" w:hAnsi="黑体" w:eastAsia="黑体"/>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14:paraId="02949C49">
      <w:pPr>
        <w:pStyle w:val="4"/>
        <w:rPr>
          <w:rFonts w:ascii="黑体" w:hAnsi="黑体" w:eastAsia="黑体"/>
          <w:b w:val="0"/>
          <w:bCs w:val="0"/>
        </w:rPr>
      </w:pPr>
      <w:bookmarkStart w:id="14" w:name="_Toc15377197"/>
      <w:bookmarkStart w:id="15" w:name="_Toc15396600"/>
      <w:r>
        <w:rPr>
          <w:rStyle w:val="25"/>
          <w:rFonts w:hint="eastAsia" w:ascii="黑体" w:hAnsi="黑体" w:eastAsia="黑体"/>
          <w:b w:val="0"/>
          <w:bCs w:val="0"/>
        </w:rPr>
        <w:t>一、职能简介</w:t>
      </w:r>
    </w:p>
    <w:p w14:paraId="1BEEB314">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14:paraId="06D10BC8">
      <w:pPr>
        <w:widowControl/>
        <w:shd w:val="clear" w:color="auto" w:fill="FFFFFF"/>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1. 负责党的纪律检查工作。贯彻落实党中央关于纪律检查工作的决定，维护党的章程和其他党内法规，检查党的路线方针政策和决议的执行情况，协助县委推进全面从严治党、加强党风建设和组织协调反腐败工作。</w:t>
      </w:r>
    </w:p>
    <w:p w14:paraId="0E3968CB">
      <w:pPr>
        <w:widowControl/>
        <w:shd w:val="clear" w:color="auto" w:fill="FFFFFF"/>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2.依照党的章程和其他党内法规履行监督、执纪、问责职责。负责经常对党员进行遵守纪律的教育，作出关于维护党纪的决定。对县委工作机关、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283F1EDC">
      <w:pPr>
        <w:widowControl/>
        <w:shd w:val="clear" w:color="auto" w:fill="FFFFFF"/>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3.负责全县监察工作。贯彻落实党中央关于监察工作的决定，维护宪法法律，依法对县委管理的行使公权力的公职人员进行监察，调查职务违法和职务犯罪，开展廉政建设和反腐败工作。</w:t>
      </w:r>
    </w:p>
    <w:p w14:paraId="4000B4F4">
      <w:pPr>
        <w:widowControl/>
        <w:shd w:val="clear" w:color="auto" w:fill="FFFFFF"/>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4.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0510E906">
      <w:pPr>
        <w:widowControl/>
        <w:shd w:val="clear" w:color="auto" w:fill="FFFFFF"/>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5.负责组织协调全面从严治党、党风廉政建设和反腐败宣传教育工作。</w:t>
      </w:r>
    </w:p>
    <w:p w14:paraId="65A65AD1">
      <w:pPr>
        <w:widowControl/>
        <w:shd w:val="clear" w:color="auto" w:fill="FFFFFF"/>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6.负责综合分析全面从严治党、党风廉政建设和反腐败工作情况，对纪检监察工作重要理论及实践问题进行调查研究。制定或者修改全县纪检监察规范性文件，参与起草制定相关法规和规范性文件。</w:t>
      </w:r>
    </w:p>
    <w:p w14:paraId="6AD0898B">
      <w:pPr>
        <w:widowControl/>
        <w:shd w:val="clear" w:color="auto" w:fill="FFFFFF"/>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7.在市纪委监委的领导下，加强对反腐败国际追逃追赃和防逃工作的组织协调，督促有关单位做好相关工作。</w:t>
      </w:r>
    </w:p>
    <w:p w14:paraId="552BCAF7">
      <w:pPr>
        <w:widowControl/>
        <w:shd w:val="clear" w:color="auto" w:fill="FFFFFF"/>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8.根据干部管理权限，负责纪检监察系统领导班子建设、干部队伍建设和组织建设的综合规划、政策研究、制度建设和业务指导。会同有关方面做好县纪委监委派驻（出）机构、乡镇纪委、乡镇监察室、县管企业和县属学校医院等事业单位纪检监察机构领导班子建设有关工作。组织和指导全县纪检监察系统教育培训工作等。</w:t>
      </w:r>
    </w:p>
    <w:p w14:paraId="1A6AC38B">
      <w:pPr>
        <w:widowControl/>
        <w:shd w:val="clear" w:color="auto" w:fill="FFFFFF"/>
        <w:ind w:firstLine="640"/>
        <w:rPr>
          <w:rFonts w:ascii="仿宋" w:hAnsi="仿宋" w:eastAsia="仿宋"/>
          <w:bCs/>
          <w:color w:val="000000"/>
          <w:kern w:val="0"/>
          <w:sz w:val="32"/>
          <w:szCs w:val="32"/>
        </w:rPr>
      </w:pPr>
      <w:r>
        <w:rPr>
          <w:rFonts w:hint="eastAsia" w:ascii="仿宋" w:hAnsi="仿宋" w:eastAsia="仿宋"/>
          <w:bCs/>
          <w:color w:val="000000"/>
          <w:kern w:val="0"/>
          <w:sz w:val="32"/>
          <w:szCs w:val="32"/>
        </w:rPr>
        <w:t>9.完成县委和市纪委监委交办的其他任务。</w:t>
      </w:r>
    </w:p>
    <w:p w14:paraId="1CEE3789">
      <w:pPr>
        <w:pStyle w:val="4"/>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14:paraId="0CCEEE54">
      <w:pPr>
        <w:spacing w:line="576"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（一）聚焦“两个维护”，护航中心大局。</w:t>
      </w:r>
      <w:r>
        <w:rPr>
          <w:rFonts w:hint="eastAsia" w:ascii="仿宋" w:hAnsi="仿宋" w:eastAsia="仿宋"/>
          <w:b/>
          <w:bCs/>
          <w:color w:val="000000"/>
          <w:kern w:val="0"/>
          <w:sz w:val="32"/>
          <w:szCs w:val="32"/>
        </w:rPr>
        <w:t>一是强力推进政治监督。</w:t>
      </w:r>
      <w:r>
        <w:rPr>
          <w:rFonts w:hint="eastAsia" w:ascii="仿宋" w:hAnsi="仿宋" w:eastAsia="仿宋"/>
          <w:bCs/>
          <w:color w:val="000000"/>
          <w:kern w:val="0"/>
          <w:sz w:val="32"/>
          <w:szCs w:val="32"/>
        </w:rPr>
        <w:t>围绕常态化疫情防控、森林防灭火、安全生产等重点工作开展监督检查32次，制发通报6期，督促整改问题304个，对县城区河道综合整治工程“5.14”塔机坍塌事故、涉疫进口牛肉入境监管不力问题认真调查、严肃问责。紧盯过渡期专项监督，探索建立“3345”工作机制，重点对集中决策、资金分配、项目实施等方面开展监督，该做法先后在省纪委监委《党风政风监督工作简报》和《广元改革专报》刊载。</w:t>
      </w:r>
      <w:r>
        <w:rPr>
          <w:rFonts w:hint="eastAsia" w:ascii="仿宋" w:hAnsi="仿宋" w:eastAsia="仿宋"/>
          <w:b/>
          <w:bCs/>
          <w:color w:val="000000"/>
          <w:kern w:val="0"/>
          <w:sz w:val="32"/>
          <w:szCs w:val="32"/>
        </w:rPr>
        <w:t>二是深入开展政治巡察。</w:t>
      </w:r>
      <w:r>
        <w:rPr>
          <w:rFonts w:hint="eastAsia" w:ascii="仿宋" w:hAnsi="仿宋" w:eastAsia="仿宋"/>
          <w:bCs/>
          <w:color w:val="000000"/>
          <w:kern w:val="0"/>
          <w:sz w:val="32"/>
          <w:szCs w:val="32"/>
        </w:rPr>
        <w:t>完成疫情防控联动巡视巡察“回头看”、森林防灭火机动巡视巡察、环保督察反馈问题整改情况专项巡察、粮食购销领域专项巡察，发现并督促整改问题57个，移送问题线索3条；开展十二届县委第十一轮巡察暨巡察“回头看”、政法系统联动巡察“回头看”，发现问题277个，移送线索16条，实现十二届县委巡察圆满收官；在全市率先启动十三届县委首轮巡察。探索构建村级延伸巡察“4554”工作法，建立“1+4+N”巡察制度体系，整合巡察监督力量，不断推动政治巡察往深里走、往实里走。深入推进巡察整改，压紧压实县领导巡察整改“一岗双责”，对部门1名整改不力责任人予以立案查处。</w:t>
      </w:r>
      <w:r>
        <w:rPr>
          <w:rFonts w:hint="eastAsia" w:ascii="仿宋" w:hAnsi="仿宋" w:eastAsia="仿宋"/>
          <w:b/>
          <w:bCs/>
          <w:color w:val="000000"/>
          <w:kern w:val="0"/>
          <w:sz w:val="32"/>
          <w:szCs w:val="32"/>
        </w:rPr>
        <w:t>三是坚决严明换届纪律。</w:t>
      </w:r>
      <w:r>
        <w:rPr>
          <w:rFonts w:hint="eastAsia" w:ascii="仿宋" w:hAnsi="仿宋" w:eastAsia="仿宋"/>
          <w:bCs/>
          <w:color w:val="000000"/>
          <w:kern w:val="0"/>
          <w:sz w:val="32"/>
          <w:szCs w:val="32"/>
        </w:rPr>
        <w:t>坚持把正风肃纪贯穿换届全过程，建立信访举报“直通车”，对拟提拔或重用干部函询</w:t>
      </w:r>
      <w:r>
        <w:rPr>
          <w:rFonts w:hint="eastAsia" w:ascii="仿宋" w:hAnsi="仿宋" w:eastAsia="仿宋"/>
          <w:bCs/>
          <w:color w:val="000000"/>
          <w:kern w:val="0"/>
          <w:sz w:val="32"/>
          <w:szCs w:val="32"/>
          <w:lang w:eastAsia="zh-CN"/>
        </w:rPr>
        <w:t>了解</w:t>
      </w:r>
      <w:r>
        <w:rPr>
          <w:rFonts w:hint="eastAsia" w:ascii="仿宋" w:hAnsi="仿宋" w:eastAsia="仿宋"/>
          <w:bCs/>
          <w:color w:val="000000"/>
          <w:kern w:val="0"/>
          <w:sz w:val="32"/>
          <w:szCs w:val="32"/>
        </w:rPr>
        <w:t>问题线索开展起底大抽查，严格把好党风廉政建设意见回复关，出具廉政意见1284人次，坚决查处个别村党员干部违反换届纪律问题，确保换届清明清正清新。</w:t>
      </w:r>
    </w:p>
    <w:p w14:paraId="3DB1E447">
      <w:pPr>
        <w:spacing w:line="576" w:lineRule="exact"/>
        <w:ind w:firstLine="640" w:firstLineChars="200"/>
        <w:rPr>
          <w:rFonts w:ascii="仿宋" w:hAnsi="仿宋" w:eastAsia="仿宋"/>
          <w:bCs/>
          <w:color w:val="000000"/>
          <w:kern w:val="0"/>
          <w:sz w:val="32"/>
          <w:szCs w:val="32"/>
        </w:rPr>
      </w:pPr>
      <w:r>
        <w:rPr>
          <w:rFonts w:hint="eastAsia" w:ascii="仿宋_GB2312" w:hAnsi="仿宋" w:eastAsia="仿宋_GB2312"/>
          <w:sz w:val="32"/>
          <w:szCs w:val="32"/>
        </w:rPr>
        <w:t>（二）</w:t>
      </w:r>
      <w:r>
        <w:rPr>
          <w:rFonts w:hint="eastAsia" w:ascii="仿宋" w:hAnsi="仿宋" w:eastAsia="仿宋"/>
          <w:bCs/>
          <w:color w:val="000000"/>
          <w:kern w:val="0"/>
          <w:sz w:val="32"/>
          <w:szCs w:val="32"/>
        </w:rPr>
        <w:t>聚焦作风建设，巩固拓展成效。</w:t>
      </w:r>
      <w:r>
        <w:rPr>
          <w:rFonts w:hint="eastAsia" w:ascii="仿宋" w:hAnsi="仿宋" w:eastAsia="仿宋"/>
          <w:b/>
          <w:bCs/>
          <w:color w:val="000000"/>
          <w:kern w:val="0"/>
          <w:sz w:val="32"/>
          <w:szCs w:val="32"/>
        </w:rPr>
        <w:t>一是深入整治顽瘴痼疾。</w:t>
      </w:r>
      <w:r>
        <w:rPr>
          <w:rFonts w:hint="eastAsia" w:ascii="仿宋" w:hAnsi="仿宋" w:eastAsia="仿宋"/>
          <w:bCs/>
          <w:color w:val="000000"/>
          <w:kern w:val="0"/>
          <w:sz w:val="32"/>
          <w:szCs w:val="32"/>
        </w:rPr>
        <w:t>在持续开展“六严禁、六纠治、六提升”和“1+4”作风顽疾专项整治行动的基础上，深入开展干部纪律作风整顿，全县108个班子完成问题整改700余个，5105名干部完成问题整改17000余个，累计查处97件97人，制发通报5期，通报问题36个。通过“五查五看五抓”监督检查模式，对108个党委（党组）全覆盖开展监督检查51次，推动整改问题40余个。聚焦落实中央八项规定精神，紧盯重要时间、关键节点、关键岗位，查处违反中央八项规定精神5人，党员干部、公职人员酒驾醉驾27人。</w:t>
      </w:r>
      <w:r>
        <w:rPr>
          <w:rFonts w:hint="eastAsia" w:ascii="仿宋" w:hAnsi="仿宋" w:eastAsia="仿宋"/>
          <w:b/>
          <w:bCs/>
          <w:color w:val="000000"/>
          <w:kern w:val="0"/>
          <w:sz w:val="32"/>
          <w:szCs w:val="32"/>
        </w:rPr>
        <w:t>二是持续擦亮“有不满找纪检”品牌。</w:t>
      </w:r>
      <w:r>
        <w:rPr>
          <w:rFonts w:hint="eastAsia" w:ascii="仿宋" w:hAnsi="仿宋" w:eastAsia="仿宋"/>
          <w:bCs/>
          <w:color w:val="000000"/>
          <w:kern w:val="0"/>
          <w:sz w:val="32"/>
          <w:szCs w:val="32"/>
        </w:rPr>
        <w:t>扎实开展“民生旺苍”建设，不断推动9大行动32条措施落地落实，季度开展“民生旺苍”大宣讲，1-12月全覆盖宣讲1600余场次，受众27万余人次。抓实“我为群众办实事”实践活动，通过季度开展纪检监察干部“走百村、访万家、察实情、解民难”大接访、大走访活动解决群众诉求1973个，开展“治重化积”化解重复信访36件，开播2期“阳光问政”直击群众关心的垃圾处置、客运站点设置等问题，累计查处群众身边的腐败和不正之风问题43个、问责66人。全面建成“一卡通”监管平台，25项惠民惠农财政补贴资金实现阳光审批、阳光发放、阳光监管。持续开设“护航企业直通车”，扎实开展“纪检干部进大厅”，县纪委监委36名营商环境监督员帮助或协调解决联系企业复工复产等方面问题9个。</w:t>
      </w:r>
      <w:r>
        <w:rPr>
          <w:rFonts w:hint="eastAsia" w:ascii="仿宋" w:hAnsi="仿宋" w:eastAsia="仿宋"/>
          <w:b/>
          <w:bCs/>
          <w:color w:val="000000"/>
          <w:kern w:val="0"/>
          <w:sz w:val="32"/>
          <w:szCs w:val="32"/>
        </w:rPr>
        <w:t>三是不断激发干部干事动力。</w:t>
      </w:r>
      <w:r>
        <w:rPr>
          <w:rFonts w:hint="eastAsia" w:ascii="仿宋" w:hAnsi="仿宋" w:eastAsia="仿宋"/>
          <w:bCs/>
          <w:color w:val="000000"/>
          <w:kern w:val="0"/>
          <w:sz w:val="32"/>
          <w:szCs w:val="32"/>
        </w:rPr>
        <w:t>季度开展背靠背“大测评”，收集问题83个，督促整改问题78个，持续纠治干部工作不在状态、工作推进不力等问题。创新建立“三抓三述”工作机制，协助县委常委会定期听取2名县领导和2个乡镇、2个部门主要负责人抓作风建设、环境优化、信访化解工作汇报，倒逼工作落实，激发工作主动性。综合运用容错纠错、打击诬告陷害等措施为受到不实举报的8名干部澄清正名，旗帜鲜明为担当者担当，不断保护干事创业积极性。探索“三查三访一鉴定”工作法，先后帮助92名受处分党员干部放下思想包袱轻装上阵，激励干部担当作为。</w:t>
      </w:r>
    </w:p>
    <w:p w14:paraId="46F8F0BA">
      <w:pPr>
        <w:spacing w:line="576" w:lineRule="exact"/>
        <w:ind w:firstLine="640" w:firstLineChars="200"/>
        <w:rPr>
          <w:rFonts w:ascii="仿宋" w:hAnsi="仿宋" w:eastAsia="仿宋"/>
          <w:bCs/>
          <w:color w:val="000000"/>
          <w:kern w:val="0"/>
          <w:sz w:val="32"/>
          <w:szCs w:val="32"/>
        </w:rPr>
      </w:pPr>
      <w:r>
        <w:rPr>
          <w:rFonts w:hint="eastAsia" w:ascii="仿宋_GB2312" w:hAnsi="仿宋" w:eastAsia="仿宋_GB2312"/>
          <w:sz w:val="32"/>
          <w:szCs w:val="32"/>
        </w:rPr>
        <w:t>（三）</w:t>
      </w:r>
      <w:r>
        <w:rPr>
          <w:rFonts w:hint="eastAsia" w:ascii="仿宋" w:hAnsi="仿宋" w:eastAsia="仿宋"/>
          <w:bCs/>
          <w:color w:val="000000"/>
          <w:kern w:val="0"/>
          <w:sz w:val="32"/>
          <w:szCs w:val="32"/>
        </w:rPr>
        <w:t>聚焦惩贪治腐，一体推进“三不”。</w:t>
      </w:r>
      <w:r>
        <w:rPr>
          <w:rFonts w:hint="eastAsia" w:ascii="仿宋" w:hAnsi="仿宋" w:eastAsia="仿宋"/>
          <w:b/>
          <w:bCs/>
          <w:color w:val="000000"/>
          <w:kern w:val="0"/>
          <w:sz w:val="32"/>
          <w:szCs w:val="32"/>
        </w:rPr>
        <w:t>一是始终保持“惩”的有力震慑。</w:t>
      </w:r>
      <w:r>
        <w:rPr>
          <w:rFonts w:hint="eastAsia" w:ascii="仿宋" w:hAnsi="仿宋" w:eastAsia="仿宋"/>
          <w:bCs/>
          <w:color w:val="000000"/>
          <w:kern w:val="0"/>
          <w:sz w:val="32"/>
          <w:szCs w:val="32"/>
        </w:rPr>
        <w:t>始终保持力度不减、节奏不变，今年以来受理信访举报194件，处置问题线索436件，立案审查调查164件164人，移送司法11人，第一、二、三、四种形态分别占比68.6%、22.6%、3.8%、4.9%。坚决落实协同责任，成立政法队伍教育整顿监督执纪问责领导小组，立案9人，组织处理34人。坚持“四主一体”模式，深入推进发改、住建、卫健、人防、规划、经信、人社等重点行业领域系统治理，共立案30人，党纪政务处分28人，组织处理15人，移送司法6人。全力推进粮食购销领域腐败问题专项整治，收到问题线索13条，立案审查1件1人，组织处理2人。坚持行贿受贿一起查，向检察机关移送涉嫌行贿犯罪人员7人。</w:t>
      </w:r>
      <w:r>
        <w:rPr>
          <w:rFonts w:hint="eastAsia" w:ascii="仿宋" w:hAnsi="仿宋" w:eastAsia="仿宋"/>
          <w:b/>
          <w:bCs/>
          <w:color w:val="000000"/>
          <w:kern w:val="0"/>
          <w:sz w:val="32"/>
          <w:szCs w:val="32"/>
        </w:rPr>
        <w:t>二是切实增强“防”的思想自觉。</w:t>
      </w:r>
      <w:r>
        <w:rPr>
          <w:rFonts w:hint="eastAsia" w:ascii="仿宋" w:hAnsi="仿宋" w:eastAsia="仿宋"/>
          <w:bCs/>
          <w:color w:val="000000"/>
          <w:kern w:val="0"/>
          <w:sz w:val="32"/>
          <w:szCs w:val="32"/>
        </w:rPr>
        <w:t>常态化开展“大教育”，分层分类开展警示教育活动520余场次，警示教育党员干部4.5万余人次。深度挖掘红廉文化和茶廉文化，60余个单位组织党员干部到“清风睦世”家风馆、省级廉洁文化基地—中国红军城接受家风教育和政德教育。举办19期“学史知纪明法”周末培训班，累计培训7600余人，不断筑牢党员干部法纪意识和规矩意识。坚持用身边事教育身边人，组织医疗卫生系统90余人参加庭审廉政教育课堂。坚持正面引导，全方位强化宣传教育，在各级媒体上稿327篇，创作的《嘻哈说纪—严守纪律规矩，莫要碰红线》被评为四川省党风廉政宣传“十佳融媒体产品”。</w:t>
      </w:r>
    </w:p>
    <w:p w14:paraId="1D9374AC"/>
    <w:p w14:paraId="3D579210">
      <w:pPr>
        <w:widowControl/>
        <w:jc w:val="left"/>
        <w:rPr>
          <w:rFonts w:ascii="仿宋" w:hAnsi="仿宋" w:eastAsia="仿宋"/>
          <w:kern w:val="0"/>
          <w:sz w:val="32"/>
          <w:szCs w:val="32"/>
        </w:rPr>
      </w:pPr>
      <w:r>
        <w:rPr>
          <w:rFonts w:ascii="仿宋" w:hAnsi="仿宋" w:eastAsia="仿宋"/>
          <w:sz w:val="32"/>
          <w:szCs w:val="32"/>
        </w:rPr>
        <w:br w:type="page"/>
      </w:r>
    </w:p>
    <w:p w14:paraId="7629D6B4">
      <w:pPr>
        <w:pStyle w:val="3"/>
        <w:ind w:right="440"/>
        <w:jc w:val="center"/>
        <w:rPr>
          <w:rFonts w:ascii="黑体" w:hAnsi="黑体" w:eastAsia="黑体"/>
          <w:b w:val="0"/>
        </w:rPr>
      </w:pPr>
      <w:bookmarkStart w:id="18" w:name="_Toc15377204"/>
      <w:bookmarkStart w:id="19" w:name="_Toc15396602"/>
      <w:r>
        <w:rPr>
          <w:rFonts w:hint="eastAsia" w:ascii="黑体" w:hAnsi="黑体" w:eastAsia="黑体"/>
          <w:b w:val="0"/>
        </w:rPr>
        <w:t xml:space="preserve">  第二部分 2021年度</w:t>
      </w:r>
      <w:r>
        <w:rPr>
          <w:rStyle w:val="24"/>
          <w:rFonts w:hint="eastAsia" w:ascii="黑体" w:hAnsi="黑体" w:eastAsia="黑体"/>
          <w:b w:val="0"/>
          <w:bCs/>
        </w:rPr>
        <w:t>单位决算情况说明</w:t>
      </w:r>
      <w:bookmarkEnd w:id="18"/>
      <w:bookmarkEnd w:id="19"/>
    </w:p>
    <w:p w14:paraId="75BF0ADE">
      <w:pPr>
        <w:pStyle w:val="23"/>
        <w:numPr>
          <w:ilvl w:val="0"/>
          <w:numId w:val="1"/>
        </w:numPr>
        <w:spacing w:line="600" w:lineRule="exact"/>
        <w:ind w:firstLineChars="0"/>
        <w:outlineLvl w:val="1"/>
        <w:rPr>
          <w:rStyle w:val="25"/>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0"/>
      <w:bookmarkEnd w:id="21"/>
    </w:p>
    <w:p w14:paraId="11746CCD">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2021年度收、支总计1331.38万元。与2020年相比，收、支总计各增加49.97万元，增长3.9</w:t>
      </w:r>
      <w:r>
        <w:rPr>
          <w:rFonts w:ascii="仿宋" w:hAnsi="仿宋" w:eastAsia="仿宋"/>
          <w:sz w:val="32"/>
          <w:szCs w:val="32"/>
        </w:rPr>
        <w:t>%</w:t>
      </w:r>
      <w:r>
        <w:rPr>
          <w:rFonts w:hint="eastAsia" w:ascii="仿宋" w:hAnsi="仿宋" w:eastAsia="仿宋"/>
          <w:sz w:val="32"/>
          <w:szCs w:val="32"/>
        </w:rPr>
        <w:t>。主要变动原因是监察体制改革，成立综合派驻纪检监察组，人员基数大，工资及行政运行经费支出增加。</w:t>
      </w:r>
    </w:p>
    <w:p w14:paraId="4F761637">
      <w:pPr>
        <w:pStyle w:val="2"/>
        <w:spacing w:before="93"/>
        <w:ind w:firstLine="600" w:firstLineChars="200"/>
        <w:rPr>
          <w:rFonts w:hint="eastAsia"/>
        </w:rPr>
      </w:pPr>
      <w:r>
        <w:rPr>
          <w:rFonts w:hint="eastAsia"/>
        </w:rPr>
        <w:drawing>
          <wp:anchor distT="0" distB="0" distL="114300" distR="114300" simplePos="0" relativeHeight="251659264" behindDoc="0" locked="0" layoutInCell="1" allowOverlap="1">
            <wp:simplePos x="0" y="0"/>
            <wp:positionH relativeFrom="column">
              <wp:posOffset>16510</wp:posOffset>
            </wp:positionH>
            <wp:positionV relativeFrom="paragraph">
              <wp:posOffset>279400</wp:posOffset>
            </wp:positionV>
            <wp:extent cx="5526405" cy="2467610"/>
            <wp:effectExtent l="19050" t="0" r="0" b="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5526343" cy="2467897"/>
                    </a:xfrm>
                    <a:prstGeom prst="rect">
                      <a:avLst/>
                    </a:prstGeom>
                  </pic:spPr>
                </pic:pic>
              </a:graphicData>
            </a:graphic>
          </wp:anchor>
        </w:drawing>
      </w:r>
    </w:p>
    <w:p w14:paraId="35697BC0">
      <w:pPr>
        <w:pStyle w:val="2"/>
        <w:spacing w:before="93"/>
        <w:ind w:firstLine="600" w:firstLineChars="200"/>
        <w:rPr>
          <w:rFonts w:hint="eastAsia"/>
        </w:rPr>
      </w:pPr>
    </w:p>
    <w:p w14:paraId="0AB22EFD">
      <w:pPr>
        <w:pStyle w:val="2"/>
        <w:spacing w:before="93"/>
        <w:ind w:firstLine="600" w:firstLineChars="200"/>
        <w:rPr>
          <w:rFonts w:hint="eastAsia"/>
        </w:rPr>
      </w:pPr>
    </w:p>
    <w:p w14:paraId="654CF124">
      <w:pPr>
        <w:pStyle w:val="2"/>
        <w:spacing w:before="93"/>
        <w:ind w:firstLine="600" w:firstLineChars="200"/>
        <w:rPr>
          <w:rFonts w:hint="eastAsia"/>
        </w:rPr>
      </w:pPr>
    </w:p>
    <w:p w14:paraId="0D071CCB">
      <w:pPr>
        <w:pStyle w:val="2"/>
        <w:spacing w:before="93"/>
        <w:ind w:firstLine="600" w:firstLineChars="200"/>
        <w:rPr>
          <w:rFonts w:hint="eastAsia"/>
        </w:rPr>
      </w:pPr>
    </w:p>
    <w:p w14:paraId="2792E9D6">
      <w:pPr>
        <w:pStyle w:val="2"/>
        <w:spacing w:before="93"/>
        <w:ind w:firstLine="600" w:firstLineChars="200"/>
      </w:pPr>
    </w:p>
    <w:p w14:paraId="1D3C094E">
      <w:pPr>
        <w:spacing w:line="600" w:lineRule="exact"/>
        <w:ind w:firstLine="960" w:firstLineChars="3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2C66B8D2">
      <w:pPr>
        <w:pStyle w:val="23"/>
        <w:numPr>
          <w:ilvl w:val="0"/>
          <w:numId w:val="1"/>
        </w:numPr>
        <w:spacing w:line="600" w:lineRule="exact"/>
        <w:ind w:firstLineChars="0"/>
        <w:outlineLvl w:val="1"/>
        <w:rPr>
          <w:rStyle w:val="25"/>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5"/>
          <w:rFonts w:hint="eastAsia" w:ascii="黑体" w:hAnsi="黑体" w:eastAsia="黑体"/>
          <w:b w:val="0"/>
        </w:rPr>
        <w:t>入决算情况说明</w:t>
      </w:r>
      <w:bookmarkEnd w:id="22"/>
      <w:bookmarkEnd w:id="23"/>
    </w:p>
    <w:p w14:paraId="7E0BBD56">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21年本年收入合计1075.31万元，其中：一般公共预算财政拨款收入1075.31万元，占100</w:t>
      </w:r>
      <w:r>
        <w:rPr>
          <w:rFonts w:ascii="仿宋" w:hAnsi="仿宋" w:eastAsia="仿宋"/>
          <w:sz w:val="32"/>
          <w:szCs w:val="32"/>
        </w:rPr>
        <w:t>%</w:t>
      </w:r>
      <w:r>
        <w:rPr>
          <w:rFonts w:hint="eastAsia" w:ascii="仿宋" w:hAnsi="仿宋" w:eastAsia="仿宋"/>
          <w:sz w:val="32"/>
          <w:szCs w:val="32"/>
        </w:rPr>
        <w:t>。</w:t>
      </w:r>
    </w:p>
    <w:p w14:paraId="401B94F5">
      <w:pPr>
        <w:pStyle w:val="2"/>
        <w:spacing w:before="93"/>
        <w:rPr>
          <w:rFonts w:hint="eastAsia"/>
        </w:rPr>
      </w:pPr>
    </w:p>
    <w:p w14:paraId="79620100">
      <w:pPr>
        <w:pStyle w:val="2"/>
        <w:spacing w:before="93"/>
        <w:rPr>
          <w:rFonts w:hint="eastAsia"/>
        </w:rPr>
      </w:pPr>
    </w:p>
    <w:p w14:paraId="514867A8">
      <w:pPr>
        <w:pStyle w:val="2"/>
        <w:spacing w:before="93"/>
        <w:rPr>
          <w:rFonts w:hint="eastAsia"/>
        </w:rPr>
      </w:pPr>
    </w:p>
    <w:p w14:paraId="51079FF4">
      <w:pPr>
        <w:pStyle w:val="2"/>
        <w:spacing w:before="93"/>
        <w:rPr>
          <w:rFonts w:hint="eastAsia"/>
        </w:rPr>
      </w:pPr>
    </w:p>
    <w:p w14:paraId="38D49B83">
      <w:pPr>
        <w:pStyle w:val="2"/>
        <w:spacing w:before="93"/>
        <w:rPr>
          <w:rFonts w:hint="eastAsia"/>
        </w:rPr>
      </w:pPr>
      <w:r>
        <w:rPr>
          <w:rFonts w:hint="eastAsia"/>
        </w:rPr>
        <w:drawing>
          <wp:anchor distT="0" distB="0" distL="114300" distR="114300" simplePos="0" relativeHeight="251661312" behindDoc="0" locked="0" layoutInCell="1" allowOverlap="1">
            <wp:simplePos x="0" y="0"/>
            <wp:positionH relativeFrom="column">
              <wp:posOffset>-12700</wp:posOffset>
            </wp:positionH>
            <wp:positionV relativeFrom="paragraph">
              <wp:posOffset>334010</wp:posOffset>
            </wp:positionV>
            <wp:extent cx="5300345" cy="2172970"/>
            <wp:effectExtent l="19050" t="0" r="0" b="0"/>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7"/>
                    <a:stretch>
                      <a:fillRect/>
                    </a:stretch>
                  </pic:blipFill>
                  <pic:spPr>
                    <a:xfrm>
                      <a:off x="0" y="0"/>
                      <a:ext cx="5300202" cy="2172929"/>
                    </a:xfrm>
                    <a:prstGeom prst="rect">
                      <a:avLst/>
                    </a:prstGeom>
                  </pic:spPr>
                </pic:pic>
              </a:graphicData>
            </a:graphic>
          </wp:anchor>
        </w:drawing>
      </w:r>
    </w:p>
    <w:p w14:paraId="026BBEC0">
      <w:pPr>
        <w:pStyle w:val="2"/>
        <w:spacing w:before="93"/>
        <w:rPr>
          <w:rFonts w:hint="eastAsia"/>
        </w:rPr>
      </w:pPr>
    </w:p>
    <w:p w14:paraId="773F636E">
      <w:pPr>
        <w:pStyle w:val="2"/>
        <w:spacing w:before="93"/>
        <w:rPr>
          <w:rFonts w:hint="eastAsia"/>
        </w:rPr>
      </w:pPr>
    </w:p>
    <w:p w14:paraId="45C15DE0">
      <w:pPr>
        <w:pStyle w:val="2"/>
        <w:spacing w:before="93"/>
      </w:pPr>
    </w:p>
    <w:p w14:paraId="25FD6AC4">
      <w:pPr>
        <w:spacing w:line="600" w:lineRule="exact"/>
        <w:ind w:firstLine="1600" w:firstLineChars="500"/>
        <w:rPr>
          <w:rFonts w:hint="eastAsia" w:ascii="仿宋" w:hAnsi="仿宋" w:eastAsia="仿宋"/>
          <w:sz w:val="32"/>
          <w:szCs w:val="32"/>
        </w:rPr>
      </w:pPr>
    </w:p>
    <w:p w14:paraId="42B42CB4">
      <w:pPr>
        <w:spacing w:line="600" w:lineRule="exact"/>
        <w:ind w:firstLine="1600" w:firstLineChars="500"/>
        <w:rPr>
          <w:rFonts w:hint="eastAsia" w:ascii="仿宋" w:hAnsi="仿宋" w:eastAsia="仿宋"/>
          <w:sz w:val="32"/>
          <w:szCs w:val="32"/>
        </w:rPr>
      </w:pPr>
    </w:p>
    <w:p w14:paraId="0E181737">
      <w:pPr>
        <w:spacing w:line="600" w:lineRule="exact"/>
        <w:ind w:firstLine="1600" w:firstLineChars="500"/>
        <w:rPr>
          <w:rFonts w:ascii="仿宋" w:hAnsi="仿宋" w:eastAsia="仿宋"/>
          <w:sz w:val="32"/>
          <w:szCs w:val="32"/>
        </w:rPr>
      </w:pPr>
      <w:r>
        <w:rPr>
          <w:rFonts w:hint="eastAsia" w:ascii="仿宋" w:hAnsi="仿宋" w:eastAsia="仿宋"/>
          <w:sz w:val="32"/>
          <w:szCs w:val="32"/>
        </w:rPr>
        <w:t>（图2：收入决算结构图）（饼状图）</w:t>
      </w:r>
    </w:p>
    <w:p w14:paraId="728CC086">
      <w:pPr>
        <w:pStyle w:val="23"/>
        <w:numPr>
          <w:ilvl w:val="0"/>
          <w:numId w:val="1"/>
        </w:numPr>
        <w:spacing w:line="600" w:lineRule="exact"/>
        <w:ind w:firstLineChars="0"/>
        <w:outlineLvl w:val="1"/>
        <w:rPr>
          <w:rStyle w:val="25"/>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25"/>
          <w:rFonts w:hint="eastAsia" w:ascii="黑体" w:hAnsi="黑体" w:eastAsia="黑体"/>
          <w:b w:val="0"/>
        </w:rPr>
        <w:t>出决算情况说明</w:t>
      </w:r>
      <w:bookmarkEnd w:id="24"/>
      <w:bookmarkEnd w:id="25"/>
    </w:p>
    <w:p w14:paraId="5147F355">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21年本年支出合计1304.13万元，其中：基本支出1202.53万元，占92.21</w:t>
      </w:r>
      <w:r>
        <w:rPr>
          <w:rFonts w:ascii="仿宋" w:hAnsi="仿宋" w:eastAsia="仿宋"/>
          <w:sz w:val="32"/>
          <w:szCs w:val="32"/>
        </w:rPr>
        <w:t>%</w:t>
      </w:r>
      <w:r>
        <w:rPr>
          <w:rFonts w:hint="eastAsia" w:ascii="仿宋" w:hAnsi="仿宋" w:eastAsia="仿宋"/>
          <w:sz w:val="32"/>
          <w:szCs w:val="32"/>
        </w:rPr>
        <w:t>；项目支出101.6万元，占7.79</w:t>
      </w:r>
      <w:r>
        <w:rPr>
          <w:rFonts w:ascii="仿宋" w:hAnsi="仿宋" w:eastAsia="仿宋"/>
          <w:sz w:val="32"/>
          <w:szCs w:val="32"/>
        </w:rPr>
        <w:t>%</w:t>
      </w:r>
      <w:r>
        <w:rPr>
          <w:rFonts w:hint="eastAsia" w:ascii="仿宋" w:hAnsi="仿宋" w:eastAsia="仿宋"/>
          <w:sz w:val="32"/>
          <w:szCs w:val="32"/>
        </w:rPr>
        <w:t>。</w:t>
      </w:r>
    </w:p>
    <w:p w14:paraId="01384FF5">
      <w:pPr>
        <w:ind w:firstLine="640"/>
        <w:rPr>
          <w:rFonts w:hint="eastAsia" w:ascii="仿宋" w:hAnsi="仿宋" w:eastAsia="仿宋"/>
          <w:sz w:val="32"/>
          <w:szCs w:val="32"/>
          <w:shd w:val="pct10" w:color="auto" w:fill="FFFFFF"/>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-81280</wp:posOffset>
            </wp:positionH>
            <wp:positionV relativeFrom="paragraph">
              <wp:posOffset>317500</wp:posOffset>
            </wp:positionV>
            <wp:extent cx="5485765" cy="2752725"/>
            <wp:effectExtent l="19050" t="0" r="656" b="0"/>
            <wp:wrapNone/>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8"/>
                    <a:stretch>
                      <a:fillRect/>
                    </a:stretch>
                  </pic:blipFill>
                  <pic:spPr>
                    <a:xfrm>
                      <a:off x="0" y="0"/>
                      <a:ext cx="5485744" cy="2753032"/>
                    </a:xfrm>
                    <a:prstGeom prst="rect">
                      <a:avLst/>
                    </a:prstGeom>
                  </pic:spPr>
                </pic:pic>
              </a:graphicData>
            </a:graphic>
          </wp:anchor>
        </w:drawing>
      </w:r>
    </w:p>
    <w:p w14:paraId="038205B2">
      <w:pPr>
        <w:ind w:firstLine="640"/>
        <w:rPr>
          <w:rFonts w:hint="eastAsia" w:ascii="仿宋" w:hAnsi="仿宋" w:eastAsia="仿宋"/>
          <w:sz w:val="32"/>
          <w:szCs w:val="32"/>
          <w:shd w:val="pct10" w:color="auto" w:fill="FFFFFF"/>
        </w:rPr>
      </w:pPr>
    </w:p>
    <w:p w14:paraId="195E3821">
      <w:pPr>
        <w:ind w:firstLine="640"/>
        <w:rPr>
          <w:rFonts w:hint="eastAsia" w:ascii="仿宋" w:hAnsi="仿宋" w:eastAsia="仿宋"/>
          <w:sz w:val="32"/>
          <w:szCs w:val="32"/>
          <w:shd w:val="pct10" w:color="auto" w:fill="FFFFFF"/>
        </w:rPr>
      </w:pPr>
    </w:p>
    <w:p w14:paraId="170FDCD8">
      <w:pPr>
        <w:ind w:firstLine="640"/>
        <w:rPr>
          <w:rFonts w:hint="eastAsia" w:ascii="仿宋" w:hAnsi="仿宋" w:eastAsia="仿宋"/>
          <w:sz w:val="32"/>
          <w:szCs w:val="32"/>
          <w:shd w:val="pct10" w:color="auto" w:fill="FFFFFF"/>
        </w:rPr>
      </w:pPr>
    </w:p>
    <w:p w14:paraId="272F20CE">
      <w:pPr>
        <w:ind w:firstLine="640"/>
        <w:rPr>
          <w:rFonts w:hint="eastAsia" w:ascii="仿宋" w:hAnsi="仿宋" w:eastAsia="仿宋"/>
          <w:sz w:val="32"/>
          <w:szCs w:val="32"/>
          <w:shd w:val="pct10" w:color="auto" w:fill="FFFFFF"/>
        </w:rPr>
      </w:pPr>
    </w:p>
    <w:p w14:paraId="53BD9794">
      <w:pPr>
        <w:pStyle w:val="2"/>
        <w:spacing w:before="93"/>
        <w:rPr>
          <w:rFonts w:hint="eastAsia"/>
        </w:rPr>
      </w:pPr>
    </w:p>
    <w:p w14:paraId="5C20CB2C">
      <w:pPr>
        <w:pStyle w:val="2"/>
        <w:spacing w:before="93"/>
        <w:rPr>
          <w:rFonts w:hint="eastAsia"/>
        </w:rPr>
      </w:pPr>
    </w:p>
    <w:p w14:paraId="2BF09849">
      <w:pPr>
        <w:pStyle w:val="2"/>
        <w:spacing w:before="93"/>
      </w:pPr>
    </w:p>
    <w:p w14:paraId="46F6D465">
      <w:pPr>
        <w:spacing w:line="600" w:lineRule="exact"/>
        <w:ind w:firstLine="1760" w:firstLineChars="550"/>
        <w:rPr>
          <w:rFonts w:ascii="仿宋" w:hAnsi="仿宋" w:eastAsia="仿宋"/>
          <w:sz w:val="32"/>
          <w:szCs w:val="32"/>
        </w:rPr>
      </w:pPr>
      <w:r>
        <w:rPr>
          <w:rFonts w:hint="eastAsia" w:ascii="仿宋" w:hAnsi="仿宋" w:eastAsia="仿宋"/>
          <w:sz w:val="32"/>
          <w:szCs w:val="32"/>
        </w:rPr>
        <w:t>（图3：支出决算结构图）（饼状图）</w:t>
      </w:r>
    </w:p>
    <w:p w14:paraId="37583E9F">
      <w:pPr>
        <w:spacing w:line="600" w:lineRule="exact"/>
        <w:ind w:firstLine="640" w:firstLineChars="200"/>
        <w:outlineLvl w:val="1"/>
        <w:rPr>
          <w:rStyle w:val="25"/>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6"/>
      <w:bookmarkEnd w:id="27"/>
    </w:p>
    <w:p w14:paraId="451F73B4">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21年财政拨款收、支总计1331.38万元。与</w:t>
      </w:r>
      <w:r>
        <w:rPr>
          <w:rFonts w:ascii="仿宋" w:hAnsi="仿宋" w:eastAsia="仿宋"/>
          <w:sz w:val="32"/>
          <w:szCs w:val="32"/>
        </w:rPr>
        <w:t>20</w:t>
      </w:r>
      <w:r>
        <w:rPr>
          <w:rFonts w:hint="eastAsia" w:ascii="仿宋" w:hAnsi="仿宋" w:eastAsia="仿宋"/>
          <w:sz w:val="32"/>
          <w:szCs w:val="32"/>
        </w:rPr>
        <w:t>20年相比，财政拨款收、支总计各增加49.97万元，增长3.9</w:t>
      </w:r>
      <w:r>
        <w:rPr>
          <w:rFonts w:ascii="仿宋" w:hAnsi="仿宋" w:eastAsia="仿宋"/>
          <w:sz w:val="32"/>
          <w:szCs w:val="32"/>
        </w:rPr>
        <w:t>%</w:t>
      </w:r>
      <w:r>
        <w:rPr>
          <w:rFonts w:hint="eastAsia" w:ascii="仿宋" w:hAnsi="仿宋" w:eastAsia="仿宋"/>
          <w:sz w:val="32"/>
          <w:szCs w:val="32"/>
        </w:rPr>
        <w:t>。主要变动原因是监察体制改革，成立综合派驻纪检监察组，人员基数大，工资及行政运行经费支出增加。</w:t>
      </w:r>
    </w:p>
    <w:p w14:paraId="0422816E">
      <w:pPr>
        <w:pStyle w:val="2"/>
        <w:spacing w:before="93"/>
        <w:ind w:firstLine="750" w:firstLineChars="250"/>
      </w:pPr>
      <w:r>
        <w:rPr>
          <w:rFonts w:hint="eastAsia"/>
        </w:rPr>
        <w:drawing>
          <wp:inline distT="0" distB="0" distL="114300" distR="114300">
            <wp:extent cx="4714875" cy="2362200"/>
            <wp:effectExtent l="0" t="0" r="9525" b="0"/>
            <wp:docPr id="5" name="图片 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4"/>
                    <pic:cNvPicPr>
                      <a:picLocks noChangeAspect="1"/>
                    </pic:cNvPicPr>
                  </pic:nvPicPr>
                  <pic:blipFill>
                    <a:blip r:embed="rId9"/>
                    <a:stretch>
                      <a:fillRect/>
                    </a:stretch>
                  </pic:blipFill>
                  <pic:spPr>
                    <a:xfrm>
                      <a:off x="0" y="0"/>
                      <a:ext cx="4714875" cy="2362200"/>
                    </a:xfrm>
                    <a:prstGeom prst="rect">
                      <a:avLst/>
                    </a:prstGeom>
                  </pic:spPr>
                </pic:pic>
              </a:graphicData>
            </a:graphic>
          </wp:inline>
        </w:drawing>
      </w:r>
    </w:p>
    <w:p w14:paraId="1F896A88">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3ACD8A60">
      <w:pPr>
        <w:spacing w:line="600" w:lineRule="exact"/>
        <w:ind w:firstLine="640" w:firstLineChars="200"/>
        <w:outlineLvl w:val="1"/>
        <w:rPr>
          <w:rStyle w:val="25"/>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8"/>
      <w:bookmarkEnd w:id="29"/>
    </w:p>
    <w:p w14:paraId="6B33CBCE">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3C8DD26A">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21年一般公共预算财政拨款支出1304.13万元，占本年支出合计的100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20年相比，一般公共预算财政拨款支出增加62.88万元，增长5.07</w:t>
      </w:r>
      <w:r>
        <w:rPr>
          <w:rFonts w:ascii="仿宋" w:hAnsi="仿宋" w:eastAsia="仿宋"/>
          <w:sz w:val="32"/>
          <w:szCs w:val="32"/>
        </w:rPr>
        <w:t>%</w:t>
      </w:r>
      <w:r>
        <w:rPr>
          <w:rFonts w:hint="eastAsia" w:ascii="仿宋" w:hAnsi="仿宋" w:eastAsia="仿宋"/>
          <w:sz w:val="32"/>
          <w:szCs w:val="32"/>
        </w:rPr>
        <w:t>。主要变动原因是人员工资福利奖金支出增加。</w:t>
      </w:r>
    </w:p>
    <w:p w14:paraId="647561C5">
      <w:pPr>
        <w:pStyle w:val="2"/>
        <w:spacing w:before="93"/>
        <w:ind w:firstLine="450" w:firstLineChars="150"/>
      </w:pPr>
      <w:r>
        <w:rPr>
          <w:rFonts w:hint="eastAsia"/>
        </w:rPr>
        <w:drawing>
          <wp:inline distT="0" distB="0" distL="114300" distR="114300">
            <wp:extent cx="4886325" cy="2838450"/>
            <wp:effectExtent l="0" t="0" r="9525" b="0"/>
            <wp:docPr id="6" name="图片 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5"/>
                    <pic:cNvPicPr>
                      <a:picLocks noChangeAspect="1"/>
                    </pic:cNvPicPr>
                  </pic:nvPicPr>
                  <pic:blipFill>
                    <a:blip r:embed="rId10"/>
                    <a:stretch>
                      <a:fillRect/>
                    </a:stretch>
                  </pic:blipFill>
                  <pic:spPr>
                    <a:xfrm>
                      <a:off x="0" y="0"/>
                      <a:ext cx="4886325" cy="2838450"/>
                    </a:xfrm>
                    <a:prstGeom prst="rect">
                      <a:avLst/>
                    </a:prstGeom>
                  </pic:spPr>
                </pic:pic>
              </a:graphicData>
            </a:graphic>
          </wp:inline>
        </w:drawing>
      </w:r>
    </w:p>
    <w:p w14:paraId="5DF6AE70">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706C0989">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14:paraId="2B219BF8">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21年一般公共预算财政拨款支出1304.13万元，主要用于以下方面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支出1103.48万元，占84.61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教育（类）</w:t>
      </w:r>
      <w:r>
        <w:rPr>
          <w:rFonts w:hint="eastAsia" w:ascii="仿宋" w:hAnsi="仿宋" w:eastAsia="仿宋"/>
          <w:sz w:val="32"/>
          <w:szCs w:val="32"/>
        </w:rPr>
        <w:t>支出18万元，占1.38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支出67.73万元，占5.19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w:t>
      </w:r>
      <w:r>
        <w:rPr>
          <w:rFonts w:hint="eastAsia" w:ascii="仿宋" w:hAnsi="仿宋" w:eastAsia="仿宋"/>
          <w:b/>
          <w:sz w:val="32"/>
          <w:szCs w:val="32"/>
        </w:rPr>
        <w:t>（类）</w:t>
      </w:r>
      <w:r>
        <w:rPr>
          <w:rFonts w:hint="eastAsia" w:ascii="仿宋" w:hAnsi="仿宋" w:eastAsia="仿宋"/>
          <w:sz w:val="32"/>
          <w:szCs w:val="32"/>
        </w:rPr>
        <w:t>支出52.63万元，占4.04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住房保障（类）</w:t>
      </w:r>
      <w:r>
        <w:rPr>
          <w:rFonts w:hint="eastAsia" w:ascii="仿宋" w:hAnsi="仿宋" w:eastAsia="仿宋"/>
          <w:sz w:val="32"/>
          <w:szCs w:val="32"/>
        </w:rPr>
        <w:t>支出62.29万元，占4.78</w:t>
      </w:r>
      <w:r>
        <w:rPr>
          <w:rFonts w:ascii="仿宋" w:hAnsi="仿宋" w:eastAsia="仿宋"/>
          <w:sz w:val="32"/>
          <w:szCs w:val="32"/>
        </w:rPr>
        <w:t>%</w:t>
      </w:r>
      <w:r>
        <w:rPr>
          <w:rFonts w:hint="eastAsia" w:ascii="仿宋" w:hAnsi="仿宋" w:eastAsia="仿宋"/>
          <w:sz w:val="32"/>
          <w:szCs w:val="32"/>
        </w:rPr>
        <w:t>。</w:t>
      </w:r>
    </w:p>
    <w:p w14:paraId="568A6069">
      <w:pPr>
        <w:pStyle w:val="2"/>
        <w:spacing w:before="93"/>
        <w:ind w:firstLine="600" w:firstLineChars="200"/>
      </w:pPr>
      <w:r>
        <w:rPr>
          <w:rFonts w:hint="eastAsia"/>
        </w:rPr>
        <w:drawing>
          <wp:inline distT="0" distB="0" distL="114300" distR="114300">
            <wp:extent cx="4743450" cy="2247900"/>
            <wp:effectExtent l="0" t="0" r="0" b="0"/>
            <wp:docPr id="7" name="图片 7"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6"/>
                    <pic:cNvPicPr>
                      <a:picLocks noChangeAspect="1"/>
                    </pic:cNvPicPr>
                  </pic:nvPicPr>
                  <pic:blipFill>
                    <a:blip r:embed="rId11"/>
                    <a:stretch>
                      <a:fillRect/>
                    </a:stretch>
                  </pic:blipFill>
                  <pic:spPr>
                    <a:xfrm>
                      <a:off x="0" y="0"/>
                      <a:ext cx="4743450" cy="2247900"/>
                    </a:xfrm>
                    <a:prstGeom prst="rect">
                      <a:avLst/>
                    </a:prstGeom>
                  </pic:spPr>
                </pic:pic>
              </a:graphicData>
            </a:graphic>
          </wp:inline>
        </w:drawing>
      </w:r>
    </w:p>
    <w:p w14:paraId="4D23CCC4">
      <w:pPr>
        <w:spacing w:line="600" w:lineRule="exact"/>
        <w:ind w:firstLine="320" w:firstLineChars="100"/>
        <w:rPr>
          <w:rFonts w:ascii="仿宋" w:hAnsi="仿宋" w:eastAsia="仿宋"/>
          <w:sz w:val="32"/>
          <w:szCs w:val="32"/>
        </w:rPr>
      </w:pPr>
      <w:r>
        <w:rPr>
          <w:rFonts w:hint="eastAsia" w:ascii="仿宋" w:hAnsi="仿宋" w:eastAsia="仿宋"/>
          <w:sz w:val="32"/>
          <w:szCs w:val="32"/>
        </w:rPr>
        <w:t>（图6：一般公共预算财政拨款支出决算结构）（饼状图）</w:t>
      </w:r>
    </w:p>
    <w:p w14:paraId="6053ECD4">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14:paraId="1216F14A">
      <w:pPr>
        <w:spacing w:line="600" w:lineRule="exact"/>
        <w:ind w:firstLine="643" w:firstLineChars="200"/>
        <w:outlineLvl w:val="2"/>
        <w:rPr>
          <w:rFonts w:ascii="仿宋" w:hAnsi="仿宋" w:eastAsia="仿宋"/>
          <w:sz w:val="32"/>
          <w:szCs w:val="32"/>
        </w:rPr>
      </w:pPr>
      <w:bookmarkStart w:id="33" w:name="_Toc15377444"/>
      <w:bookmarkStart w:id="34" w:name="_Toc15377213"/>
      <w:bookmarkStart w:id="35" w:name="_Toc15378460"/>
      <w:r>
        <w:rPr>
          <w:rFonts w:hint="eastAsia" w:ascii="仿宋" w:hAnsi="仿宋" w:eastAsia="仿宋"/>
          <w:b/>
          <w:sz w:val="32"/>
          <w:szCs w:val="32"/>
        </w:rPr>
        <w:t>2021年一般公共预算支出决算数为</w:t>
      </w:r>
      <w:r>
        <w:rPr>
          <w:rFonts w:hint="eastAsia" w:ascii="仿宋" w:hAnsi="仿宋" w:eastAsia="仿宋"/>
          <w:sz w:val="32"/>
          <w:szCs w:val="32"/>
        </w:rPr>
        <w:t>1304.13</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完成预算97.95</w:t>
      </w:r>
      <w:r>
        <w:rPr>
          <w:rStyle w:val="14"/>
          <w:rFonts w:ascii="仿宋" w:hAnsi="仿宋" w:eastAsia="仿宋"/>
          <w:bCs/>
          <w:sz w:val="32"/>
          <w:szCs w:val="32"/>
        </w:rPr>
        <w:t>%</w:t>
      </w:r>
      <w:r>
        <w:rPr>
          <w:rStyle w:val="14"/>
          <w:rFonts w:hint="eastAsia" w:ascii="仿宋" w:hAnsi="仿宋" w:eastAsia="仿宋"/>
          <w:bCs/>
          <w:sz w:val="32"/>
          <w:szCs w:val="32"/>
        </w:rPr>
        <w:t>。其中：</w:t>
      </w:r>
      <w:bookmarkEnd w:id="33"/>
      <w:bookmarkEnd w:id="34"/>
      <w:bookmarkEnd w:id="35"/>
    </w:p>
    <w:p w14:paraId="042B818D">
      <w:pPr>
        <w:spacing w:line="600" w:lineRule="exact"/>
        <w:ind w:firstLine="643" w:firstLineChars="200"/>
        <w:rPr>
          <w:rStyle w:val="14"/>
          <w:rFonts w:ascii="仿宋" w:hAnsi="仿宋" w:eastAsia="仿宋"/>
          <w:sz w:val="32"/>
          <w:szCs w:val="32"/>
        </w:rPr>
      </w:pPr>
      <w:r>
        <w:rPr>
          <w:rStyle w:val="14"/>
          <w:rFonts w:ascii="仿宋" w:hAnsi="仿宋" w:eastAsia="仿宋"/>
          <w:bCs/>
          <w:sz w:val="32"/>
          <w:szCs w:val="32"/>
        </w:rPr>
        <w:t>1.</w:t>
      </w:r>
      <w:r>
        <w:rPr>
          <w:rStyle w:val="14"/>
          <w:rFonts w:hint="eastAsia" w:ascii="仿宋" w:hAnsi="仿宋" w:eastAsia="仿宋"/>
          <w:bCs/>
          <w:color w:val="000000"/>
          <w:sz w:val="32"/>
          <w:szCs w:val="32"/>
        </w:rPr>
        <w:t>一般公共服务支出（类）纪检监察事务（款）行政运行（项）</w:t>
      </w:r>
      <w:r>
        <w:rPr>
          <w:rStyle w:val="14"/>
          <w:rFonts w:ascii="仿宋" w:hAnsi="仿宋" w:eastAsia="仿宋"/>
          <w:bCs/>
          <w:sz w:val="32"/>
          <w:szCs w:val="32"/>
        </w:rPr>
        <w:t>:</w:t>
      </w:r>
      <w:r>
        <w:rPr>
          <w:rStyle w:val="14"/>
          <w:rFonts w:hint="eastAsia" w:ascii="仿宋" w:hAnsi="仿宋" w:eastAsia="仿宋"/>
          <w:b w:val="0"/>
          <w:bCs/>
          <w:sz w:val="32"/>
          <w:szCs w:val="32"/>
        </w:rPr>
        <w:t>支出决算为1019.88万元，完成预算99.56</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。决算数小于预算数的主要原因是因人员变动年终清算人员经费的办公费用结转下年。</w:t>
      </w:r>
    </w:p>
    <w:p w14:paraId="3DFA1A5E">
      <w:pPr>
        <w:pStyle w:val="2"/>
        <w:spacing w:before="93"/>
        <w:ind w:firstLine="643" w:firstLineChars="200"/>
        <w:rPr>
          <w:rStyle w:val="14"/>
          <w:rFonts w:ascii="仿宋" w:hAnsi="仿宋" w:eastAsia="仿宋"/>
          <w:bCs/>
          <w:kern w:val="2"/>
          <w:sz w:val="32"/>
          <w:szCs w:val="32"/>
        </w:rPr>
      </w:pPr>
      <w:r>
        <w:rPr>
          <w:rStyle w:val="14"/>
          <w:rFonts w:hint="eastAsia" w:ascii="仿宋" w:hAnsi="仿宋" w:eastAsia="仿宋"/>
          <w:bCs/>
          <w:kern w:val="2"/>
          <w:sz w:val="32"/>
          <w:szCs w:val="32"/>
        </w:rPr>
        <w:t>2.一般公共服务支出（类）纪检监察事务（款）一般行政管理事务（项）：</w:t>
      </w:r>
      <w:r>
        <w:rPr>
          <w:rStyle w:val="14"/>
          <w:rFonts w:hint="eastAsia" w:ascii="仿宋" w:hAnsi="仿宋" w:eastAsia="仿宋"/>
          <w:b w:val="0"/>
          <w:bCs/>
          <w:color w:val="000000"/>
          <w:sz w:val="32"/>
          <w:szCs w:val="32"/>
        </w:rPr>
        <w:t>支出决算为17.2万元，完成预算100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4BDCA5C9">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一般公共服务支出（类）纪检监察事务（款）大案要案查处（项）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2D8CA786">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一般公共服务支出（类）纪检监察事务（款）派驻派出机构（项）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354D57A">
      <w:pPr>
        <w:spacing w:line="600" w:lineRule="exact"/>
        <w:ind w:firstLine="643" w:firstLineChars="200"/>
        <w:rPr>
          <w:rFonts w:ascii="仿宋" w:hAnsi="仿宋" w:eastAsia="仿宋"/>
          <w:bCs/>
          <w:sz w:val="32"/>
          <w:szCs w:val="32"/>
        </w:rPr>
      </w:pPr>
      <w:r>
        <w:rPr>
          <w:rStyle w:val="14"/>
          <w:rFonts w:hint="eastAsia" w:ascii="仿宋" w:hAnsi="仿宋" w:eastAsia="仿宋"/>
          <w:bCs/>
          <w:sz w:val="32"/>
          <w:szCs w:val="32"/>
        </w:rPr>
        <w:t>5</w:t>
      </w:r>
      <w:r>
        <w:rPr>
          <w:rStyle w:val="14"/>
          <w:rFonts w:ascii="仿宋" w:hAnsi="仿宋" w:eastAsia="仿宋"/>
          <w:bCs/>
          <w:sz w:val="32"/>
          <w:szCs w:val="32"/>
        </w:rPr>
        <w:t>.</w:t>
      </w:r>
      <w:r>
        <w:rPr>
          <w:rStyle w:val="14"/>
          <w:rFonts w:hint="eastAsia" w:ascii="仿宋" w:hAnsi="仿宋" w:eastAsia="仿宋"/>
          <w:bCs/>
          <w:sz w:val="32"/>
          <w:szCs w:val="32"/>
        </w:rPr>
        <w:t>教育支出（类）进修及培训（款）培训支出（项）</w:t>
      </w:r>
      <w:r>
        <w:rPr>
          <w:rStyle w:val="14"/>
          <w:rFonts w:ascii="仿宋" w:hAnsi="仿宋" w:eastAsia="仿宋"/>
          <w:bCs/>
          <w:sz w:val="32"/>
          <w:szCs w:val="32"/>
        </w:rPr>
        <w:t>:</w:t>
      </w:r>
      <w:r>
        <w:rPr>
          <w:rStyle w:val="14"/>
          <w:rFonts w:hint="eastAsia" w:ascii="仿宋" w:hAnsi="仿宋" w:eastAsia="仿宋"/>
          <w:b w:val="0"/>
          <w:bCs/>
          <w:sz w:val="32"/>
          <w:szCs w:val="32"/>
        </w:rPr>
        <w:t>支出决算为18万元，完成预算100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0E2EC880">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社会保障和就业支出（类）行政事业单位养老支出（款）机关事业单位基本养老保险缴费支出（项）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支出决算为67.73万元，完成预算74.82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sz w:val="32"/>
          <w:szCs w:val="32"/>
        </w:rPr>
        <w:t>决算数小于预算数的主要原因是未完成支付的单位基本养老保险缴费结转下年</w:t>
      </w:r>
      <w:r>
        <w:rPr>
          <w:rStyle w:val="14"/>
          <w:rFonts w:hint="eastAsia" w:ascii="仿宋" w:hAnsi="仿宋" w:eastAsia="仿宋"/>
          <w:b w:val="0"/>
          <w:bCs/>
          <w:color w:val="000000"/>
          <w:sz w:val="32"/>
          <w:szCs w:val="32"/>
        </w:rPr>
        <w:t>。</w:t>
      </w:r>
    </w:p>
    <w:p w14:paraId="53BEA271">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卫生健康支出（类）行政事业单位医疗（款）行政单位医疗（项）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支出决算为52.63万元，完成预算100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71144456">
      <w:pPr>
        <w:spacing w:line="600" w:lineRule="exact"/>
        <w:ind w:firstLine="643" w:firstLineChars="200"/>
        <w:rPr>
          <w:rFonts w:ascii="仿宋" w:hAnsi="仿宋" w:eastAsia="仿宋_GB2312"/>
          <w:bCs/>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支出决算为62.29万元，完成预算100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C172DE9">
      <w:pPr>
        <w:tabs>
          <w:tab w:val="right" w:pos="8306"/>
        </w:tabs>
        <w:spacing w:line="600" w:lineRule="exact"/>
        <w:ind w:firstLine="640"/>
        <w:outlineLvl w:val="1"/>
        <w:rPr>
          <w:rStyle w:val="25"/>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14:paraId="35DEE846">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21年一般公共预算财政拨款基本支出1202.53万元，其中：</w:t>
      </w:r>
    </w:p>
    <w:p w14:paraId="1F9745EA">
      <w:pPr>
        <w:spacing w:line="600" w:lineRule="exact"/>
        <w:ind w:firstLine="645"/>
        <w:rPr>
          <w:rFonts w:ascii="仿宋" w:hAnsi="仿宋" w:eastAsia="仿宋"/>
          <w:sz w:val="32"/>
          <w:szCs w:val="32"/>
        </w:rPr>
      </w:pPr>
      <w:r>
        <w:rPr>
          <w:rFonts w:hint="eastAsia" w:ascii="仿宋" w:hAnsi="仿宋" w:eastAsia="仿宋"/>
          <w:sz w:val="32"/>
          <w:szCs w:val="32"/>
        </w:rPr>
        <w:t>人员经费1013.39万元，主要包括：基本工资、津贴补贴、奖金、机关事业单位基本养老保险缴费、职工基本医疗保险缴费、住房公积金、其他工资福利支出、生活补助、奖励金等。</w:t>
      </w:r>
    </w:p>
    <w:p w14:paraId="5766E174">
      <w:pPr>
        <w:spacing w:line="600" w:lineRule="exact"/>
        <w:ind w:firstLine="645"/>
        <w:rPr>
          <w:rFonts w:ascii="仿宋" w:hAnsi="仿宋" w:eastAsia="仿宋"/>
          <w:sz w:val="32"/>
          <w:szCs w:val="32"/>
        </w:rPr>
      </w:pPr>
      <w:r>
        <w:rPr>
          <w:rFonts w:hint="eastAsia" w:ascii="仿宋" w:hAnsi="仿宋" w:eastAsia="仿宋"/>
          <w:sz w:val="32"/>
          <w:szCs w:val="32"/>
        </w:rPr>
        <w:t>　　公用经费189.13万元，主要包括：办公费、印刷费、电费、邮电费、差旅费、维修（护）费、会议费、培训费、公务接待费、劳务费、工会经费、福利费、公务用车运行维护费、其他交通费、办公设备购置等。</w:t>
      </w:r>
    </w:p>
    <w:p w14:paraId="5F1E8537">
      <w:pPr>
        <w:spacing w:line="600" w:lineRule="exact"/>
        <w:ind w:firstLine="640"/>
        <w:outlineLvl w:val="1"/>
        <w:rPr>
          <w:rStyle w:val="25"/>
          <w:rFonts w:ascii="黑体" w:hAnsi="黑体" w:eastAsia="黑体"/>
          <w:b w:val="0"/>
        </w:rPr>
      </w:pPr>
      <w:bookmarkStart w:id="38" w:name="_Toc15396609"/>
      <w:bookmarkStart w:id="39" w:name="_Toc15377215"/>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8"/>
      <w:bookmarkEnd w:id="39"/>
    </w:p>
    <w:p w14:paraId="2FE6B8F3">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6342C68C">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21年“三公”经费财政拨款支出决算为34.67万元，完成预算100</w:t>
      </w:r>
      <w:r>
        <w:rPr>
          <w:rFonts w:ascii="仿宋" w:hAnsi="仿宋" w:eastAsia="仿宋"/>
          <w:sz w:val="32"/>
          <w:szCs w:val="32"/>
        </w:rPr>
        <w:t>%</w:t>
      </w:r>
      <w:r>
        <w:rPr>
          <w:rFonts w:hint="eastAsia" w:ascii="仿宋" w:hAnsi="仿宋" w:eastAsia="仿宋"/>
          <w:sz w:val="32"/>
          <w:szCs w:val="32"/>
        </w:rPr>
        <w:t>，决算数与预算数持平。</w:t>
      </w:r>
    </w:p>
    <w:p w14:paraId="05A7FA57">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7725CC08">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；公务用车购置及运行维护费支出决算24.89万元，占71.79</w:t>
      </w:r>
      <w:r>
        <w:rPr>
          <w:rFonts w:ascii="仿宋" w:hAnsi="仿宋" w:eastAsia="仿宋"/>
          <w:sz w:val="32"/>
          <w:szCs w:val="32"/>
        </w:rPr>
        <w:t>%</w:t>
      </w:r>
      <w:r>
        <w:rPr>
          <w:rFonts w:hint="eastAsia" w:ascii="仿宋" w:hAnsi="仿宋" w:eastAsia="仿宋"/>
          <w:sz w:val="32"/>
          <w:szCs w:val="32"/>
        </w:rPr>
        <w:t>；公务接待费支出决算9.78万元，占28.21</w:t>
      </w:r>
      <w:r>
        <w:rPr>
          <w:rFonts w:ascii="仿宋" w:hAnsi="仿宋" w:eastAsia="仿宋"/>
          <w:sz w:val="32"/>
          <w:szCs w:val="32"/>
        </w:rPr>
        <w:t>%</w:t>
      </w:r>
      <w:r>
        <w:rPr>
          <w:rFonts w:hint="eastAsia" w:ascii="仿宋" w:hAnsi="仿宋" w:eastAsia="仿宋"/>
          <w:sz w:val="32"/>
          <w:szCs w:val="32"/>
        </w:rPr>
        <w:t>。具体情况如下：</w:t>
      </w:r>
    </w:p>
    <w:p w14:paraId="378335D3">
      <w:pPr>
        <w:pStyle w:val="2"/>
        <w:spacing w:before="93"/>
        <w:ind w:firstLine="450" w:firstLineChars="150"/>
      </w:pPr>
      <w:r>
        <w:rPr>
          <w:rFonts w:hint="eastAsia"/>
        </w:rPr>
        <w:drawing>
          <wp:inline distT="0" distB="0" distL="114300" distR="114300">
            <wp:extent cx="4924425" cy="2171700"/>
            <wp:effectExtent l="0" t="0" r="9525" b="0"/>
            <wp:docPr id="8" name="图片 8"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7"/>
                    <pic:cNvPicPr>
                      <a:picLocks noChangeAspect="1"/>
                    </pic:cNvPicPr>
                  </pic:nvPicPr>
                  <pic:blipFill>
                    <a:blip r:embed="rId12"/>
                    <a:stretch>
                      <a:fillRect/>
                    </a:stretch>
                  </pic:blipFill>
                  <pic:spPr>
                    <a:xfrm>
                      <a:off x="0" y="0"/>
                      <a:ext cx="4924425" cy="2171700"/>
                    </a:xfrm>
                    <a:prstGeom prst="rect">
                      <a:avLst/>
                    </a:prstGeom>
                  </pic:spPr>
                </pic:pic>
              </a:graphicData>
            </a:graphic>
          </wp:inline>
        </w:drawing>
      </w:r>
    </w:p>
    <w:p w14:paraId="4291277B">
      <w:pPr>
        <w:spacing w:line="600" w:lineRule="exact"/>
        <w:ind w:firstLine="640" w:firstLineChars="200"/>
        <w:rPr>
          <w:rFonts w:ascii="仿宋" w:hAnsi="仿宋" w:eastAsia="仿宋"/>
          <w:sz w:val="32"/>
          <w:szCs w:val="32"/>
        </w:rPr>
      </w:pPr>
      <w:r>
        <w:rPr>
          <w:rFonts w:hint="eastAsia" w:ascii="仿宋" w:hAnsi="仿宋" w:eastAsia="仿宋"/>
          <w:sz w:val="32"/>
          <w:szCs w:val="32"/>
        </w:rPr>
        <w:t>（图7：“三公”经费财政拨款支出结构）（饼状图）</w:t>
      </w:r>
    </w:p>
    <w:p w14:paraId="397573AB">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年初未安排预算</w:t>
      </w:r>
      <w:r>
        <w:rPr>
          <w:rFonts w:hint="eastAsia" w:ascii="仿宋_GB2312" w:eastAsia="仿宋_GB2312"/>
          <w:sz w:val="32"/>
          <w:szCs w:val="32"/>
        </w:rPr>
        <w:t>。</w:t>
      </w:r>
    </w:p>
    <w:p w14:paraId="55B65D8B">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24.89万元,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20年增加5万元，增长25.14</w:t>
      </w:r>
      <w:r>
        <w:rPr>
          <w:rFonts w:ascii="仿宋_GB2312" w:eastAsia="仿宋_GB2312"/>
          <w:sz w:val="32"/>
          <w:szCs w:val="32"/>
        </w:rPr>
        <w:t>%</w:t>
      </w:r>
      <w:r>
        <w:rPr>
          <w:rFonts w:hint="eastAsia" w:ascii="仿宋_GB2312" w:eastAsia="仿宋_GB2312"/>
          <w:sz w:val="32"/>
          <w:szCs w:val="32"/>
        </w:rPr>
        <w:t>。主要原因是2021年检察院划拨新增车辆一台。</w:t>
      </w:r>
    </w:p>
    <w:p w14:paraId="1C11142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月底，单位共有公务用车6辆，其中：轿车2辆、越野车4辆、载客汽车0辆。</w:t>
      </w:r>
    </w:p>
    <w:p w14:paraId="601EC018">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24.89万元。主要用于</w:t>
      </w:r>
      <w:r>
        <w:rPr>
          <w:rFonts w:hint="eastAsia" w:ascii="仿宋_GB2312" w:eastAsia="仿宋_GB2312"/>
          <w:color w:val="000000"/>
          <w:sz w:val="32"/>
          <w:szCs w:val="32"/>
        </w:rPr>
        <w:t>监督检查、审查调查</w:t>
      </w:r>
      <w:r>
        <w:rPr>
          <w:rFonts w:hint="eastAsia" w:ascii="仿宋_GB2312" w:eastAsia="仿宋_GB2312"/>
          <w:sz w:val="32"/>
          <w:szCs w:val="32"/>
        </w:rPr>
        <w:t>等所需的公务用车燃料费、维修费、过路过桥费、保险费等支出。</w:t>
      </w:r>
    </w:p>
    <w:p w14:paraId="6BEA0163">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9.78万元，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20年减少0.02万元，下降0.2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000000"/>
          <w:sz w:val="32"/>
          <w:szCs w:val="32"/>
        </w:rPr>
        <w:t>“三公”经费厉行节约压缩开支</w:t>
      </w:r>
      <w:r>
        <w:rPr>
          <w:rFonts w:hint="eastAsia" w:ascii="仿宋_GB2312" w:eastAsia="仿宋_GB2312"/>
          <w:sz w:val="32"/>
          <w:szCs w:val="32"/>
        </w:rPr>
        <w:t>。其中：</w:t>
      </w:r>
    </w:p>
    <w:p w14:paraId="3686F58A">
      <w:pPr>
        <w:spacing w:line="600" w:lineRule="exact"/>
        <w:ind w:firstLine="640"/>
        <w:rPr>
          <w:rFonts w:ascii="仿宋_GB2312" w:eastAsia="仿宋_GB2312"/>
          <w:color w:val="000000"/>
          <w:sz w:val="32"/>
          <w:szCs w:val="32"/>
        </w:rPr>
      </w:pPr>
      <w:r>
        <w:rPr>
          <w:rFonts w:hint="eastAsia" w:ascii="仿宋" w:hAnsi="仿宋" w:eastAsia="仿宋"/>
          <w:b/>
          <w:sz w:val="32"/>
          <w:szCs w:val="32"/>
        </w:rPr>
        <w:t>国内公务接待支出</w:t>
      </w:r>
      <w:r>
        <w:rPr>
          <w:rFonts w:hint="eastAsia" w:ascii="仿宋" w:hAnsi="仿宋" w:eastAsia="仿宋"/>
          <w:sz w:val="32"/>
          <w:szCs w:val="32"/>
        </w:rPr>
        <w:t>9.78</w:t>
      </w:r>
      <w:r>
        <w:rPr>
          <w:rFonts w:hint="eastAsia" w:ascii="仿宋_GB2312" w:eastAsia="仿宋_GB2312"/>
          <w:sz w:val="32"/>
          <w:szCs w:val="32"/>
        </w:rPr>
        <w:t>万元，主要用于执行公务、开展业务活动开支的用餐费等。国内公务接待145批次，1012人次（不包括陪同人员），共计支出9.78万元，具体内容包括：</w:t>
      </w:r>
      <w:r>
        <w:rPr>
          <w:rFonts w:hint="eastAsia" w:ascii="仿宋_GB2312" w:eastAsia="仿宋_GB2312"/>
          <w:color w:val="000000"/>
          <w:sz w:val="32"/>
          <w:szCs w:val="32"/>
        </w:rPr>
        <w:t>接待业务部门专题考察、调研、检查指导，以及县区同部门的业务交流。</w:t>
      </w:r>
    </w:p>
    <w:p w14:paraId="29748585">
      <w:pPr>
        <w:spacing w:line="600" w:lineRule="exact"/>
        <w:ind w:firstLine="64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42" w:name="_Toc15396610"/>
      <w:bookmarkStart w:id="43" w:name="_Toc15377218"/>
    </w:p>
    <w:p w14:paraId="6363FA9F">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2"/>
      <w:bookmarkEnd w:id="43"/>
    </w:p>
    <w:p w14:paraId="07F83CA1">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14:paraId="26CFAE19">
      <w:pPr>
        <w:numPr>
          <w:ilvl w:val="0"/>
          <w:numId w:val="2"/>
        </w:numPr>
        <w:spacing w:line="600" w:lineRule="exact"/>
        <w:ind w:firstLine="640"/>
        <w:outlineLvl w:val="1"/>
        <w:rPr>
          <w:rStyle w:val="25"/>
          <w:rFonts w:ascii="黑体" w:hAnsi="黑体" w:eastAsia="黑体"/>
          <w:b w:val="0"/>
        </w:rPr>
      </w:pPr>
      <w:bookmarkStart w:id="44" w:name="_Toc15396611"/>
      <w:bookmarkStart w:id="45" w:name="_Toc15377219"/>
      <w:r>
        <w:rPr>
          <w:rStyle w:val="25"/>
          <w:rFonts w:hint="eastAsia" w:ascii="黑体" w:hAnsi="黑体" w:eastAsia="黑体"/>
          <w:b w:val="0"/>
        </w:rPr>
        <w:t>国有资本经营预算支出决算情况说明</w:t>
      </w:r>
      <w:bookmarkEnd w:id="44"/>
      <w:bookmarkEnd w:id="45"/>
    </w:p>
    <w:p w14:paraId="3138AEE4">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08667299">
      <w:pPr>
        <w:numPr>
          <w:ilvl w:val="0"/>
          <w:numId w:val="2"/>
        </w:numPr>
        <w:spacing w:line="600" w:lineRule="exact"/>
        <w:ind w:firstLine="640"/>
        <w:outlineLvl w:val="1"/>
        <w:rPr>
          <w:rStyle w:val="25"/>
          <w:rFonts w:ascii="黑体" w:hAnsi="黑体" w:eastAsia="黑体"/>
          <w:b w:val="0"/>
        </w:rPr>
      </w:pPr>
      <w:bookmarkStart w:id="46" w:name="_Toc15396612"/>
      <w:bookmarkStart w:id="47" w:name="_Toc15377221"/>
      <w:r>
        <w:rPr>
          <w:rStyle w:val="25"/>
          <w:rFonts w:hint="eastAsia" w:ascii="黑体" w:hAnsi="黑体" w:eastAsia="黑体"/>
          <w:b w:val="0"/>
        </w:rPr>
        <w:t>预算绩效管理情况</w:t>
      </w:r>
    </w:p>
    <w:p w14:paraId="046DEEE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根据预算绩效管理要求，本单位在2021年度预算编制阶段，组织对“党组织活动经费项目”、“</w:t>
      </w:r>
      <w:r>
        <w:rPr>
          <w:rFonts w:hint="eastAsia" w:ascii="仿宋_GB2312" w:hAnsi="宋体" w:eastAsia="仿宋_GB2312"/>
          <w:sz w:val="32"/>
          <w:szCs w:val="32"/>
          <w:lang w:val="zh-CN"/>
        </w:rPr>
        <w:t>党风廉政建设宣传教育经费项目</w:t>
      </w:r>
      <w:r>
        <w:rPr>
          <w:rFonts w:hint="eastAsia" w:ascii="仿宋_GB2312" w:hAnsi="仿宋_GB2312" w:eastAsia="仿宋_GB2312" w:cs="仿宋_GB2312"/>
          <w:sz w:val="32"/>
          <w:szCs w:val="32"/>
        </w:rPr>
        <w:t>”、“</w:t>
      </w:r>
      <w:r>
        <w:rPr>
          <w:rFonts w:hint="eastAsia" w:ascii="仿宋_GB2312" w:hAnsi="宋体" w:eastAsia="仿宋_GB2312"/>
          <w:sz w:val="32"/>
          <w:szCs w:val="32"/>
          <w:lang w:val="zh-CN"/>
        </w:rPr>
        <w:t>派出派驻纪检监察组工作经费项目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宋体" w:eastAsia="仿宋_GB2312"/>
          <w:sz w:val="32"/>
          <w:szCs w:val="32"/>
          <w:lang w:val="zh-CN"/>
        </w:rPr>
        <w:t>大要案查处专项经费项目</w:t>
      </w:r>
      <w:r>
        <w:rPr>
          <w:rFonts w:hint="eastAsia" w:ascii="仿宋_GB2312" w:hAnsi="仿宋_GB2312" w:eastAsia="仿宋_GB2312" w:cs="仿宋_GB2312"/>
          <w:sz w:val="32"/>
          <w:szCs w:val="32"/>
        </w:rPr>
        <w:t>”、“东西部协作跟班学习培训经费项目”等5个项目开展了预算事前绩效评估，对5个项目编制了绩效目标，预算执行过程中，选取5个项目开展绩效监控，年终执行完毕后，对5个项目开展了绩效自评，《2021年部门预算项目绩效目标自评表》见附件（第四部分）。</w:t>
      </w:r>
    </w:p>
    <w:p w14:paraId="545CDF47">
      <w:pPr>
        <w:numPr>
          <w:ilvl w:val="0"/>
          <w:numId w:val="2"/>
        </w:numPr>
        <w:spacing w:line="600" w:lineRule="exact"/>
        <w:ind w:firstLine="640"/>
        <w:outlineLvl w:val="1"/>
        <w:rPr>
          <w:rStyle w:val="25"/>
          <w:rFonts w:ascii="黑体" w:hAnsi="黑体" w:eastAsia="黑体"/>
          <w:b w:val="0"/>
        </w:rPr>
      </w:pPr>
      <w:r>
        <w:rPr>
          <w:rStyle w:val="25"/>
          <w:rFonts w:hint="eastAsia" w:ascii="黑体" w:hAnsi="黑体" w:eastAsia="黑体"/>
          <w:b w:val="0"/>
        </w:rPr>
        <w:t>其他重要事项的情况说明</w:t>
      </w:r>
      <w:bookmarkEnd w:id="46"/>
      <w:bookmarkEnd w:id="47"/>
    </w:p>
    <w:p w14:paraId="5ABC5498">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11FCFADB">
      <w:pPr>
        <w:spacing w:line="600" w:lineRule="exact"/>
        <w:ind w:firstLine="640" w:firstLineChars="200"/>
        <w:rPr>
          <w:rFonts w:ascii="仿宋" w:hAnsi="仿宋" w:eastAsia="仿宋"/>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中共旺苍县纪委</w:t>
      </w:r>
      <w:r>
        <w:rPr>
          <w:rFonts w:hint="eastAsia" w:ascii="仿宋_GB2312" w:eastAsia="仿宋_GB2312"/>
          <w:sz w:val="32"/>
          <w:szCs w:val="32"/>
        </w:rPr>
        <w:t>机关运行经费支出189.13万元，比</w:t>
      </w:r>
      <w:r>
        <w:rPr>
          <w:rFonts w:ascii="仿宋_GB2312" w:eastAsia="仿宋_GB2312"/>
          <w:sz w:val="32"/>
          <w:szCs w:val="32"/>
        </w:rPr>
        <w:t>20</w:t>
      </w:r>
      <w:r>
        <w:rPr>
          <w:rFonts w:hint="eastAsia" w:ascii="仿宋_GB2312" w:eastAsia="仿宋_GB2312"/>
          <w:sz w:val="32"/>
          <w:szCs w:val="32"/>
        </w:rPr>
        <w:t>20年增加36.77万元，增长24.13</w:t>
      </w:r>
      <w:r>
        <w:rPr>
          <w:rFonts w:ascii="仿宋_GB2312" w:eastAsia="仿宋_GB2312"/>
          <w:sz w:val="32"/>
          <w:szCs w:val="32"/>
        </w:rPr>
        <w:t>%</w:t>
      </w:r>
      <w:r>
        <w:rPr>
          <w:rFonts w:hint="eastAsia" w:ascii="仿宋_GB2312" w:eastAsia="仿宋_GB2312"/>
          <w:sz w:val="32"/>
          <w:szCs w:val="32"/>
        </w:rPr>
        <w:t>。主要原因是</w:t>
      </w:r>
      <w:bookmarkStart w:id="69" w:name="_GoBack"/>
      <w:bookmarkEnd w:id="69"/>
      <w:r>
        <w:rPr>
          <w:rFonts w:hint="eastAsia" w:ascii="仿宋" w:hAnsi="仿宋" w:eastAsia="仿宋"/>
          <w:sz w:val="32"/>
          <w:szCs w:val="32"/>
        </w:rPr>
        <w:t>监察体制改革，成立综合派驻纪检监察组，人员基数大，工资及行政运行经费支出增加。</w:t>
      </w:r>
    </w:p>
    <w:p w14:paraId="4CDBEB7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3B26F8A4">
      <w:pPr>
        <w:spacing w:line="600" w:lineRule="exact"/>
        <w:ind w:firstLine="640" w:firstLineChars="200"/>
        <w:rPr>
          <w:rFonts w:ascii="仿宋_GB2312" w:eastAsia="仿宋_GB2312"/>
          <w:color w:val="000000"/>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中共旺苍县纪委机关</w:t>
      </w:r>
      <w:r>
        <w:rPr>
          <w:rFonts w:hint="eastAsia" w:ascii="仿宋_GB2312" w:eastAsia="仿宋_GB2312"/>
          <w:sz w:val="32"/>
          <w:szCs w:val="32"/>
        </w:rPr>
        <w:t>政府采购支出总额0万元，其中：政府采购货物支出0万元、政府采购工程支出0万元、政府采购服务支出0万元。</w:t>
      </w:r>
    </w:p>
    <w:p w14:paraId="07F0F0ED">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25002BEF">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中共旺苍县纪委机关</w:t>
      </w:r>
      <w:r>
        <w:rPr>
          <w:rFonts w:hint="eastAsia" w:ascii="仿宋_GB2312" w:eastAsia="仿宋_GB2312"/>
          <w:sz w:val="32"/>
          <w:szCs w:val="32"/>
        </w:rPr>
        <w:t>共有车辆6辆，其中：主要领导干部用车0辆、机要通信用车0辆、应急保障用车0辆、</w:t>
      </w:r>
      <w:r>
        <w:rPr>
          <w:rFonts w:hint="eastAsia" w:ascii="仿宋_GB2312" w:eastAsia="仿宋_GB2312"/>
          <w:color w:val="000000"/>
          <w:sz w:val="32"/>
          <w:szCs w:val="32"/>
        </w:rPr>
        <w:t>执法执勤用车6辆、</w:t>
      </w:r>
      <w:r>
        <w:rPr>
          <w:rFonts w:hint="eastAsia" w:ascii="仿宋_GB2312" w:eastAsia="仿宋_GB2312"/>
          <w:sz w:val="32"/>
          <w:szCs w:val="32"/>
        </w:rPr>
        <w:t>其他用车0辆。</w:t>
      </w:r>
    </w:p>
    <w:p w14:paraId="1AEE6F04">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1F82FF41">
      <w:pPr>
        <w:pStyle w:val="2"/>
        <w:spacing w:before="93"/>
        <w:rPr>
          <w:highlight w:val="yellow"/>
        </w:rPr>
      </w:pPr>
    </w:p>
    <w:p w14:paraId="4E93691E">
      <w:pPr>
        <w:widowControl/>
        <w:jc w:val="left"/>
        <w:rPr>
          <w:rFonts w:ascii="仿宋_GB2312" w:eastAsia="仿宋_GB2312"/>
          <w:b/>
          <w:sz w:val="32"/>
          <w:szCs w:val="32"/>
        </w:rPr>
      </w:pPr>
      <w:r>
        <w:rPr>
          <w:rFonts w:ascii="仿宋_GB2312" w:eastAsia="仿宋_GB2312"/>
          <w:b/>
          <w:sz w:val="32"/>
          <w:szCs w:val="32"/>
        </w:rPr>
        <w:br w:type="page"/>
      </w:r>
    </w:p>
    <w:p w14:paraId="480BF225">
      <w:pPr>
        <w:numPr>
          <w:ilvl w:val="0"/>
          <w:numId w:val="3"/>
        </w:numPr>
        <w:spacing w:line="600" w:lineRule="exact"/>
        <w:ind w:firstLine="660" w:firstLineChars="150"/>
        <w:jc w:val="center"/>
        <w:outlineLvl w:val="0"/>
        <w:rPr>
          <w:rStyle w:val="24"/>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4"/>
          <w:rFonts w:hint="eastAsia" w:ascii="黑体" w:hAnsi="黑体" w:eastAsia="黑体"/>
          <w:b w:val="0"/>
        </w:rPr>
        <w:t>词解释</w:t>
      </w:r>
      <w:bookmarkEnd w:id="51"/>
      <w:bookmarkEnd w:id="52"/>
    </w:p>
    <w:p w14:paraId="091DA0CC">
      <w:pPr>
        <w:spacing w:line="600" w:lineRule="exact"/>
        <w:jc w:val="left"/>
        <w:rPr>
          <w:rFonts w:ascii="宋体"/>
          <w:b/>
          <w:sz w:val="44"/>
          <w:szCs w:val="44"/>
        </w:rPr>
      </w:pPr>
    </w:p>
    <w:p w14:paraId="4F95723A">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9BAFA53">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14:paraId="4D5997F8">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51CBFF15">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14:paraId="01DF8883">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sz w:val="32"/>
          <w:szCs w:val="32"/>
        </w:rPr>
        <w:t>一般公共服务（类）纪检监察事务（款）行政运行（项）：</w:t>
      </w:r>
      <w:r>
        <w:rPr>
          <w:rFonts w:hint="eastAsia" w:ascii="仿宋_GB2312" w:eastAsia="仿宋_GB2312"/>
          <w:color w:val="000000"/>
          <w:sz w:val="32"/>
          <w:szCs w:val="32"/>
        </w:rPr>
        <w:t>反映行政单位（包括实行公务员管理的事业单位）的基本支出。</w:t>
      </w:r>
    </w:p>
    <w:p w14:paraId="50C32141">
      <w:pPr>
        <w:ind w:firstLine="640" w:firstLineChars="200"/>
        <w:rPr>
          <w:rStyle w:val="14"/>
          <w:b w:val="0"/>
          <w:bCs/>
          <w:color w:val="000000"/>
          <w:sz w:val="32"/>
          <w:szCs w:val="32"/>
        </w:rPr>
      </w:pPr>
      <w:r>
        <w:rPr>
          <w:rStyle w:val="14"/>
          <w:rFonts w:hint="eastAsia" w:hAnsi="Calibri"/>
          <w:b w:val="0"/>
          <w:color w:val="000000"/>
          <w:sz w:val="32"/>
          <w:szCs w:val="32"/>
        </w:rPr>
        <w:t xml:space="preserve">6. </w:t>
      </w:r>
      <w:r>
        <w:rPr>
          <w:rFonts w:hint="eastAsia" w:ascii="仿宋_GB2312" w:eastAsia="仿宋_GB2312"/>
          <w:sz w:val="32"/>
          <w:szCs w:val="32"/>
        </w:rPr>
        <w:t>一般公共服务（类）纪检监察事务（款）一般行政管理事务（项）：</w:t>
      </w:r>
      <w:r>
        <w:rPr>
          <w:rFonts w:hint="eastAsia" w:ascii="仿宋_GB2312" w:eastAsia="仿宋_GB2312"/>
          <w:color w:val="000000"/>
          <w:sz w:val="32"/>
          <w:szCs w:val="32"/>
        </w:rPr>
        <w:t>反映行政单位（包括实行公务员管理的事业单位）未单独设置项级科目的其他项目支出。</w:t>
      </w:r>
    </w:p>
    <w:p w14:paraId="74426D47">
      <w:pPr>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hint="eastAsia" w:ascii="仿宋_GB2312" w:eastAsia="仿宋_GB2312"/>
          <w:sz w:val="32"/>
          <w:szCs w:val="32"/>
        </w:rPr>
        <w:t>一般公共服务（类）纪检监察事务（款）大案要案查处（项）：</w:t>
      </w:r>
      <w:r>
        <w:rPr>
          <w:rFonts w:hint="eastAsia" w:ascii="仿宋_GB2312" w:eastAsia="仿宋_GB2312"/>
          <w:color w:val="000000"/>
          <w:sz w:val="32"/>
          <w:szCs w:val="32"/>
        </w:rPr>
        <w:t>反映查处大要（专）案的支出。</w:t>
      </w:r>
    </w:p>
    <w:p w14:paraId="06361877">
      <w:pPr>
        <w:spacing w:line="600" w:lineRule="exact"/>
        <w:ind w:firstLine="640" w:firstLineChars="200"/>
        <w:rPr>
          <w:rFonts w:ascii="仿宋_GB2312" w:eastAsia="仿宋_GB2312"/>
          <w:color w:val="000000"/>
          <w:sz w:val="32"/>
          <w:szCs w:val="32"/>
        </w:rPr>
      </w:pPr>
      <w:r>
        <w:rPr>
          <w:rStyle w:val="14"/>
          <w:rFonts w:hint="eastAsia" w:hAnsi="Calibri"/>
          <w:b w:val="0"/>
          <w:color w:val="000000"/>
          <w:sz w:val="32"/>
          <w:szCs w:val="32"/>
        </w:rPr>
        <w:t>8.</w:t>
      </w:r>
      <w:r>
        <w:rPr>
          <w:rFonts w:hint="eastAsia" w:ascii="仿宋_GB2312" w:eastAsia="仿宋_GB2312"/>
          <w:sz w:val="32"/>
          <w:szCs w:val="32"/>
        </w:rPr>
        <w:t>一般公共服务（类）纪检监察事务（款）派驻派出机构（项）：</w:t>
      </w:r>
      <w:r>
        <w:rPr>
          <w:rFonts w:hint="eastAsia" w:ascii="仿宋_GB2312" w:eastAsia="仿宋_GB2312"/>
          <w:color w:val="000000"/>
          <w:sz w:val="32"/>
          <w:szCs w:val="32"/>
        </w:rPr>
        <w:t>反映由纪检监察部门负担的派驻各部门和单位的纪检监察人员的专项业务支出。</w:t>
      </w:r>
    </w:p>
    <w:p w14:paraId="43537B6C">
      <w:pPr>
        <w:spacing w:line="60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教育支出（类）进修及培训（款）培训支出（项）</w:t>
      </w:r>
      <w:r>
        <w:rPr>
          <w:rFonts w:ascii="仿宋_GB2312" w:eastAsia="仿宋_GB2312"/>
          <w:sz w:val="32"/>
          <w:szCs w:val="32"/>
        </w:rPr>
        <w:t>:</w:t>
      </w:r>
      <w:r>
        <w:rPr>
          <w:rFonts w:hint="eastAsia" w:ascii="仿宋_GB2312" w:eastAsia="仿宋_GB2312"/>
          <w:sz w:val="32"/>
          <w:szCs w:val="32"/>
        </w:rPr>
        <w:t>反映各部门安排的用于培训的支出。</w:t>
      </w:r>
    </w:p>
    <w:p w14:paraId="195C1F14">
      <w:pPr>
        <w:spacing w:line="600" w:lineRule="exact"/>
        <w:ind w:firstLine="640" w:firstLineChars="200"/>
        <w:rPr>
          <w:rFonts w:ascii="仿宋_GB2312" w:eastAsia="仿宋_GB2312"/>
          <w:sz w:val="32"/>
          <w:szCs w:val="32"/>
        </w:rPr>
      </w:pPr>
      <w:r>
        <w:rPr>
          <w:rFonts w:hint="eastAsia" w:ascii="仿宋_GB2312" w:eastAsia="仿宋_GB2312"/>
          <w:sz w:val="32"/>
          <w:szCs w:val="32"/>
        </w:rPr>
        <w:t>10. 社会保障和就业（类）行政事业单位养老（款）机关事业单位基本养老保险缴费支出（项）：反映机关事业单位实施养老保险制度由单位缴纳的基本养老保险支出。</w:t>
      </w:r>
    </w:p>
    <w:p w14:paraId="70C8AC08">
      <w:pPr>
        <w:spacing w:line="600" w:lineRule="exact"/>
        <w:ind w:firstLine="640" w:firstLineChars="200"/>
        <w:rPr>
          <w:rFonts w:ascii="仿宋_GB2312" w:eastAsia="仿宋_GB2312"/>
          <w:sz w:val="32"/>
          <w:szCs w:val="32"/>
        </w:rPr>
      </w:pPr>
      <w:r>
        <w:rPr>
          <w:rFonts w:hint="eastAsia" w:ascii="仿宋_GB2312" w:eastAsia="仿宋_GB2312"/>
          <w:sz w:val="32"/>
          <w:szCs w:val="32"/>
        </w:rPr>
        <w:t>11. 卫生健康（类）行政事业单位医疗（款）行政单位医疗（项） ：反映财政部门集中安排的行政单位基本医疗保险缴费经费，未参加医疗保险的行政单位的公费医疗经费，按国家规定享受离休人员、红军老战士待遇的医疗经费。</w:t>
      </w:r>
    </w:p>
    <w:p w14:paraId="40BE66D6">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 住房保障（类）住房改革支出（款）住房公积金（项）：</w:t>
      </w:r>
    </w:p>
    <w:p w14:paraId="2A4BC980">
      <w:pPr>
        <w:pStyle w:val="22"/>
        <w:spacing w:line="560" w:lineRule="exact"/>
        <w:rPr>
          <w:rFonts w:ascii="仿宋_GB2312" w:eastAsia="仿宋_GB2312"/>
          <w:sz w:val="32"/>
          <w:szCs w:val="32"/>
        </w:rPr>
      </w:pPr>
      <w:r>
        <w:rPr>
          <w:rFonts w:hint="eastAsia" w:ascii="仿宋_GB2312" w:eastAsia="仿宋_GB2312"/>
          <w:sz w:val="32"/>
          <w:szCs w:val="32"/>
        </w:rPr>
        <w:t>反映行政事业单位按人力资源和社会保障部、财政部规定的基本工资和津贴补贴以及规定比例为职工缴纳的住房公积金。</w:t>
      </w:r>
    </w:p>
    <w:p w14:paraId="03969A53">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DA2EC3C">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31C1027C">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34378784">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BA7CF29">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2A6C3B">
      <w:pPr>
        <w:spacing w:line="600" w:lineRule="exact"/>
        <w:jc w:val="center"/>
        <w:outlineLvl w:val="0"/>
        <w:rPr>
          <w:rStyle w:val="24"/>
          <w:rFonts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24"/>
          <w:rFonts w:hint="eastAsia" w:ascii="黑体" w:hAnsi="黑体" w:eastAsia="黑体"/>
          <w:b w:val="0"/>
        </w:rPr>
        <w:t>四部分 附件</w:t>
      </w:r>
      <w:bookmarkEnd w:id="54"/>
    </w:p>
    <w:p w14:paraId="689D4A22">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tbl>
      <w:tblPr>
        <w:tblStyle w:val="12"/>
        <w:tblpPr w:leftFromText="180" w:rightFromText="180" w:vertAnchor="text" w:horzAnchor="page" w:tblpX="1497" w:tblpY="660"/>
        <w:tblOverlap w:val="never"/>
        <w:tblW w:w="9595" w:type="dxa"/>
        <w:tblInd w:w="0" w:type="dxa"/>
        <w:tblLayout w:type="fixed"/>
        <w:tblCellMar>
          <w:top w:w="0" w:type="dxa"/>
          <w:left w:w="108" w:type="dxa"/>
          <w:bottom w:w="0" w:type="dxa"/>
          <w:right w:w="108" w:type="dxa"/>
        </w:tblCellMar>
      </w:tblPr>
      <w:tblGrid>
        <w:gridCol w:w="885"/>
        <w:gridCol w:w="850"/>
        <w:gridCol w:w="216"/>
        <w:gridCol w:w="918"/>
        <w:gridCol w:w="358"/>
        <w:gridCol w:w="1343"/>
        <w:gridCol w:w="216"/>
        <w:gridCol w:w="851"/>
        <w:gridCol w:w="850"/>
        <w:gridCol w:w="493"/>
        <w:gridCol w:w="74"/>
        <w:gridCol w:w="2305"/>
        <w:gridCol w:w="236"/>
      </w:tblGrid>
      <w:tr w14:paraId="7DD8CFE7">
        <w:tblPrEx>
          <w:tblCellMar>
            <w:top w:w="0" w:type="dxa"/>
            <w:left w:w="108" w:type="dxa"/>
            <w:bottom w:w="0" w:type="dxa"/>
            <w:right w:w="108" w:type="dxa"/>
          </w:tblCellMar>
        </w:tblPrEx>
        <w:trPr>
          <w:trHeight w:val="675" w:hRule="atLeast"/>
        </w:trPr>
        <w:tc>
          <w:tcPr>
            <w:tcW w:w="9359" w:type="dxa"/>
            <w:gridSpan w:val="12"/>
            <w:tcBorders>
              <w:top w:val="nil"/>
              <w:left w:val="nil"/>
              <w:bottom w:val="nil"/>
              <w:right w:val="nil"/>
            </w:tcBorders>
            <w:shd w:val="clear" w:color="auto" w:fill="auto"/>
            <w:vAlign w:val="center"/>
          </w:tcPr>
          <w:p w14:paraId="2839BC62">
            <w:pPr>
              <w:widowControl/>
              <w:jc w:val="center"/>
              <w:textAlignment w:val="center"/>
              <w:rPr>
                <w:rFonts w:ascii="宋体" w:hAnsi="宋体" w:cs="宋体"/>
                <w:kern w:val="0"/>
                <w:sz w:val="32"/>
                <w:szCs w:val="32"/>
              </w:rPr>
            </w:pPr>
            <w:bookmarkStart w:id="55" w:name="_Toc15396618"/>
            <w:r>
              <w:rPr>
                <w:rFonts w:hint="eastAsia" w:ascii="宋体" w:hAnsi="宋体" w:cs="宋体"/>
                <w:kern w:val="0"/>
                <w:sz w:val="32"/>
                <w:szCs w:val="32"/>
              </w:rPr>
              <w:t>2021年部门预算项目绩效目标自评表</w:t>
            </w:r>
          </w:p>
          <w:p w14:paraId="65FEC835">
            <w:pPr>
              <w:spacing w:line="600" w:lineRule="exact"/>
              <w:jc w:val="center"/>
              <w:rPr>
                <w:rFonts w:ascii="仿宋_GB2312" w:hAnsi="宋体" w:eastAsia="仿宋_GB2312"/>
                <w:sz w:val="32"/>
                <w:szCs w:val="32"/>
              </w:rPr>
            </w:pPr>
            <w:r>
              <w:rPr>
                <w:rFonts w:hint="eastAsia" w:ascii="宋体" w:hAnsi="宋体" w:cs="宋体"/>
                <w:kern w:val="0"/>
                <w:sz w:val="32"/>
                <w:szCs w:val="32"/>
              </w:rPr>
              <w:t>（党组织活动经费项目）</w:t>
            </w:r>
          </w:p>
        </w:tc>
        <w:tc>
          <w:tcPr>
            <w:tcW w:w="236" w:type="dxa"/>
            <w:tcBorders>
              <w:top w:val="nil"/>
              <w:left w:val="nil"/>
              <w:bottom w:val="nil"/>
              <w:right w:val="nil"/>
            </w:tcBorders>
            <w:shd w:val="clear" w:color="auto" w:fill="auto"/>
            <w:vAlign w:val="center"/>
          </w:tcPr>
          <w:p w14:paraId="4DC299DB">
            <w:pPr>
              <w:widowControl/>
              <w:jc w:val="center"/>
              <w:textAlignment w:val="center"/>
              <w:rPr>
                <w:rFonts w:ascii="宋体" w:hAnsi="宋体" w:cs="宋体"/>
                <w:b/>
                <w:kern w:val="0"/>
                <w:sz w:val="32"/>
                <w:szCs w:val="32"/>
              </w:rPr>
            </w:pPr>
          </w:p>
        </w:tc>
      </w:tr>
      <w:tr w14:paraId="2DAB8A03">
        <w:tblPrEx>
          <w:tblCellMar>
            <w:top w:w="0" w:type="dxa"/>
            <w:left w:w="108" w:type="dxa"/>
            <w:bottom w:w="0" w:type="dxa"/>
            <w:right w:w="108" w:type="dxa"/>
          </w:tblCellMar>
        </w:tblPrEx>
        <w:trPr>
          <w:gridAfter w:val="1"/>
          <w:wAfter w:w="236" w:type="dxa"/>
          <w:trHeight w:val="254" w:hRule="atLeast"/>
        </w:trPr>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36371">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542FB">
            <w:pPr>
              <w:widowControl/>
              <w:spacing w:line="320" w:lineRule="exact"/>
              <w:textAlignment w:val="center"/>
              <w:rPr>
                <w:rFonts w:ascii="宋体" w:hAnsi="宋体" w:cs="宋体"/>
                <w:sz w:val="24"/>
              </w:rPr>
            </w:pPr>
            <w:r>
              <w:rPr>
                <w:rFonts w:hint="eastAsia" w:ascii="宋体" w:hAnsi="宋体" w:cs="宋体"/>
                <w:sz w:val="24"/>
              </w:rPr>
              <w:t>中共旺苍县纪委107</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D4BC5">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DF013">
            <w:pPr>
              <w:widowControl/>
              <w:spacing w:line="320" w:lineRule="exact"/>
              <w:jc w:val="right"/>
              <w:textAlignment w:val="center"/>
              <w:rPr>
                <w:rFonts w:ascii="宋体" w:hAnsi="宋体" w:cs="宋体"/>
                <w:sz w:val="24"/>
              </w:rPr>
            </w:pPr>
            <w:r>
              <w:rPr>
                <w:rFonts w:hint="eastAsia" w:ascii="宋体" w:hAnsi="宋体" w:cs="宋体"/>
                <w:sz w:val="24"/>
              </w:rPr>
              <w:t>中共旺苍县纪委</w:t>
            </w:r>
          </w:p>
        </w:tc>
      </w:tr>
      <w:tr w14:paraId="1480D4AC">
        <w:tblPrEx>
          <w:tblCellMar>
            <w:top w:w="0" w:type="dxa"/>
            <w:left w:w="108" w:type="dxa"/>
            <w:bottom w:w="0" w:type="dxa"/>
            <w:right w:w="108" w:type="dxa"/>
          </w:tblCellMar>
        </w:tblPrEx>
        <w:trPr>
          <w:gridAfter w:val="1"/>
          <w:wAfter w:w="236" w:type="dxa"/>
          <w:trHeight w:val="341" w:hRule="atLeast"/>
        </w:trPr>
        <w:tc>
          <w:tcPr>
            <w:tcW w:w="19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61FAF">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14:paraId="41373A6A">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14:paraId="017AD86B">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74FA5">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05834">
            <w:pPr>
              <w:widowControl/>
              <w:spacing w:line="320" w:lineRule="exact"/>
              <w:jc w:val="left"/>
              <w:textAlignment w:val="center"/>
              <w:rPr>
                <w:rFonts w:ascii="宋体" w:hAnsi="宋体" w:cs="宋体"/>
                <w:sz w:val="24"/>
              </w:rPr>
            </w:pPr>
            <w:r>
              <w:rPr>
                <w:rFonts w:hint="eastAsia" w:ascii="宋体" w:hAnsi="宋体" w:cs="宋体"/>
                <w:sz w:val="24"/>
              </w:rPr>
              <w:t>7.6万元</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0D688">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4BA98">
            <w:pPr>
              <w:widowControl/>
              <w:spacing w:line="320" w:lineRule="exact"/>
              <w:jc w:val="right"/>
              <w:textAlignment w:val="center"/>
              <w:rPr>
                <w:rFonts w:ascii="宋体" w:hAnsi="宋体" w:cs="宋体"/>
                <w:sz w:val="24"/>
              </w:rPr>
            </w:pPr>
            <w:r>
              <w:rPr>
                <w:rFonts w:hint="eastAsia" w:ascii="宋体" w:hAnsi="宋体" w:cs="宋体"/>
                <w:sz w:val="24"/>
              </w:rPr>
              <w:t>7.6万元</w:t>
            </w:r>
          </w:p>
        </w:tc>
      </w:tr>
      <w:tr w14:paraId="5E9D624B">
        <w:tblPrEx>
          <w:tblCellMar>
            <w:top w:w="0" w:type="dxa"/>
            <w:left w:w="108" w:type="dxa"/>
            <w:bottom w:w="0" w:type="dxa"/>
            <w:right w:w="108" w:type="dxa"/>
          </w:tblCellMar>
        </w:tblPrEx>
        <w:trPr>
          <w:gridAfter w:val="1"/>
          <w:wAfter w:w="236" w:type="dxa"/>
          <w:trHeight w:val="555"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2EA8">
            <w:pPr>
              <w:spacing w:line="320" w:lineRule="exact"/>
              <w:jc w:val="center"/>
              <w:rPr>
                <w:rFonts w:ascii="宋体" w:hAnsi="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043EF">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4670795E">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89CA2">
            <w:pPr>
              <w:widowControl/>
              <w:spacing w:line="320" w:lineRule="exact"/>
              <w:jc w:val="left"/>
              <w:textAlignment w:val="center"/>
              <w:rPr>
                <w:rFonts w:ascii="宋体" w:hAnsi="宋体" w:cs="宋体"/>
                <w:sz w:val="24"/>
              </w:rPr>
            </w:pPr>
            <w:r>
              <w:rPr>
                <w:rFonts w:hint="eastAsia" w:ascii="宋体" w:hAnsi="宋体" w:cs="宋体"/>
                <w:sz w:val="24"/>
              </w:rPr>
              <w:t>7.6万元</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FD1F6">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52DC2F27">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92308">
            <w:pPr>
              <w:widowControl/>
              <w:spacing w:line="320" w:lineRule="exact"/>
              <w:jc w:val="right"/>
              <w:textAlignment w:val="center"/>
              <w:rPr>
                <w:rFonts w:ascii="宋体" w:hAnsi="宋体" w:cs="宋体"/>
                <w:sz w:val="24"/>
              </w:rPr>
            </w:pPr>
            <w:r>
              <w:rPr>
                <w:rFonts w:hint="eastAsia" w:ascii="宋体" w:hAnsi="宋体" w:cs="宋体"/>
                <w:sz w:val="24"/>
              </w:rPr>
              <w:t>7.6万元</w:t>
            </w:r>
          </w:p>
        </w:tc>
      </w:tr>
      <w:tr w14:paraId="4AC48F40">
        <w:tblPrEx>
          <w:tblCellMar>
            <w:top w:w="0" w:type="dxa"/>
            <w:left w:w="108" w:type="dxa"/>
            <w:bottom w:w="0" w:type="dxa"/>
            <w:right w:w="108" w:type="dxa"/>
          </w:tblCellMar>
        </w:tblPrEx>
        <w:trPr>
          <w:gridAfter w:val="1"/>
          <w:wAfter w:w="236" w:type="dxa"/>
          <w:trHeight w:val="341"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8B7C0">
            <w:pPr>
              <w:spacing w:line="320" w:lineRule="exact"/>
              <w:jc w:val="center"/>
              <w:rPr>
                <w:rFonts w:ascii="宋体" w:hAnsi="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B4DC0">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A81E7">
            <w:pPr>
              <w:widowControl/>
              <w:spacing w:line="320" w:lineRule="exact"/>
              <w:jc w:val="left"/>
              <w:textAlignment w:val="center"/>
              <w:rPr>
                <w:rFonts w:ascii="宋体" w:hAnsi="宋体" w:cs="宋体"/>
                <w:sz w:val="24"/>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DB84B">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F59C1">
            <w:pPr>
              <w:widowControl/>
              <w:spacing w:line="320" w:lineRule="exact"/>
              <w:jc w:val="center"/>
              <w:textAlignment w:val="center"/>
              <w:rPr>
                <w:rFonts w:ascii="宋体" w:hAnsi="宋体" w:cs="宋体"/>
                <w:sz w:val="24"/>
              </w:rPr>
            </w:pPr>
          </w:p>
        </w:tc>
      </w:tr>
      <w:tr w14:paraId="1D991DAA">
        <w:tblPrEx>
          <w:tblCellMar>
            <w:top w:w="0" w:type="dxa"/>
            <w:left w:w="108" w:type="dxa"/>
            <w:bottom w:w="0" w:type="dxa"/>
            <w:right w:w="108" w:type="dxa"/>
          </w:tblCellMar>
        </w:tblPrEx>
        <w:trPr>
          <w:gridAfter w:val="1"/>
          <w:wAfter w:w="236" w:type="dxa"/>
          <w:trHeight w:val="217"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C0A03">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1985612B">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7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E339BA">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A47EF">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38C65425">
        <w:tblPrEx>
          <w:tblCellMar>
            <w:top w:w="0" w:type="dxa"/>
            <w:left w:w="108" w:type="dxa"/>
            <w:bottom w:w="0" w:type="dxa"/>
            <w:right w:w="108" w:type="dxa"/>
          </w:tblCellMar>
        </w:tblPrEx>
        <w:trPr>
          <w:gridAfter w:val="1"/>
          <w:wAfter w:w="236" w:type="dxa"/>
          <w:trHeight w:val="797"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8565">
            <w:pPr>
              <w:spacing w:line="320" w:lineRule="exact"/>
              <w:jc w:val="center"/>
              <w:rPr>
                <w:rFonts w:ascii="宋体" w:hAnsi="宋体" w:cs="宋体"/>
                <w:sz w:val="24"/>
              </w:rPr>
            </w:pPr>
          </w:p>
        </w:tc>
        <w:tc>
          <w:tcPr>
            <w:tcW w:w="4752" w:type="dxa"/>
            <w:gridSpan w:val="7"/>
            <w:tcBorders>
              <w:top w:val="single" w:color="000000" w:sz="4" w:space="0"/>
              <w:left w:val="single" w:color="000000" w:sz="4" w:space="0"/>
              <w:bottom w:val="single" w:color="000000" w:sz="4" w:space="0"/>
              <w:right w:val="single" w:color="000000" w:sz="4" w:space="0"/>
            </w:tcBorders>
            <w:shd w:val="clear" w:color="auto" w:fill="auto"/>
          </w:tcPr>
          <w:p w14:paraId="64AC844C">
            <w:pPr>
              <w:tabs>
                <w:tab w:val="left" w:pos="826"/>
              </w:tabs>
              <w:rPr>
                <w:rFonts w:ascii="宋体" w:hAnsi="宋体" w:cs="宋体"/>
                <w:sz w:val="24"/>
              </w:rPr>
            </w:pPr>
            <w:r>
              <w:rPr>
                <w:rFonts w:hint="eastAsia" w:ascii="宋体" w:hAnsi="宋体" w:cs="宋体"/>
                <w:sz w:val="24"/>
              </w:rPr>
              <w:t>加强基层党组织建设，推进“不忘初心、牢记使命”主题教育常态化、制度化，规范开展主题党日活动、党员和入党积极分子教育培训、学习调研等活动。</w:t>
            </w:r>
          </w:p>
        </w:tc>
        <w:tc>
          <w:tcPr>
            <w:tcW w:w="3722" w:type="dxa"/>
            <w:gridSpan w:val="4"/>
            <w:tcBorders>
              <w:top w:val="single" w:color="000000" w:sz="4" w:space="0"/>
              <w:left w:val="single" w:color="000000" w:sz="4" w:space="0"/>
              <w:bottom w:val="single" w:color="000000" w:sz="4" w:space="0"/>
              <w:right w:val="single" w:color="000000" w:sz="4" w:space="0"/>
            </w:tcBorders>
            <w:shd w:val="clear" w:color="auto" w:fill="auto"/>
          </w:tcPr>
          <w:p w14:paraId="479EEBF4">
            <w:pPr>
              <w:widowControl/>
              <w:spacing w:line="320" w:lineRule="exact"/>
              <w:jc w:val="left"/>
              <w:textAlignment w:val="top"/>
              <w:rPr>
                <w:rFonts w:ascii="宋体" w:hAnsi="宋体" w:cs="宋体"/>
                <w:sz w:val="24"/>
              </w:rPr>
            </w:pPr>
            <w:r>
              <w:rPr>
                <w:rFonts w:hint="eastAsia" w:ascii="宋体" w:hAnsi="宋体" w:cs="宋体"/>
                <w:sz w:val="24"/>
              </w:rPr>
              <w:t>全年组织全体党员及干部职工集中学习、参加红色文化教育、开展廉洁教育活动、深入乡镇调研县域经济发展。</w:t>
            </w:r>
          </w:p>
        </w:tc>
      </w:tr>
      <w:tr w14:paraId="40F7A4B2">
        <w:tblPrEx>
          <w:tblCellMar>
            <w:top w:w="0" w:type="dxa"/>
            <w:left w:w="108" w:type="dxa"/>
            <w:bottom w:w="0" w:type="dxa"/>
            <w:right w:w="108" w:type="dxa"/>
          </w:tblCellMar>
        </w:tblPrEx>
        <w:trPr>
          <w:gridAfter w:val="1"/>
          <w:wAfter w:w="236" w:type="dxa"/>
          <w:trHeight w:val="693" w:hRule="atLeast"/>
        </w:trPr>
        <w:tc>
          <w:tcPr>
            <w:tcW w:w="885" w:type="dxa"/>
            <w:vMerge w:val="restart"/>
            <w:tcBorders>
              <w:top w:val="single" w:color="000000" w:sz="4" w:space="0"/>
              <w:left w:val="single" w:color="000000" w:sz="4" w:space="0"/>
              <w:right w:val="single" w:color="000000" w:sz="4" w:space="0"/>
            </w:tcBorders>
            <w:shd w:val="clear" w:color="auto" w:fill="auto"/>
            <w:vAlign w:val="center"/>
          </w:tcPr>
          <w:p w14:paraId="210107E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409656E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0604AF6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7713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09F0D64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3546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048302E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C9540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2647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7EFAA7D6">
        <w:tblPrEx>
          <w:tblCellMar>
            <w:top w:w="0" w:type="dxa"/>
            <w:left w:w="108" w:type="dxa"/>
            <w:bottom w:w="0" w:type="dxa"/>
            <w:right w:w="108" w:type="dxa"/>
          </w:tblCellMar>
        </w:tblPrEx>
        <w:trPr>
          <w:gridAfter w:val="1"/>
          <w:wAfter w:w="236" w:type="dxa"/>
          <w:trHeight w:val="415" w:hRule="atLeast"/>
        </w:trPr>
        <w:tc>
          <w:tcPr>
            <w:tcW w:w="885" w:type="dxa"/>
            <w:vMerge w:val="continue"/>
            <w:tcBorders>
              <w:left w:val="single" w:color="000000" w:sz="4" w:space="0"/>
              <w:right w:val="single" w:color="000000" w:sz="4" w:space="0"/>
            </w:tcBorders>
            <w:shd w:val="clear" w:color="auto" w:fill="auto"/>
            <w:vAlign w:val="center"/>
          </w:tcPr>
          <w:p w14:paraId="7EB6909B">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3680A">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25DBE7C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FDBB29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数量指标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E87AC2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“三会一课”</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34BEF40">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全体党员开展“三会一课”大比武1次</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24211D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全体党员开展“三会一课”大比武1次</w:t>
            </w:r>
          </w:p>
        </w:tc>
      </w:tr>
      <w:tr w14:paraId="4C6F0CFB">
        <w:tblPrEx>
          <w:tblCellMar>
            <w:top w:w="0" w:type="dxa"/>
            <w:left w:w="108" w:type="dxa"/>
            <w:bottom w:w="0" w:type="dxa"/>
            <w:right w:w="108" w:type="dxa"/>
          </w:tblCellMar>
        </w:tblPrEx>
        <w:trPr>
          <w:gridAfter w:val="1"/>
          <w:wAfter w:w="236" w:type="dxa"/>
          <w:trHeight w:val="415" w:hRule="atLeast"/>
        </w:trPr>
        <w:tc>
          <w:tcPr>
            <w:tcW w:w="885" w:type="dxa"/>
            <w:vMerge w:val="continue"/>
            <w:tcBorders>
              <w:left w:val="single" w:color="000000" w:sz="4" w:space="0"/>
              <w:right w:val="single" w:color="000000" w:sz="4" w:space="0"/>
            </w:tcBorders>
            <w:shd w:val="clear" w:color="auto" w:fill="auto"/>
            <w:vAlign w:val="center"/>
          </w:tcPr>
          <w:p w14:paraId="0775F67A">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E6822E4">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094337F">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4A9AF1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开展党员教育培训（含外出开展活动</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DDAFBE4">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组织全体党员及干部职工参加红色文化教育2次</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E7AAA3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组织全体党员及干部职工参加红色文化教育2次</w:t>
            </w:r>
          </w:p>
        </w:tc>
      </w:tr>
      <w:tr w14:paraId="7D487160">
        <w:tblPrEx>
          <w:tblCellMar>
            <w:top w:w="0" w:type="dxa"/>
            <w:left w:w="108" w:type="dxa"/>
            <w:bottom w:w="0" w:type="dxa"/>
            <w:right w:w="108" w:type="dxa"/>
          </w:tblCellMar>
        </w:tblPrEx>
        <w:trPr>
          <w:gridAfter w:val="1"/>
          <w:wAfter w:w="236" w:type="dxa"/>
          <w:trHeight w:val="415" w:hRule="atLeast"/>
        </w:trPr>
        <w:tc>
          <w:tcPr>
            <w:tcW w:w="885" w:type="dxa"/>
            <w:vMerge w:val="continue"/>
            <w:tcBorders>
              <w:left w:val="single" w:color="000000" w:sz="4" w:space="0"/>
              <w:right w:val="single" w:color="000000" w:sz="4" w:space="0"/>
            </w:tcBorders>
            <w:shd w:val="clear" w:color="auto" w:fill="auto"/>
            <w:vAlign w:val="center"/>
          </w:tcPr>
          <w:p w14:paraId="1EDAF58B">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B7DACF1">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A74876F">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646DF8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主题党日活动（外出开展活动）</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4AB95DA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组织全体党员开展廉洁教育活动1次</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67059F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组织全体党员开展廉洁教育活动1次</w:t>
            </w:r>
          </w:p>
        </w:tc>
      </w:tr>
      <w:tr w14:paraId="6A0CEC95">
        <w:tblPrEx>
          <w:tblCellMar>
            <w:top w:w="0" w:type="dxa"/>
            <w:left w:w="108" w:type="dxa"/>
            <w:bottom w:w="0" w:type="dxa"/>
            <w:right w:w="108" w:type="dxa"/>
          </w:tblCellMar>
        </w:tblPrEx>
        <w:trPr>
          <w:gridAfter w:val="1"/>
          <w:wAfter w:w="236" w:type="dxa"/>
          <w:trHeight w:val="415" w:hRule="atLeast"/>
        </w:trPr>
        <w:tc>
          <w:tcPr>
            <w:tcW w:w="885" w:type="dxa"/>
            <w:vMerge w:val="continue"/>
            <w:tcBorders>
              <w:left w:val="single" w:color="000000" w:sz="4" w:space="0"/>
              <w:right w:val="single" w:color="000000" w:sz="4" w:space="0"/>
            </w:tcBorders>
            <w:shd w:val="clear" w:color="auto" w:fill="auto"/>
            <w:vAlign w:val="center"/>
          </w:tcPr>
          <w:p w14:paraId="73F2E2B8">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5B6844E">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F782F95">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8D16AB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党员外出学习调研</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5E7D366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组织党员干部深入乡镇调研县域经济发展2次</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299D8B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组织党员干部深入乡镇调研县域经济发展2次</w:t>
            </w:r>
          </w:p>
        </w:tc>
      </w:tr>
      <w:tr w14:paraId="5554295F">
        <w:tblPrEx>
          <w:tblCellMar>
            <w:top w:w="0" w:type="dxa"/>
            <w:left w:w="108" w:type="dxa"/>
            <w:bottom w:w="0" w:type="dxa"/>
            <w:right w:w="108" w:type="dxa"/>
          </w:tblCellMar>
        </w:tblPrEx>
        <w:trPr>
          <w:gridAfter w:val="1"/>
          <w:wAfter w:w="236" w:type="dxa"/>
          <w:trHeight w:val="415" w:hRule="atLeast"/>
        </w:trPr>
        <w:tc>
          <w:tcPr>
            <w:tcW w:w="885" w:type="dxa"/>
            <w:vMerge w:val="continue"/>
            <w:tcBorders>
              <w:left w:val="single" w:color="000000" w:sz="4" w:space="0"/>
              <w:right w:val="single" w:color="000000" w:sz="4" w:space="0"/>
            </w:tcBorders>
            <w:shd w:val="clear" w:color="auto" w:fill="auto"/>
            <w:vAlign w:val="center"/>
          </w:tcPr>
          <w:p w14:paraId="2A58F335">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D3FA015">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F3E1014">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4840D4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订阅购买党建资料（含党报党刊）</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F1BD07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订阅购买含党报党刊4种</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9C8D25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订阅购买含党报党刊4种</w:t>
            </w:r>
          </w:p>
        </w:tc>
      </w:tr>
      <w:tr w14:paraId="085EDA3A">
        <w:tblPrEx>
          <w:tblCellMar>
            <w:top w:w="0" w:type="dxa"/>
            <w:left w:w="108" w:type="dxa"/>
            <w:bottom w:w="0" w:type="dxa"/>
            <w:right w:w="108" w:type="dxa"/>
          </w:tblCellMar>
        </w:tblPrEx>
        <w:trPr>
          <w:gridAfter w:val="1"/>
          <w:wAfter w:w="236" w:type="dxa"/>
          <w:trHeight w:val="302" w:hRule="atLeast"/>
        </w:trPr>
        <w:tc>
          <w:tcPr>
            <w:tcW w:w="885" w:type="dxa"/>
            <w:vMerge w:val="continue"/>
            <w:tcBorders>
              <w:left w:val="single" w:color="000000" w:sz="4" w:space="0"/>
              <w:right w:val="single" w:color="000000" w:sz="4" w:space="0"/>
            </w:tcBorders>
            <w:shd w:val="clear" w:color="auto" w:fill="auto"/>
            <w:vAlign w:val="center"/>
          </w:tcPr>
          <w:p w14:paraId="16B974B8">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E0B71A2">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6DDC593">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56AA96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慰问退休党员、困难党员</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F7D42D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慰问退休党员、困难党员30人次</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F60172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慰问退休党员、困难党员30人次</w:t>
            </w:r>
          </w:p>
        </w:tc>
      </w:tr>
      <w:tr w14:paraId="7A7E1D8B">
        <w:tblPrEx>
          <w:tblCellMar>
            <w:top w:w="0" w:type="dxa"/>
            <w:left w:w="108" w:type="dxa"/>
            <w:bottom w:w="0" w:type="dxa"/>
            <w:right w:w="108" w:type="dxa"/>
          </w:tblCellMar>
        </w:tblPrEx>
        <w:trPr>
          <w:gridAfter w:val="1"/>
          <w:wAfter w:w="236" w:type="dxa"/>
          <w:trHeight w:val="415" w:hRule="atLeast"/>
        </w:trPr>
        <w:tc>
          <w:tcPr>
            <w:tcW w:w="885" w:type="dxa"/>
            <w:vMerge w:val="continue"/>
            <w:tcBorders>
              <w:left w:val="single" w:color="000000" w:sz="4" w:space="0"/>
              <w:right w:val="single" w:color="000000" w:sz="4" w:space="0"/>
            </w:tcBorders>
            <w:shd w:val="clear" w:color="auto" w:fill="auto"/>
            <w:vAlign w:val="center"/>
          </w:tcPr>
          <w:p w14:paraId="4108DD15">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D20297">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12B810F">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质量指标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6FECDE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党组织建设，党风廉政建设</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5E54FC4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教育培训</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B0F109B">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教育培训</w:t>
            </w:r>
          </w:p>
        </w:tc>
      </w:tr>
      <w:tr w14:paraId="3843AD39">
        <w:tblPrEx>
          <w:tblCellMar>
            <w:top w:w="0" w:type="dxa"/>
            <w:left w:w="108" w:type="dxa"/>
            <w:bottom w:w="0" w:type="dxa"/>
            <w:right w:w="108" w:type="dxa"/>
          </w:tblCellMar>
        </w:tblPrEx>
        <w:trPr>
          <w:gridAfter w:val="1"/>
          <w:wAfter w:w="236" w:type="dxa"/>
          <w:trHeight w:val="415" w:hRule="atLeast"/>
        </w:trPr>
        <w:tc>
          <w:tcPr>
            <w:tcW w:w="885" w:type="dxa"/>
            <w:vMerge w:val="continue"/>
            <w:tcBorders>
              <w:left w:val="single" w:color="000000" w:sz="4" w:space="0"/>
              <w:right w:val="single" w:color="000000" w:sz="4" w:space="0"/>
            </w:tcBorders>
            <w:shd w:val="clear" w:color="auto" w:fill="auto"/>
            <w:vAlign w:val="center"/>
          </w:tcPr>
          <w:p w14:paraId="3B84A7B2">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0A873FF">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8B63B5B">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F6F5AC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完成时限</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FB918F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2021年12月前</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81F9B0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按时完成</w:t>
            </w:r>
          </w:p>
        </w:tc>
      </w:tr>
      <w:tr w14:paraId="78B11F2B">
        <w:tblPrEx>
          <w:tblCellMar>
            <w:top w:w="0" w:type="dxa"/>
            <w:left w:w="108" w:type="dxa"/>
            <w:bottom w:w="0" w:type="dxa"/>
            <w:right w:w="108" w:type="dxa"/>
          </w:tblCellMar>
        </w:tblPrEx>
        <w:trPr>
          <w:gridAfter w:val="1"/>
          <w:wAfter w:w="236" w:type="dxa"/>
          <w:trHeight w:val="480" w:hRule="atLeast"/>
        </w:trPr>
        <w:tc>
          <w:tcPr>
            <w:tcW w:w="885" w:type="dxa"/>
            <w:vMerge w:val="continue"/>
            <w:tcBorders>
              <w:left w:val="single" w:color="000000" w:sz="4" w:space="0"/>
              <w:right w:val="single" w:color="000000" w:sz="4" w:space="0"/>
            </w:tcBorders>
            <w:shd w:val="clear" w:color="auto" w:fill="auto"/>
            <w:vAlign w:val="center"/>
          </w:tcPr>
          <w:p w14:paraId="1E2518D9">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A8DEFA3">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505C260">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时效指标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412AFE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项目按期完成率</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9C41E48">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B7FA32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按时完成</w:t>
            </w:r>
          </w:p>
        </w:tc>
      </w:tr>
      <w:tr w14:paraId="4E765ABE">
        <w:tblPrEx>
          <w:tblCellMar>
            <w:top w:w="0" w:type="dxa"/>
            <w:left w:w="108" w:type="dxa"/>
            <w:bottom w:w="0" w:type="dxa"/>
            <w:right w:w="108" w:type="dxa"/>
          </w:tblCellMar>
        </w:tblPrEx>
        <w:trPr>
          <w:gridAfter w:val="1"/>
          <w:wAfter w:w="236" w:type="dxa"/>
          <w:trHeight w:val="480" w:hRule="atLeast"/>
        </w:trPr>
        <w:tc>
          <w:tcPr>
            <w:tcW w:w="885" w:type="dxa"/>
            <w:vMerge w:val="continue"/>
            <w:tcBorders>
              <w:left w:val="single" w:color="000000" w:sz="4" w:space="0"/>
              <w:right w:val="single" w:color="000000" w:sz="4" w:space="0"/>
            </w:tcBorders>
            <w:shd w:val="clear" w:color="auto" w:fill="auto"/>
            <w:vAlign w:val="center"/>
          </w:tcPr>
          <w:p w14:paraId="7050763C">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4157279">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2912F10">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成本指标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896BB5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费用支付率</w:t>
            </w:r>
          </w:p>
        </w:tc>
        <w:tc>
          <w:tcPr>
            <w:tcW w:w="241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4255A1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A3B3930">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r>
      <w:tr w14:paraId="02BD6A44">
        <w:tblPrEx>
          <w:tblCellMar>
            <w:top w:w="0" w:type="dxa"/>
            <w:left w:w="108" w:type="dxa"/>
            <w:bottom w:w="0" w:type="dxa"/>
            <w:right w:w="108" w:type="dxa"/>
          </w:tblCellMar>
        </w:tblPrEx>
        <w:trPr>
          <w:gridAfter w:val="1"/>
          <w:wAfter w:w="236" w:type="dxa"/>
          <w:trHeight w:val="480" w:hRule="atLeast"/>
        </w:trPr>
        <w:tc>
          <w:tcPr>
            <w:tcW w:w="885" w:type="dxa"/>
            <w:vMerge w:val="continue"/>
            <w:tcBorders>
              <w:left w:val="single" w:color="000000" w:sz="4" w:space="0"/>
              <w:right w:val="single" w:color="000000" w:sz="4" w:space="0"/>
            </w:tcBorders>
            <w:shd w:val="clear" w:color="auto" w:fill="auto"/>
            <w:vAlign w:val="center"/>
          </w:tcPr>
          <w:p w14:paraId="7C35A521">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1874B">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3D51FC1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72B703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  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F07340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改善机关形象</w:t>
            </w:r>
          </w:p>
        </w:tc>
        <w:tc>
          <w:tcPr>
            <w:tcW w:w="2484"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2A74623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形象提升</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1187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进一步发挥党组织核心堡垒作用，形象得到提升</w:t>
            </w:r>
          </w:p>
        </w:tc>
      </w:tr>
      <w:tr w14:paraId="1C80D218">
        <w:tblPrEx>
          <w:tblCellMar>
            <w:top w:w="0" w:type="dxa"/>
            <w:left w:w="108" w:type="dxa"/>
            <w:bottom w:w="0" w:type="dxa"/>
            <w:right w:w="108" w:type="dxa"/>
          </w:tblCellMar>
        </w:tblPrEx>
        <w:trPr>
          <w:gridAfter w:val="1"/>
          <w:wAfter w:w="236" w:type="dxa"/>
          <w:trHeight w:val="480" w:hRule="atLeast"/>
        </w:trPr>
        <w:tc>
          <w:tcPr>
            <w:tcW w:w="885" w:type="dxa"/>
            <w:vMerge w:val="continue"/>
            <w:tcBorders>
              <w:left w:val="single" w:color="000000" w:sz="4" w:space="0"/>
              <w:right w:val="single" w:color="000000" w:sz="4" w:space="0"/>
            </w:tcBorders>
            <w:shd w:val="clear" w:color="auto" w:fill="auto"/>
            <w:vAlign w:val="center"/>
          </w:tcPr>
          <w:p w14:paraId="580DCAF1">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17F57E9">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E839ED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  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E911CC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增强党员能力素质</w:t>
            </w:r>
          </w:p>
        </w:tc>
        <w:tc>
          <w:tcPr>
            <w:tcW w:w="2484"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713B05EB">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提高明显</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D72C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加强班子建设，强化支部工作，提升纪检系统全体干部职工素质，助推全县民主法制建设</w:t>
            </w:r>
          </w:p>
        </w:tc>
      </w:tr>
      <w:tr w14:paraId="7CB9625E">
        <w:tblPrEx>
          <w:tblCellMar>
            <w:top w:w="0" w:type="dxa"/>
            <w:left w:w="108" w:type="dxa"/>
            <w:bottom w:w="0" w:type="dxa"/>
            <w:right w:w="108" w:type="dxa"/>
          </w:tblCellMar>
        </w:tblPrEx>
        <w:trPr>
          <w:gridAfter w:val="1"/>
          <w:wAfter w:w="236" w:type="dxa"/>
          <w:trHeight w:val="577" w:hRule="atLeast"/>
        </w:trPr>
        <w:tc>
          <w:tcPr>
            <w:tcW w:w="885" w:type="dxa"/>
            <w:vMerge w:val="continue"/>
            <w:tcBorders>
              <w:left w:val="single" w:color="000000" w:sz="4" w:space="0"/>
              <w:right w:val="single" w:color="000000" w:sz="4" w:space="0"/>
            </w:tcBorders>
            <w:shd w:val="clear" w:color="auto" w:fill="auto"/>
            <w:vAlign w:val="center"/>
          </w:tcPr>
          <w:p w14:paraId="0E10F323">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DA84CC8">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33346B2">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可持续影响指标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20C23D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所形成的影响力</w:t>
            </w:r>
          </w:p>
        </w:tc>
        <w:tc>
          <w:tcPr>
            <w:tcW w:w="2484"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2BF1C28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长期</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48B40B">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长期</w:t>
            </w:r>
          </w:p>
        </w:tc>
      </w:tr>
      <w:tr w14:paraId="52BBC684">
        <w:tblPrEx>
          <w:tblCellMar>
            <w:top w:w="0" w:type="dxa"/>
            <w:left w:w="108" w:type="dxa"/>
            <w:bottom w:w="0" w:type="dxa"/>
            <w:right w:w="108" w:type="dxa"/>
          </w:tblCellMar>
        </w:tblPrEx>
        <w:trPr>
          <w:gridAfter w:val="1"/>
          <w:wAfter w:w="236" w:type="dxa"/>
          <w:trHeight w:val="530" w:hRule="atLeast"/>
        </w:trPr>
        <w:tc>
          <w:tcPr>
            <w:tcW w:w="885" w:type="dxa"/>
            <w:vMerge w:val="continue"/>
            <w:tcBorders>
              <w:left w:val="single" w:color="000000" w:sz="4" w:space="0"/>
              <w:bottom w:val="single" w:color="000000" w:sz="4" w:space="0"/>
              <w:right w:val="single" w:color="000000" w:sz="4" w:space="0"/>
            </w:tcBorders>
            <w:shd w:val="clear" w:color="auto" w:fill="auto"/>
            <w:vAlign w:val="center"/>
          </w:tcPr>
          <w:p w14:paraId="50CD7C58">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right w:val="single" w:color="000000" w:sz="4" w:space="0"/>
            </w:tcBorders>
            <w:shd w:val="clear" w:color="auto" w:fill="auto"/>
            <w:vAlign w:val="bottom"/>
          </w:tcPr>
          <w:p w14:paraId="7BB8F886">
            <w:pPr>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14:paraId="7273E7D4">
            <w:pPr>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度指标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77E66D4">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14:paraId="43BF4026">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7604E1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本单位党员满意度</w:t>
            </w:r>
          </w:p>
        </w:tc>
        <w:tc>
          <w:tcPr>
            <w:tcW w:w="2484"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4DE0CAC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9EF9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r>
      <w:tr w14:paraId="40E473C6">
        <w:tblPrEx>
          <w:tblCellMar>
            <w:top w:w="0" w:type="dxa"/>
            <w:left w:w="108" w:type="dxa"/>
            <w:bottom w:w="0" w:type="dxa"/>
            <w:right w:w="108" w:type="dxa"/>
          </w:tblCellMar>
        </w:tblPrEx>
        <w:trPr>
          <w:gridAfter w:val="1"/>
          <w:wAfter w:w="236" w:type="dxa"/>
          <w:trHeight w:val="530" w:hRule="atLeast"/>
        </w:trPr>
        <w:tc>
          <w:tcPr>
            <w:tcW w:w="885" w:type="dxa"/>
            <w:vMerge w:val="continue"/>
            <w:tcBorders>
              <w:left w:val="single" w:color="000000" w:sz="4" w:space="0"/>
              <w:bottom w:val="single" w:color="000000" w:sz="4" w:space="0"/>
              <w:right w:val="single" w:color="000000" w:sz="4" w:space="0"/>
            </w:tcBorders>
            <w:shd w:val="clear" w:color="auto" w:fill="auto"/>
            <w:vAlign w:val="center"/>
          </w:tcPr>
          <w:p w14:paraId="5EA33E42">
            <w:pPr>
              <w:spacing w:line="320" w:lineRule="exact"/>
              <w:jc w:val="center"/>
              <w:rPr>
                <w:rFonts w:ascii="仿宋_GB2312" w:hAnsi="仿宋_GB2312" w:eastAsia="仿宋_GB2312" w:cs="仿宋_GB2312"/>
                <w:sz w:val="28"/>
                <w:szCs w:val="28"/>
              </w:rPr>
            </w:pPr>
          </w:p>
        </w:tc>
        <w:tc>
          <w:tcPr>
            <w:tcW w:w="850" w:type="dxa"/>
            <w:vMerge w:val="continue"/>
            <w:tcBorders>
              <w:left w:val="single" w:color="000000" w:sz="4" w:space="0"/>
              <w:bottom w:val="single" w:color="000000" w:sz="4" w:space="0"/>
              <w:right w:val="single" w:color="000000" w:sz="4" w:space="0"/>
            </w:tcBorders>
            <w:shd w:val="clear" w:color="auto" w:fill="auto"/>
            <w:vAlign w:val="bottom"/>
          </w:tcPr>
          <w:p w14:paraId="5D0990BC">
            <w:pPr>
              <w:widowControl/>
              <w:spacing w:line="320" w:lineRule="exact"/>
              <w:jc w:val="center"/>
              <w:textAlignment w:val="bottom"/>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E07289A">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14:paraId="382BACA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862F05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上级党组织满意度</w:t>
            </w:r>
          </w:p>
        </w:tc>
        <w:tc>
          <w:tcPr>
            <w:tcW w:w="2484"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7523AEE4">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2AC8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r>
    </w:tbl>
    <w:p w14:paraId="7F2FC50A">
      <w:pPr>
        <w:spacing w:line="600" w:lineRule="exact"/>
        <w:outlineLvl w:val="0"/>
        <w:rPr>
          <w:rFonts w:ascii="仿宋_GB2312" w:hAnsi="宋体" w:eastAsia="仿宋_GB2312" w:cs="宋体"/>
          <w:color w:val="000000"/>
          <w:kern w:val="0"/>
          <w:sz w:val="32"/>
          <w:szCs w:val="32"/>
          <w:shd w:val="clear" w:color="auto" w:fill="FFFFFF"/>
        </w:rPr>
      </w:pPr>
    </w:p>
    <w:tbl>
      <w:tblPr>
        <w:tblStyle w:val="12"/>
        <w:tblpPr w:leftFromText="180" w:rightFromText="180" w:vertAnchor="text" w:horzAnchor="page" w:tblpX="1531" w:tblpY="660"/>
        <w:tblOverlap w:val="never"/>
        <w:tblW w:w="9561" w:type="dxa"/>
        <w:tblInd w:w="0" w:type="dxa"/>
        <w:tblLayout w:type="fixed"/>
        <w:tblCellMar>
          <w:top w:w="0" w:type="dxa"/>
          <w:left w:w="108" w:type="dxa"/>
          <w:bottom w:w="0" w:type="dxa"/>
          <w:right w:w="108" w:type="dxa"/>
        </w:tblCellMar>
      </w:tblPr>
      <w:tblGrid>
        <w:gridCol w:w="851"/>
        <w:gridCol w:w="850"/>
        <w:gridCol w:w="250"/>
        <w:gridCol w:w="884"/>
        <w:gridCol w:w="392"/>
        <w:gridCol w:w="1593"/>
        <w:gridCol w:w="1384"/>
        <w:gridCol w:w="33"/>
        <w:gridCol w:w="3088"/>
        <w:gridCol w:w="236"/>
      </w:tblGrid>
      <w:tr w14:paraId="454F1B34">
        <w:tblPrEx>
          <w:tblCellMar>
            <w:top w:w="0" w:type="dxa"/>
            <w:left w:w="108" w:type="dxa"/>
            <w:bottom w:w="0" w:type="dxa"/>
            <w:right w:w="108" w:type="dxa"/>
          </w:tblCellMar>
        </w:tblPrEx>
        <w:trPr>
          <w:trHeight w:val="675" w:hRule="atLeast"/>
        </w:trPr>
        <w:tc>
          <w:tcPr>
            <w:tcW w:w="9325" w:type="dxa"/>
            <w:gridSpan w:val="9"/>
            <w:tcBorders>
              <w:top w:val="nil"/>
              <w:left w:val="nil"/>
              <w:bottom w:val="nil"/>
              <w:right w:val="nil"/>
            </w:tcBorders>
            <w:shd w:val="clear" w:color="auto" w:fill="auto"/>
            <w:vAlign w:val="center"/>
          </w:tcPr>
          <w:p w14:paraId="14FABBB8">
            <w:pPr>
              <w:widowControl/>
              <w:jc w:val="center"/>
              <w:textAlignment w:val="center"/>
              <w:rPr>
                <w:rFonts w:ascii="宋体" w:hAnsi="宋体" w:cs="宋体"/>
                <w:kern w:val="0"/>
                <w:sz w:val="32"/>
                <w:szCs w:val="32"/>
              </w:rPr>
            </w:pPr>
            <w:r>
              <w:rPr>
                <w:rFonts w:hint="eastAsia" w:ascii="宋体" w:hAnsi="宋体" w:cs="宋体"/>
                <w:kern w:val="0"/>
                <w:sz w:val="32"/>
                <w:szCs w:val="32"/>
              </w:rPr>
              <w:t>2021年部门预算项目绩效目标自评表</w:t>
            </w:r>
          </w:p>
          <w:p w14:paraId="0BB95BC6">
            <w:pPr>
              <w:spacing w:line="600" w:lineRule="exact"/>
              <w:jc w:val="center"/>
              <w:rPr>
                <w:rFonts w:ascii="仿宋_GB2312" w:hAnsi="宋体" w:eastAsia="仿宋_GB2312"/>
                <w:sz w:val="32"/>
                <w:szCs w:val="32"/>
              </w:rPr>
            </w:pPr>
            <w:r>
              <w:rPr>
                <w:rFonts w:hint="eastAsia" w:ascii="宋体" w:hAnsi="宋体" w:cs="宋体"/>
                <w:kern w:val="0"/>
                <w:sz w:val="32"/>
                <w:szCs w:val="32"/>
              </w:rPr>
              <w:t>（党风廉政建设宣传教育经费项目）</w:t>
            </w:r>
          </w:p>
        </w:tc>
        <w:tc>
          <w:tcPr>
            <w:tcW w:w="236" w:type="dxa"/>
            <w:tcBorders>
              <w:top w:val="nil"/>
              <w:left w:val="nil"/>
              <w:bottom w:val="nil"/>
              <w:right w:val="nil"/>
            </w:tcBorders>
            <w:shd w:val="clear" w:color="auto" w:fill="auto"/>
            <w:vAlign w:val="center"/>
          </w:tcPr>
          <w:p w14:paraId="0EBF8138">
            <w:pPr>
              <w:widowControl/>
              <w:jc w:val="center"/>
              <w:textAlignment w:val="center"/>
              <w:rPr>
                <w:rFonts w:ascii="宋体" w:hAnsi="宋体" w:cs="宋体"/>
                <w:b/>
                <w:kern w:val="0"/>
                <w:sz w:val="32"/>
                <w:szCs w:val="32"/>
              </w:rPr>
            </w:pPr>
          </w:p>
        </w:tc>
      </w:tr>
      <w:tr w14:paraId="25E158D6">
        <w:tblPrEx>
          <w:tblCellMar>
            <w:top w:w="0" w:type="dxa"/>
            <w:left w:w="108" w:type="dxa"/>
            <w:bottom w:w="0" w:type="dxa"/>
            <w:right w:w="108" w:type="dxa"/>
          </w:tblCellMar>
        </w:tblPrEx>
        <w:trPr>
          <w:gridAfter w:val="1"/>
          <w:wAfter w:w="236" w:type="dxa"/>
          <w:trHeight w:val="254" w:hRule="atLeast"/>
        </w:trPr>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B1CCA">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48668">
            <w:pPr>
              <w:widowControl/>
              <w:spacing w:line="320" w:lineRule="exact"/>
              <w:textAlignment w:val="center"/>
              <w:rPr>
                <w:rFonts w:ascii="宋体" w:hAnsi="宋体" w:cs="宋体"/>
                <w:sz w:val="24"/>
              </w:rPr>
            </w:pPr>
            <w:r>
              <w:rPr>
                <w:rFonts w:hint="eastAsia" w:ascii="宋体" w:hAnsi="宋体" w:cs="宋体"/>
                <w:sz w:val="24"/>
              </w:rPr>
              <w:t>中共旺苍县纪委107</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C6546">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A4C9">
            <w:pPr>
              <w:widowControl/>
              <w:spacing w:line="320" w:lineRule="exact"/>
              <w:jc w:val="right"/>
              <w:textAlignment w:val="center"/>
              <w:rPr>
                <w:rFonts w:ascii="宋体" w:hAnsi="宋体" w:cs="宋体"/>
                <w:sz w:val="24"/>
              </w:rPr>
            </w:pPr>
            <w:r>
              <w:rPr>
                <w:rFonts w:hint="eastAsia" w:ascii="宋体" w:hAnsi="宋体" w:cs="宋体"/>
                <w:sz w:val="24"/>
              </w:rPr>
              <w:t>中共旺苍县纪委</w:t>
            </w:r>
          </w:p>
        </w:tc>
      </w:tr>
      <w:tr w14:paraId="40E766DB">
        <w:tblPrEx>
          <w:tblCellMar>
            <w:top w:w="0" w:type="dxa"/>
            <w:left w:w="108" w:type="dxa"/>
            <w:bottom w:w="0" w:type="dxa"/>
            <w:right w:w="108" w:type="dxa"/>
          </w:tblCellMar>
        </w:tblPrEx>
        <w:trPr>
          <w:gridAfter w:val="1"/>
          <w:wAfter w:w="236" w:type="dxa"/>
          <w:trHeight w:val="341" w:hRule="atLeast"/>
        </w:trPr>
        <w:tc>
          <w:tcPr>
            <w:tcW w:w="19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A5A10">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14:paraId="7FFAD394">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14:paraId="2E0DD032">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39106">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DC48">
            <w:pPr>
              <w:widowControl/>
              <w:spacing w:line="320" w:lineRule="exact"/>
              <w:jc w:val="left"/>
              <w:textAlignment w:val="center"/>
              <w:rPr>
                <w:rFonts w:ascii="宋体" w:hAnsi="宋体" w:cs="宋体"/>
                <w:sz w:val="24"/>
              </w:rPr>
            </w:pPr>
            <w:r>
              <w:rPr>
                <w:rFonts w:hint="eastAsia" w:ascii="宋体" w:hAnsi="宋体" w:cs="宋体"/>
                <w:sz w:val="24"/>
              </w:rPr>
              <w:t>9.6万元</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A34CB">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88A7">
            <w:pPr>
              <w:widowControl/>
              <w:spacing w:line="320" w:lineRule="exact"/>
              <w:jc w:val="right"/>
              <w:textAlignment w:val="center"/>
              <w:rPr>
                <w:rFonts w:ascii="宋体" w:hAnsi="宋体" w:cs="宋体"/>
                <w:sz w:val="24"/>
              </w:rPr>
            </w:pPr>
            <w:r>
              <w:rPr>
                <w:rFonts w:hint="eastAsia" w:ascii="宋体" w:hAnsi="宋体" w:cs="宋体"/>
                <w:sz w:val="24"/>
              </w:rPr>
              <w:t>9.6万元</w:t>
            </w:r>
          </w:p>
        </w:tc>
      </w:tr>
      <w:tr w14:paraId="11665B5C">
        <w:tblPrEx>
          <w:tblCellMar>
            <w:top w:w="0" w:type="dxa"/>
            <w:left w:w="108" w:type="dxa"/>
            <w:bottom w:w="0" w:type="dxa"/>
            <w:right w:w="108" w:type="dxa"/>
          </w:tblCellMar>
        </w:tblPrEx>
        <w:trPr>
          <w:gridAfter w:val="1"/>
          <w:wAfter w:w="236" w:type="dxa"/>
          <w:trHeight w:val="555"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F083">
            <w:pPr>
              <w:spacing w:line="320" w:lineRule="exact"/>
              <w:jc w:val="center"/>
              <w:rPr>
                <w:rFonts w:ascii="宋体" w:hAnsi="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807D6">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40E5BC7E">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3393">
            <w:pPr>
              <w:widowControl/>
              <w:spacing w:line="320" w:lineRule="exact"/>
              <w:jc w:val="left"/>
              <w:textAlignment w:val="center"/>
              <w:rPr>
                <w:rFonts w:ascii="宋体" w:hAnsi="宋体" w:cs="宋体"/>
                <w:sz w:val="24"/>
              </w:rPr>
            </w:pPr>
            <w:r>
              <w:rPr>
                <w:rFonts w:hint="eastAsia" w:ascii="宋体" w:hAnsi="宋体" w:cs="宋体"/>
                <w:sz w:val="24"/>
              </w:rPr>
              <w:t>9.6万元</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41A9C">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065379AB">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4130">
            <w:pPr>
              <w:widowControl/>
              <w:spacing w:line="320" w:lineRule="exact"/>
              <w:jc w:val="right"/>
              <w:textAlignment w:val="center"/>
              <w:rPr>
                <w:rFonts w:ascii="宋体" w:hAnsi="宋体" w:cs="宋体"/>
                <w:sz w:val="24"/>
              </w:rPr>
            </w:pPr>
            <w:r>
              <w:rPr>
                <w:rFonts w:hint="eastAsia" w:ascii="宋体" w:hAnsi="宋体" w:cs="宋体"/>
                <w:sz w:val="24"/>
              </w:rPr>
              <w:t>9.6万元</w:t>
            </w:r>
          </w:p>
        </w:tc>
      </w:tr>
      <w:tr w14:paraId="43F58B76">
        <w:tblPrEx>
          <w:tblCellMar>
            <w:top w:w="0" w:type="dxa"/>
            <w:left w:w="108" w:type="dxa"/>
            <w:bottom w:w="0" w:type="dxa"/>
            <w:right w:w="108" w:type="dxa"/>
          </w:tblCellMar>
        </w:tblPrEx>
        <w:trPr>
          <w:gridAfter w:val="1"/>
          <w:wAfter w:w="236" w:type="dxa"/>
          <w:trHeight w:val="341"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494F">
            <w:pPr>
              <w:spacing w:line="320" w:lineRule="exact"/>
              <w:jc w:val="center"/>
              <w:rPr>
                <w:rFonts w:ascii="宋体" w:hAnsi="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BBBC2">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24BE">
            <w:pPr>
              <w:widowControl/>
              <w:spacing w:line="320" w:lineRule="exact"/>
              <w:jc w:val="left"/>
              <w:textAlignment w:val="center"/>
              <w:rPr>
                <w:rFonts w:ascii="宋体" w:hAnsi="宋体" w:cs="宋体"/>
                <w:sz w:val="24"/>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B19C4">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A5CE">
            <w:pPr>
              <w:widowControl/>
              <w:spacing w:line="320" w:lineRule="exact"/>
              <w:jc w:val="center"/>
              <w:textAlignment w:val="center"/>
              <w:rPr>
                <w:rFonts w:ascii="宋体" w:hAnsi="宋体" w:cs="宋体"/>
                <w:sz w:val="24"/>
              </w:rPr>
            </w:pPr>
          </w:p>
        </w:tc>
      </w:tr>
      <w:tr w14:paraId="740096E0">
        <w:tblPrEx>
          <w:tblCellMar>
            <w:top w:w="0" w:type="dxa"/>
            <w:left w:w="108" w:type="dxa"/>
            <w:bottom w:w="0" w:type="dxa"/>
            <w:right w:w="108" w:type="dxa"/>
          </w:tblCellMar>
        </w:tblPrEx>
        <w:trPr>
          <w:gridAfter w:val="1"/>
          <w:wAfter w:w="236" w:type="dxa"/>
          <w:trHeight w:val="217"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42A06">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3996D2D5">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2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95C31">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6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5804F">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2027427F">
        <w:tblPrEx>
          <w:tblCellMar>
            <w:top w:w="0" w:type="dxa"/>
            <w:left w:w="108" w:type="dxa"/>
            <w:bottom w:w="0" w:type="dxa"/>
            <w:right w:w="108" w:type="dxa"/>
          </w:tblCellMar>
        </w:tblPrEx>
        <w:trPr>
          <w:gridAfter w:val="1"/>
          <w:wAfter w:w="236" w:type="dxa"/>
          <w:trHeight w:val="79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F1BD">
            <w:pPr>
              <w:spacing w:line="320" w:lineRule="exact"/>
              <w:jc w:val="center"/>
              <w:rPr>
                <w:rFonts w:ascii="宋体" w:hAnsi="宋体" w:cs="宋体"/>
                <w:sz w:val="24"/>
              </w:rPr>
            </w:pPr>
          </w:p>
        </w:tc>
        <w:tc>
          <w:tcPr>
            <w:tcW w:w="2376" w:type="dxa"/>
            <w:gridSpan w:val="4"/>
            <w:tcBorders>
              <w:top w:val="single" w:color="000000" w:sz="4" w:space="0"/>
              <w:left w:val="single" w:color="000000" w:sz="4" w:space="0"/>
              <w:bottom w:val="single" w:color="000000" w:sz="4" w:space="0"/>
              <w:right w:val="single" w:color="000000" w:sz="4" w:space="0"/>
            </w:tcBorders>
            <w:shd w:val="clear" w:color="auto" w:fill="auto"/>
          </w:tcPr>
          <w:p w14:paraId="4D14B689">
            <w:pPr>
              <w:tabs>
                <w:tab w:val="left" w:pos="826"/>
              </w:tabs>
              <w:rPr>
                <w:rFonts w:ascii="宋体" w:hAnsi="宋体" w:cs="宋体"/>
                <w:sz w:val="24"/>
              </w:rPr>
            </w:pPr>
            <w:r>
              <w:rPr>
                <w:rFonts w:hint="eastAsia" w:ascii="宋体" w:hAnsi="宋体" w:cs="宋体"/>
                <w:sz w:val="24"/>
              </w:rPr>
              <w:t>加强纪律建设和宣传教育，引导党员干部知敬畏、存戒惧、守底线，构建不敢腐、不能腐、不想腐的长效机制，营造风清气正的良好氛围。</w:t>
            </w:r>
          </w:p>
        </w:tc>
        <w:tc>
          <w:tcPr>
            <w:tcW w:w="6098" w:type="dxa"/>
            <w:gridSpan w:val="4"/>
            <w:tcBorders>
              <w:top w:val="single" w:color="000000" w:sz="4" w:space="0"/>
              <w:left w:val="single" w:color="000000" w:sz="4" w:space="0"/>
              <w:bottom w:val="single" w:color="000000" w:sz="4" w:space="0"/>
              <w:right w:val="single" w:color="000000" w:sz="4" w:space="0"/>
            </w:tcBorders>
            <w:shd w:val="clear" w:color="auto" w:fill="auto"/>
          </w:tcPr>
          <w:p w14:paraId="6EFAAEAA">
            <w:pPr>
              <w:widowControl/>
              <w:spacing w:line="320" w:lineRule="exact"/>
              <w:jc w:val="left"/>
              <w:textAlignment w:val="top"/>
              <w:rPr>
                <w:rFonts w:ascii="宋体" w:hAnsi="宋体" w:cs="宋体"/>
                <w:sz w:val="24"/>
              </w:rPr>
            </w:pPr>
            <w:r>
              <w:rPr>
                <w:rFonts w:hint="eastAsia" w:ascii="宋体" w:hAnsi="宋体" w:cs="宋体"/>
                <w:sz w:val="24"/>
              </w:rPr>
              <w:t>持续开展“作风纪律深化年”活动，全力整治四风问题，深入整治顽症痼疾。全覆盖开展多轮巡回大宣讲，将作风纪律建设成效纳入“民生旺苍进行时”固定宣讲内容，每季度抽调纪检、组织、宣传等部门单位人员，全覆盖到部门、乡镇、学校、医院、企业开展大宣讲、大接访、大走访活动，教育引导全县党员干部严实工作作风，维护党员干部形象。</w:t>
            </w:r>
          </w:p>
        </w:tc>
      </w:tr>
      <w:tr w14:paraId="1CD1EA35">
        <w:tblPrEx>
          <w:tblCellMar>
            <w:top w:w="0" w:type="dxa"/>
            <w:left w:w="108" w:type="dxa"/>
            <w:bottom w:w="0" w:type="dxa"/>
            <w:right w:w="108" w:type="dxa"/>
          </w:tblCellMar>
        </w:tblPrEx>
        <w:trPr>
          <w:gridAfter w:val="1"/>
          <w:wAfter w:w="236" w:type="dxa"/>
          <w:trHeight w:val="693" w:hRule="atLeast"/>
        </w:trPr>
        <w:tc>
          <w:tcPr>
            <w:tcW w:w="851" w:type="dxa"/>
            <w:vMerge w:val="restart"/>
            <w:tcBorders>
              <w:top w:val="single" w:color="000000" w:sz="4" w:space="0"/>
              <w:left w:val="single" w:color="000000" w:sz="4" w:space="0"/>
              <w:right w:val="single" w:color="000000" w:sz="4" w:space="0"/>
            </w:tcBorders>
            <w:shd w:val="clear" w:color="auto" w:fill="auto"/>
            <w:vAlign w:val="center"/>
          </w:tcPr>
          <w:p w14:paraId="193F9E4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75E8057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5E82EEA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C89A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74147DE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E612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7BA3AE1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E9D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62F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7D003A05">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31E99542">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0AA84">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0AD43B5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6DC7B8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F79340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红廉文化和茶廉文化廉洁基地教育</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B0A64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60余个单位党员干部</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141F4E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60余个单位组织党员干部到“清风睦世”家风馆、省级廉洁文化基地—中国红军城接受家风教育和政德教育。</w:t>
            </w:r>
          </w:p>
        </w:tc>
      </w:tr>
      <w:tr w14:paraId="0025F3F4">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356A09F9">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2AE94FA">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F8DE4A8">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083CA4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“学史知纪明法”周末培训班</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6B43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19期</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16C222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举办19期“学史知纪明法”周末培训班，累计培训7600余人</w:t>
            </w:r>
          </w:p>
        </w:tc>
      </w:tr>
      <w:tr w14:paraId="0E1215C2">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4FEF45FA">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FF441D9">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14681C4">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3FBC60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庭审廉政教育课堂</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4834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90余人</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F19879B">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组织组织医疗卫生系统90余人参加庭审廉政教育课堂</w:t>
            </w:r>
          </w:p>
        </w:tc>
      </w:tr>
      <w:tr w14:paraId="0510AA83">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2807512C">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7FE14B1">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8E1B4FE">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6A65A1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开展警示教育活动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5124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520余场次</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0BC4140">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开展警示教育活动520余场次，累计警示教育党员干部4.5万余人次</w:t>
            </w:r>
          </w:p>
        </w:tc>
      </w:tr>
      <w:tr w14:paraId="7C52ECE0">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69FAD437">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2F00CB9">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046DE43">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D3B677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订购党风廉政建设宣传教育读本</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9AF4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40余本</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3E50C6B">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《廉政教育系列参考片》《党员干部家风建设读本》</w:t>
            </w:r>
          </w:p>
        </w:tc>
      </w:tr>
      <w:tr w14:paraId="4047290B">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6741BBFB">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C798358">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67A042A">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F6859E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制作警示教育宣传片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B8C2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6部</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9D5E5D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《清风护航》《正风肃纪永远在路上》《纠风之路》《一碗鸡汤的故事》《嘻哈说纪—严守纪律规矩，莫要碰红线》《担当实干开新局》</w:t>
            </w:r>
          </w:p>
        </w:tc>
      </w:tr>
      <w:tr w14:paraId="6F2ADFBA">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276B20A3">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3EF884E">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DE38F06">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C4C079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完成发稿数量</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3315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327篇</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59C4F1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聚焦大媒体、大报刊、大电台，谋划推出一系列有声势、有深度的专题评论和新闻报道，全年在中央、省、市级媒体上稿327篇。</w:t>
            </w:r>
          </w:p>
        </w:tc>
      </w:tr>
      <w:tr w14:paraId="52C3B19D">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07175892">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3CD8837">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7F19A83">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88B5FF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举办《阳光问政》    媒体节目</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2AB6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2期</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B72EE0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聚焦干部作风，让“问政”过程成为广大党员干部受教育的过程。</w:t>
            </w:r>
          </w:p>
        </w:tc>
      </w:tr>
      <w:tr w14:paraId="1C44C497">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227B42EA">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1CC43D8">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E7F45F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质量指标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3AD65B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警示教育范围</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064F4">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全县党员干部</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CE0235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实现了警示教育全覆盖</w:t>
            </w:r>
          </w:p>
        </w:tc>
      </w:tr>
      <w:tr w14:paraId="0A39086D">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68DA754D">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C8BD3E8">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3E35B5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1A8AF9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项目按期完成率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D2A6EB">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1497C3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r>
      <w:tr w14:paraId="4C882683">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4268B7C3">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1B0206F">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BFA54E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成本指标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9A624E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费用支付率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46C58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63D5E2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r>
      <w:tr w14:paraId="6CB6B305">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207F7521">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F6428">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593E1EB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0D4E3D3">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  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48A9AE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干部能力素质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E52B4">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E8FB0C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r>
      <w:tr w14:paraId="638800A0">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526E5A2C">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8E86683">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CC2D06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  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17B139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机关形象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0BC1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8ECB83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r>
      <w:tr w14:paraId="17C90EA3">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191B78D4">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87E1FB">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EEFA0F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可持续影响指标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E752350">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良好社会环境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869230">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优化</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3312FB4">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优化</w:t>
            </w:r>
          </w:p>
        </w:tc>
      </w:tr>
      <w:tr w14:paraId="1736D7C0">
        <w:tblPrEx>
          <w:tblCellMar>
            <w:top w:w="0" w:type="dxa"/>
            <w:left w:w="108" w:type="dxa"/>
            <w:bottom w:w="0" w:type="dxa"/>
            <w:right w:w="108" w:type="dxa"/>
          </w:tblCellMar>
        </w:tblPrEx>
        <w:trPr>
          <w:gridAfter w:val="1"/>
          <w:wAfter w:w="236" w:type="dxa"/>
          <w:trHeight w:val="530" w:hRule="atLeast"/>
        </w:trPr>
        <w:tc>
          <w:tcPr>
            <w:tcW w:w="851" w:type="dxa"/>
            <w:vMerge w:val="continue"/>
            <w:tcBorders>
              <w:left w:val="single" w:color="000000" w:sz="4" w:space="0"/>
              <w:bottom w:val="single" w:color="000000" w:sz="4" w:space="0"/>
              <w:right w:val="single" w:color="000000" w:sz="4" w:space="0"/>
            </w:tcBorders>
            <w:shd w:val="clear" w:color="auto" w:fill="auto"/>
            <w:vAlign w:val="center"/>
          </w:tcPr>
          <w:p w14:paraId="303DEB71">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right w:val="single" w:color="000000" w:sz="4" w:space="0"/>
            </w:tcBorders>
            <w:shd w:val="clear" w:color="auto" w:fill="auto"/>
            <w:vAlign w:val="bottom"/>
          </w:tcPr>
          <w:p w14:paraId="310DE8BD">
            <w:pPr>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14:paraId="47CB3746">
            <w:pPr>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度指标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E29A790">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14:paraId="74238994">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BE2FB2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部门满意度</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A6A7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8272D6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r>
      <w:tr w14:paraId="161D7D3D">
        <w:tblPrEx>
          <w:tblCellMar>
            <w:top w:w="0" w:type="dxa"/>
            <w:left w:w="108" w:type="dxa"/>
            <w:bottom w:w="0" w:type="dxa"/>
            <w:right w:w="108" w:type="dxa"/>
          </w:tblCellMar>
        </w:tblPrEx>
        <w:trPr>
          <w:gridAfter w:val="1"/>
          <w:wAfter w:w="236" w:type="dxa"/>
          <w:trHeight w:val="530" w:hRule="atLeast"/>
        </w:trPr>
        <w:tc>
          <w:tcPr>
            <w:tcW w:w="851" w:type="dxa"/>
            <w:vMerge w:val="continue"/>
            <w:tcBorders>
              <w:left w:val="single" w:color="000000" w:sz="4" w:space="0"/>
              <w:bottom w:val="single" w:color="000000" w:sz="4" w:space="0"/>
              <w:right w:val="single" w:color="000000" w:sz="4" w:space="0"/>
            </w:tcBorders>
            <w:shd w:val="clear" w:color="auto" w:fill="auto"/>
            <w:vAlign w:val="center"/>
          </w:tcPr>
          <w:p w14:paraId="21524EE0">
            <w:pPr>
              <w:spacing w:line="320" w:lineRule="exact"/>
              <w:jc w:val="center"/>
              <w:rPr>
                <w:rFonts w:ascii="仿宋_GB2312" w:hAnsi="仿宋_GB2312" w:eastAsia="仿宋_GB2312" w:cs="仿宋_GB2312"/>
                <w:sz w:val="28"/>
                <w:szCs w:val="28"/>
              </w:rPr>
            </w:pPr>
          </w:p>
        </w:tc>
        <w:tc>
          <w:tcPr>
            <w:tcW w:w="850" w:type="dxa"/>
            <w:vMerge w:val="continue"/>
            <w:tcBorders>
              <w:left w:val="single" w:color="000000" w:sz="4" w:space="0"/>
              <w:bottom w:val="single" w:color="000000" w:sz="4" w:space="0"/>
              <w:right w:val="single" w:color="000000" w:sz="4" w:space="0"/>
            </w:tcBorders>
            <w:shd w:val="clear" w:color="auto" w:fill="auto"/>
            <w:vAlign w:val="bottom"/>
          </w:tcPr>
          <w:p w14:paraId="14E4450A">
            <w:pPr>
              <w:widowControl/>
              <w:spacing w:line="320" w:lineRule="exact"/>
              <w:jc w:val="center"/>
              <w:textAlignment w:val="bottom"/>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ED00876">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14:paraId="313AC2F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A261D4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公众满意度</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84DE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DACCD5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r>
    </w:tbl>
    <w:p w14:paraId="065E4CC7">
      <w:pPr>
        <w:spacing w:line="600" w:lineRule="exact"/>
        <w:outlineLvl w:val="0"/>
        <w:rPr>
          <w:rFonts w:ascii="黑体" w:hAnsi="黑体" w:eastAsia="黑体"/>
          <w:sz w:val="44"/>
          <w:szCs w:val="44"/>
        </w:rPr>
      </w:pPr>
    </w:p>
    <w:p w14:paraId="46A320AE">
      <w:pPr>
        <w:spacing w:line="600" w:lineRule="exact"/>
        <w:outlineLvl w:val="0"/>
        <w:rPr>
          <w:rFonts w:ascii="黑体" w:hAnsi="黑体" w:eastAsia="黑体"/>
          <w:sz w:val="44"/>
          <w:szCs w:val="44"/>
        </w:rPr>
      </w:pPr>
    </w:p>
    <w:p w14:paraId="1198D4FC">
      <w:pPr>
        <w:spacing w:line="600" w:lineRule="exact"/>
        <w:jc w:val="center"/>
        <w:outlineLvl w:val="0"/>
        <w:rPr>
          <w:rFonts w:ascii="仿宋_GB2312" w:hAnsi="宋体" w:eastAsia="仿宋_GB2312" w:cs="宋体"/>
          <w:color w:val="000000"/>
          <w:kern w:val="0"/>
          <w:sz w:val="32"/>
          <w:szCs w:val="32"/>
          <w:shd w:val="clear" w:color="auto" w:fill="FFFFFF"/>
        </w:rPr>
      </w:pPr>
    </w:p>
    <w:p w14:paraId="5A6B6712">
      <w:pPr>
        <w:pStyle w:val="2"/>
        <w:spacing w:before="93"/>
      </w:pPr>
    </w:p>
    <w:tbl>
      <w:tblPr>
        <w:tblStyle w:val="12"/>
        <w:tblpPr w:leftFromText="180" w:rightFromText="180" w:vertAnchor="text" w:horzAnchor="margin" w:tblpY="-13596"/>
        <w:tblOverlap w:val="never"/>
        <w:tblW w:w="9561" w:type="dxa"/>
        <w:tblInd w:w="0" w:type="dxa"/>
        <w:tblLayout w:type="fixed"/>
        <w:tblCellMar>
          <w:top w:w="0" w:type="dxa"/>
          <w:left w:w="108" w:type="dxa"/>
          <w:bottom w:w="0" w:type="dxa"/>
          <w:right w:w="108" w:type="dxa"/>
        </w:tblCellMar>
      </w:tblPr>
      <w:tblGrid>
        <w:gridCol w:w="851"/>
        <w:gridCol w:w="850"/>
        <w:gridCol w:w="250"/>
        <w:gridCol w:w="851"/>
        <w:gridCol w:w="425"/>
        <w:gridCol w:w="1593"/>
        <w:gridCol w:w="1417"/>
        <w:gridCol w:w="108"/>
        <w:gridCol w:w="2980"/>
        <w:gridCol w:w="236"/>
      </w:tblGrid>
      <w:tr w14:paraId="0FDED604">
        <w:tblPrEx>
          <w:tblCellMar>
            <w:top w:w="0" w:type="dxa"/>
            <w:left w:w="108" w:type="dxa"/>
            <w:bottom w:w="0" w:type="dxa"/>
            <w:right w:w="108" w:type="dxa"/>
          </w:tblCellMar>
        </w:tblPrEx>
        <w:trPr>
          <w:trHeight w:val="675" w:hRule="atLeast"/>
        </w:trPr>
        <w:tc>
          <w:tcPr>
            <w:tcW w:w="9325" w:type="dxa"/>
            <w:gridSpan w:val="9"/>
            <w:tcBorders>
              <w:top w:val="nil"/>
              <w:left w:val="nil"/>
              <w:bottom w:val="nil"/>
              <w:right w:val="nil"/>
            </w:tcBorders>
            <w:shd w:val="clear" w:color="auto" w:fill="auto"/>
            <w:vAlign w:val="center"/>
          </w:tcPr>
          <w:p w14:paraId="4FE69185">
            <w:pPr>
              <w:widowControl/>
              <w:jc w:val="center"/>
              <w:textAlignment w:val="center"/>
              <w:rPr>
                <w:rFonts w:ascii="宋体" w:hAnsi="宋体" w:cs="宋体"/>
                <w:kern w:val="0"/>
                <w:sz w:val="32"/>
                <w:szCs w:val="32"/>
              </w:rPr>
            </w:pPr>
          </w:p>
          <w:p w14:paraId="2DDE6868">
            <w:pPr>
              <w:widowControl/>
              <w:jc w:val="center"/>
              <w:textAlignment w:val="center"/>
              <w:rPr>
                <w:rFonts w:ascii="宋体" w:hAnsi="宋体" w:cs="宋体"/>
                <w:kern w:val="0"/>
                <w:sz w:val="32"/>
                <w:szCs w:val="32"/>
              </w:rPr>
            </w:pPr>
            <w:r>
              <w:rPr>
                <w:rFonts w:hint="eastAsia" w:ascii="宋体" w:hAnsi="宋体" w:cs="宋体"/>
                <w:kern w:val="0"/>
                <w:sz w:val="32"/>
                <w:szCs w:val="32"/>
              </w:rPr>
              <w:t>2021年部门预算项目绩效目标自评表</w:t>
            </w:r>
          </w:p>
          <w:p w14:paraId="2FAA185F">
            <w:pPr>
              <w:spacing w:line="600" w:lineRule="exact"/>
              <w:jc w:val="center"/>
              <w:rPr>
                <w:rFonts w:ascii="仿宋_GB2312" w:hAnsi="宋体" w:eastAsia="仿宋_GB2312"/>
                <w:sz w:val="32"/>
                <w:szCs w:val="32"/>
              </w:rPr>
            </w:pPr>
            <w:r>
              <w:rPr>
                <w:rFonts w:hint="eastAsia" w:ascii="宋体" w:hAnsi="宋体" w:cs="宋体"/>
                <w:kern w:val="0"/>
                <w:sz w:val="32"/>
                <w:szCs w:val="32"/>
              </w:rPr>
              <w:t>（派出派驻纪检监察组工作经费项目）</w:t>
            </w:r>
          </w:p>
        </w:tc>
        <w:tc>
          <w:tcPr>
            <w:tcW w:w="236" w:type="dxa"/>
            <w:tcBorders>
              <w:top w:val="nil"/>
              <w:left w:val="nil"/>
              <w:bottom w:val="nil"/>
              <w:right w:val="nil"/>
            </w:tcBorders>
            <w:shd w:val="clear" w:color="auto" w:fill="auto"/>
            <w:vAlign w:val="center"/>
          </w:tcPr>
          <w:p w14:paraId="1C237BF6">
            <w:pPr>
              <w:widowControl/>
              <w:jc w:val="center"/>
              <w:textAlignment w:val="center"/>
              <w:rPr>
                <w:rFonts w:ascii="宋体" w:hAnsi="宋体" w:cs="宋体"/>
                <w:b/>
                <w:kern w:val="0"/>
                <w:sz w:val="32"/>
                <w:szCs w:val="32"/>
              </w:rPr>
            </w:pPr>
          </w:p>
        </w:tc>
      </w:tr>
      <w:tr w14:paraId="0C762557">
        <w:tblPrEx>
          <w:tblCellMar>
            <w:top w:w="0" w:type="dxa"/>
            <w:left w:w="108" w:type="dxa"/>
            <w:bottom w:w="0" w:type="dxa"/>
            <w:right w:w="108" w:type="dxa"/>
          </w:tblCellMar>
        </w:tblPrEx>
        <w:trPr>
          <w:gridAfter w:val="1"/>
          <w:wAfter w:w="236" w:type="dxa"/>
          <w:trHeight w:val="254" w:hRule="atLeast"/>
        </w:trPr>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C3C5F">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13259">
            <w:pPr>
              <w:widowControl/>
              <w:spacing w:line="320" w:lineRule="exact"/>
              <w:textAlignment w:val="center"/>
              <w:rPr>
                <w:rFonts w:ascii="宋体" w:hAnsi="宋体" w:cs="宋体"/>
                <w:sz w:val="24"/>
              </w:rPr>
            </w:pPr>
            <w:r>
              <w:rPr>
                <w:rFonts w:hint="eastAsia" w:ascii="宋体" w:hAnsi="宋体" w:cs="宋体"/>
                <w:sz w:val="24"/>
              </w:rPr>
              <w:t>中共旺苍县纪委107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0628">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6D673">
            <w:pPr>
              <w:widowControl/>
              <w:spacing w:line="320" w:lineRule="exact"/>
              <w:jc w:val="right"/>
              <w:textAlignment w:val="center"/>
              <w:rPr>
                <w:rFonts w:ascii="宋体" w:hAnsi="宋体" w:cs="宋体"/>
                <w:sz w:val="24"/>
              </w:rPr>
            </w:pPr>
            <w:r>
              <w:rPr>
                <w:rFonts w:hint="eastAsia" w:ascii="宋体" w:hAnsi="宋体" w:cs="宋体"/>
                <w:sz w:val="24"/>
              </w:rPr>
              <w:t>中共旺苍县纪委</w:t>
            </w:r>
          </w:p>
        </w:tc>
      </w:tr>
      <w:tr w14:paraId="53DA9391">
        <w:tblPrEx>
          <w:tblCellMar>
            <w:top w:w="0" w:type="dxa"/>
            <w:left w:w="108" w:type="dxa"/>
            <w:bottom w:w="0" w:type="dxa"/>
            <w:right w:w="108" w:type="dxa"/>
          </w:tblCellMar>
        </w:tblPrEx>
        <w:trPr>
          <w:gridAfter w:val="1"/>
          <w:wAfter w:w="236" w:type="dxa"/>
          <w:trHeight w:val="341" w:hRule="atLeast"/>
        </w:trPr>
        <w:tc>
          <w:tcPr>
            <w:tcW w:w="19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13FAD">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14:paraId="425D577A">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14:paraId="3122A3FE">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2F3D4">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56AB">
            <w:pPr>
              <w:widowControl/>
              <w:spacing w:line="320" w:lineRule="exact"/>
              <w:jc w:val="left"/>
              <w:textAlignment w:val="center"/>
              <w:rPr>
                <w:rFonts w:ascii="宋体" w:hAnsi="宋体" w:cs="宋体"/>
                <w:sz w:val="24"/>
              </w:rPr>
            </w:pPr>
            <w:r>
              <w:rPr>
                <w:rFonts w:hint="eastAsia" w:ascii="宋体" w:hAnsi="宋体" w:cs="宋体"/>
                <w:sz w:val="24"/>
              </w:rPr>
              <w:t>6.4万元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6C8E">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1454E">
            <w:pPr>
              <w:widowControl/>
              <w:spacing w:line="320" w:lineRule="exact"/>
              <w:jc w:val="right"/>
              <w:textAlignment w:val="center"/>
              <w:rPr>
                <w:rFonts w:ascii="宋体" w:hAnsi="宋体" w:cs="宋体"/>
                <w:sz w:val="24"/>
              </w:rPr>
            </w:pPr>
            <w:r>
              <w:rPr>
                <w:rFonts w:hint="eastAsia" w:ascii="宋体" w:hAnsi="宋体" w:cs="宋体"/>
                <w:sz w:val="24"/>
              </w:rPr>
              <w:t>6.4万元</w:t>
            </w:r>
          </w:p>
        </w:tc>
      </w:tr>
      <w:tr w14:paraId="6D116A13">
        <w:tblPrEx>
          <w:tblCellMar>
            <w:top w:w="0" w:type="dxa"/>
            <w:left w:w="108" w:type="dxa"/>
            <w:bottom w:w="0" w:type="dxa"/>
            <w:right w:w="108" w:type="dxa"/>
          </w:tblCellMar>
        </w:tblPrEx>
        <w:trPr>
          <w:gridAfter w:val="1"/>
          <w:wAfter w:w="236" w:type="dxa"/>
          <w:trHeight w:val="555"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17B42">
            <w:pPr>
              <w:spacing w:line="320" w:lineRule="exact"/>
              <w:jc w:val="center"/>
              <w:rPr>
                <w:rFonts w:ascii="宋体" w:hAnsi="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27378">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415B6938">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0284">
            <w:pPr>
              <w:widowControl/>
              <w:spacing w:line="320" w:lineRule="exact"/>
              <w:jc w:val="left"/>
              <w:textAlignment w:val="center"/>
              <w:rPr>
                <w:rFonts w:ascii="宋体" w:hAnsi="宋体" w:cs="宋体"/>
                <w:sz w:val="24"/>
              </w:rPr>
            </w:pPr>
            <w:r>
              <w:rPr>
                <w:rFonts w:hint="eastAsia" w:ascii="宋体" w:hAnsi="宋体" w:cs="宋体"/>
                <w:sz w:val="24"/>
              </w:rPr>
              <w:t>6.4万元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65F5">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32541E9">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62917">
            <w:pPr>
              <w:widowControl/>
              <w:spacing w:line="320" w:lineRule="exact"/>
              <w:jc w:val="right"/>
              <w:textAlignment w:val="center"/>
              <w:rPr>
                <w:rFonts w:ascii="宋体" w:hAnsi="宋体" w:cs="宋体"/>
                <w:sz w:val="24"/>
              </w:rPr>
            </w:pPr>
            <w:r>
              <w:rPr>
                <w:rFonts w:hint="eastAsia" w:ascii="宋体" w:hAnsi="宋体" w:cs="宋体"/>
                <w:sz w:val="24"/>
              </w:rPr>
              <w:t>6.4万元</w:t>
            </w:r>
          </w:p>
        </w:tc>
      </w:tr>
      <w:tr w14:paraId="108D8E5D">
        <w:tblPrEx>
          <w:tblCellMar>
            <w:top w:w="0" w:type="dxa"/>
            <w:left w:w="108" w:type="dxa"/>
            <w:bottom w:w="0" w:type="dxa"/>
            <w:right w:w="108" w:type="dxa"/>
          </w:tblCellMar>
        </w:tblPrEx>
        <w:trPr>
          <w:gridAfter w:val="1"/>
          <w:wAfter w:w="236" w:type="dxa"/>
          <w:trHeight w:val="341"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DA8A">
            <w:pPr>
              <w:spacing w:line="320" w:lineRule="exact"/>
              <w:jc w:val="center"/>
              <w:rPr>
                <w:rFonts w:ascii="宋体" w:hAnsi="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868C0">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F145">
            <w:pPr>
              <w:widowControl/>
              <w:spacing w:line="320" w:lineRule="exact"/>
              <w:jc w:val="left"/>
              <w:textAlignment w:val="center"/>
              <w:rPr>
                <w:rFonts w:ascii="宋体" w:hAnsi="宋体" w:cs="宋体"/>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6424">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472DF">
            <w:pPr>
              <w:widowControl/>
              <w:spacing w:line="320" w:lineRule="exact"/>
              <w:jc w:val="center"/>
              <w:textAlignment w:val="center"/>
              <w:rPr>
                <w:rFonts w:ascii="宋体" w:hAnsi="宋体" w:cs="宋体"/>
                <w:sz w:val="24"/>
              </w:rPr>
            </w:pPr>
          </w:p>
        </w:tc>
      </w:tr>
      <w:tr w14:paraId="6C7CB97C">
        <w:tblPrEx>
          <w:tblCellMar>
            <w:top w:w="0" w:type="dxa"/>
            <w:left w:w="108" w:type="dxa"/>
            <w:bottom w:w="0" w:type="dxa"/>
            <w:right w:w="108" w:type="dxa"/>
          </w:tblCellMar>
        </w:tblPrEx>
        <w:trPr>
          <w:gridAfter w:val="1"/>
          <w:wAfter w:w="236" w:type="dxa"/>
          <w:trHeight w:val="217"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9CF1F">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4F9EFE2C">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08369">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65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ABA75">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3049B7BC">
        <w:tblPrEx>
          <w:tblCellMar>
            <w:top w:w="0" w:type="dxa"/>
            <w:left w:w="108" w:type="dxa"/>
            <w:bottom w:w="0" w:type="dxa"/>
            <w:right w:w="108" w:type="dxa"/>
          </w:tblCellMar>
        </w:tblPrEx>
        <w:trPr>
          <w:gridAfter w:val="1"/>
          <w:wAfter w:w="236" w:type="dxa"/>
          <w:trHeight w:val="79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46FE">
            <w:pPr>
              <w:spacing w:line="320" w:lineRule="exact"/>
              <w:jc w:val="center"/>
              <w:rPr>
                <w:rFonts w:ascii="宋体" w:hAnsi="宋体" w:cs="宋体"/>
                <w:sz w:val="24"/>
              </w:rPr>
            </w:pP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Pr>
          <w:p w14:paraId="732ABA57">
            <w:pPr>
              <w:tabs>
                <w:tab w:val="left" w:pos="826"/>
              </w:tabs>
              <w:rPr>
                <w:rFonts w:ascii="宋体" w:hAnsi="宋体" w:cs="宋体"/>
                <w:sz w:val="24"/>
              </w:rPr>
            </w:pPr>
            <w:r>
              <w:rPr>
                <w:rFonts w:hint="eastAsia" w:ascii="宋体" w:hAnsi="宋体" w:cs="宋体"/>
                <w:sz w:val="24"/>
              </w:rPr>
              <w:t>明确对驻地片区的党风廉政建设和反腐败工作的监督、执纪、问责和处置职责。</w:t>
            </w:r>
          </w:p>
        </w:tc>
        <w:tc>
          <w:tcPr>
            <w:tcW w:w="6523" w:type="dxa"/>
            <w:gridSpan w:val="5"/>
            <w:tcBorders>
              <w:top w:val="single" w:color="000000" w:sz="4" w:space="0"/>
              <w:left w:val="single" w:color="000000" w:sz="4" w:space="0"/>
              <w:bottom w:val="single" w:color="000000" w:sz="4" w:space="0"/>
              <w:right w:val="single" w:color="000000" w:sz="4" w:space="0"/>
            </w:tcBorders>
            <w:shd w:val="clear" w:color="auto" w:fill="auto"/>
          </w:tcPr>
          <w:p w14:paraId="3061A571">
            <w:pPr>
              <w:widowControl/>
              <w:spacing w:line="320" w:lineRule="exact"/>
              <w:jc w:val="left"/>
              <w:textAlignment w:val="top"/>
              <w:rPr>
                <w:rFonts w:ascii="宋体" w:hAnsi="宋体" w:cs="宋体"/>
                <w:sz w:val="24"/>
              </w:rPr>
            </w:pPr>
            <w:r>
              <w:rPr>
                <w:rFonts w:hint="eastAsia" w:ascii="宋体" w:hAnsi="宋体" w:cs="宋体"/>
                <w:sz w:val="24"/>
              </w:rPr>
              <w:t>着眼构建横向到边、纵向到底监督格局，依托县纪委监委、派出派驻纪检监察组、巡察、审计专班等10支力量，建立城乡基层综合治理“大监督”体系，推动纪律监督、监察监督、派驻监督、巡察监督“四项监督”贯通融合，党内监督与其他监督协同联动，治理体系和治理能力现代化加快推进。</w:t>
            </w:r>
          </w:p>
        </w:tc>
      </w:tr>
      <w:tr w14:paraId="13451623">
        <w:tblPrEx>
          <w:tblCellMar>
            <w:top w:w="0" w:type="dxa"/>
            <w:left w:w="108" w:type="dxa"/>
            <w:bottom w:w="0" w:type="dxa"/>
            <w:right w:w="108" w:type="dxa"/>
          </w:tblCellMar>
        </w:tblPrEx>
        <w:trPr>
          <w:gridAfter w:val="1"/>
          <w:wAfter w:w="236" w:type="dxa"/>
          <w:trHeight w:val="693" w:hRule="atLeast"/>
        </w:trPr>
        <w:tc>
          <w:tcPr>
            <w:tcW w:w="851" w:type="dxa"/>
            <w:vMerge w:val="restart"/>
            <w:tcBorders>
              <w:top w:val="single" w:color="000000" w:sz="4" w:space="0"/>
              <w:left w:val="single" w:color="000000" w:sz="4" w:space="0"/>
              <w:right w:val="single" w:color="000000" w:sz="4" w:space="0"/>
            </w:tcBorders>
            <w:shd w:val="clear" w:color="auto" w:fill="auto"/>
            <w:vAlign w:val="center"/>
          </w:tcPr>
          <w:p w14:paraId="4BE5BEE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3F21159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398421F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197B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4162CB7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DBA6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73C35A3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423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BD4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3FDEEF49">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6DA54908">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31513">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7A35A2E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C5B453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数量指标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0E9A2B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成立“室组地”协作区</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D11D18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6个</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78DF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成立6个“室组地”协作区</w:t>
            </w:r>
          </w:p>
        </w:tc>
      </w:tr>
      <w:tr w14:paraId="72840FA2">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53FA6F86">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7694DDB">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F5D2A40">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08EBBF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推动整改问题</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B6B35C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178个</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3042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协作区推动整改问题178个</w:t>
            </w:r>
          </w:p>
        </w:tc>
      </w:tr>
      <w:tr w14:paraId="56E98937">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2A82CA22">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887062C">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0F81514">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32AD02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举办业务培训</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959C1D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3期400余人</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5B92C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组织3期业务培训，累计培训400余人</w:t>
            </w:r>
          </w:p>
        </w:tc>
      </w:tr>
      <w:tr w14:paraId="79170828">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46D056C7">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532C49F">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8DC1A20">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AF714D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开展监督检查</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1FE65A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15次</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9F47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配合县纪委监委开展专项监督检查5次，对辖区日常监督检查10余次</w:t>
            </w:r>
          </w:p>
        </w:tc>
      </w:tr>
      <w:tr w14:paraId="6433CF96">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2C8DC662">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4F86458">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010548D">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4719100">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查办案件数</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2ECA7E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20余件</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A84E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配合县纪委监委纪检室查办案件并指导乡镇查办案件20余件</w:t>
            </w:r>
          </w:p>
        </w:tc>
      </w:tr>
      <w:tr w14:paraId="0EBA106E">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78315A5C">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BB4E140">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28485F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质量指标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F2ED69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监督执纪范围</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B5B2E4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乡镇党员干部</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06BF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乡镇范围全覆盖</w:t>
            </w:r>
          </w:p>
        </w:tc>
      </w:tr>
      <w:tr w14:paraId="2AB08B8E">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2B20518C">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D6109B7">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D4272C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5D926B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项目按期完成率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B7E3B8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B432D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r>
      <w:tr w14:paraId="060D0DE3">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52D8194A">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D861327">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CC9B729">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0815E1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案件办理时限达标率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A18BE4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≥95%</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9A13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有跨年度结案案件</w:t>
            </w:r>
          </w:p>
        </w:tc>
      </w:tr>
      <w:tr w14:paraId="58C1E1B6">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42AA2D48">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2EDB94F">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4E8E1F0">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成本指标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0A4118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费用支付率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724C48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18F57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r>
      <w:tr w14:paraId="46C9FE65">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07FC2DAC">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55CA">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2348CEC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75456B0">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  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26763D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干部能力素质</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981C61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14274">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r>
      <w:tr w14:paraId="2EEF0065">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2C23F3AB">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86AB79C">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7EAA5D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  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BFDA9B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机关形象</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3E6465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CF1F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r>
      <w:tr w14:paraId="7F0863BE">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0D38E564">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03CB752">
            <w:pPr>
              <w:spacing w:line="320" w:lineRule="exact"/>
              <w:jc w:val="center"/>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E400784">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可持续影响指标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42D422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良好社会环境</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6DEA870">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优化</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8FFB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优化</w:t>
            </w:r>
          </w:p>
        </w:tc>
      </w:tr>
      <w:tr w14:paraId="7FFA5BAC">
        <w:tblPrEx>
          <w:tblCellMar>
            <w:top w:w="0" w:type="dxa"/>
            <w:left w:w="108" w:type="dxa"/>
            <w:bottom w:w="0" w:type="dxa"/>
            <w:right w:w="108" w:type="dxa"/>
          </w:tblCellMar>
        </w:tblPrEx>
        <w:trPr>
          <w:gridAfter w:val="1"/>
          <w:wAfter w:w="236" w:type="dxa"/>
          <w:trHeight w:val="487" w:hRule="atLeast"/>
        </w:trPr>
        <w:tc>
          <w:tcPr>
            <w:tcW w:w="851" w:type="dxa"/>
            <w:vMerge w:val="continue"/>
            <w:tcBorders>
              <w:left w:val="single" w:color="000000" w:sz="4" w:space="0"/>
              <w:bottom w:val="single" w:color="000000" w:sz="4" w:space="0"/>
              <w:right w:val="single" w:color="000000" w:sz="4" w:space="0"/>
            </w:tcBorders>
            <w:shd w:val="clear" w:color="auto" w:fill="auto"/>
            <w:vAlign w:val="center"/>
          </w:tcPr>
          <w:p w14:paraId="4322AA02">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right w:val="single" w:color="000000" w:sz="4" w:space="0"/>
            </w:tcBorders>
            <w:shd w:val="clear" w:color="auto" w:fill="auto"/>
            <w:vAlign w:val="bottom"/>
          </w:tcPr>
          <w:p w14:paraId="3332E2AD">
            <w:pPr>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14:paraId="7C8AA8A1">
            <w:pPr>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度指标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BBC5C93">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14:paraId="66E1DA9C">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B7884D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部门满意度</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4F0B57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CDE4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r>
      <w:tr w14:paraId="5D0F6D34">
        <w:tblPrEx>
          <w:tblCellMar>
            <w:top w:w="0" w:type="dxa"/>
            <w:left w:w="108" w:type="dxa"/>
            <w:bottom w:w="0" w:type="dxa"/>
            <w:right w:w="108" w:type="dxa"/>
          </w:tblCellMar>
        </w:tblPrEx>
        <w:trPr>
          <w:gridAfter w:val="1"/>
          <w:wAfter w:w="236" w:type="dxa"/>
          <w:trHeight w:val="487" w:hRule="atLeast"/>
        </w:trPr>
        <w:tc>
          <w:tcPr>
            <w:tcW w:w="851" w:type="dxa"/>
            <w:vMerge w:val="continue"/>
            <w:tcBorders>
              <w:left w:val="single" w:color="000000" w:sz="4" w:space="0"/>
              <w:bottom w:val="single" w:color="000000" w:sz="4" w:space="0"/>
              <w:right w:val="single" w:color="000000" w:sz="4" w:space="0"/>
            </w:tcBorders>
            <w:shd w:val="clear" w:color="auto" w:fill="auto"/>
            <w:vAlign w:val="center"/>
          </w:tcPr>
          <w:p w14:paraId="4BD6D04A">
            <w:pPr>
              <w:spacing w:line="320" w:lineRule="exact"/>
              <w:jc w:val="center"/>
              <w:rPr>
                <w:rFonts w:ascii="仿宋_GB2312" w:hAnsi="仿宋_GB2312" w:eastAsia="仿宋_GB2312" w:cs="仿宋_GB2312"/>
                <w:sz w:val="28"/>
                <w:szCs w:val="28"/>
              </w:rPr>
            </w:pPr>
          </w:p>
        </w:tc>
        <w:tc>
          <w:tcPr>
            <w:tcW w:w="850" w:type="dxa"/>
            <w:vMerge w:val="continue"/>
            <w:tcBorders>
              <w:left w:val="single" w:color="000000" w:sz="4" w:space="0"/>
              <w:bottom w:val="single" w:color="000000" w:sz="4" w:space="0"/>
              <w:right w:val="single" w:color="000000" w:sz="4" w:space="0"/>
            </w:tcBorders>
            <w:shd w:val="clear" w:color="auto" w:fill="auto"/>
            <w:vAlign w:val="bottom"/>
          </w:tcPr>
          <w:p w14:paraId="144F0EC2">
            <w:pPr>
              <w:widowControl/>
              <w:spacing w:line="320" w:lineRule="exact"/>
              <w:jc w:val="center"/>
              <w:textAlignment w:val="bottom"/>
              <w:rPr>
                <w:rFonts w:ascii="仿宋_GB2312" w:hAnsi="仿宋_GB2312" w:eastAsia="仿宋_GB2312" w:cs="仿宋_GB2312"/>
                <w:sz w:val="28"/>
                <w:szCs w:val="28"/>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C977BC9">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14:paraId="570436A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24C7CB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公众满意度</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1D86A4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A5032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r>
    </w:tbl>
    <w:p w14:paraId="1583318F">
      <w:pPr>
        <w:pStyle w:val="2"/>
        <w:spacing w:before="93"/>
      </w:pPr>
    </w:p>
    <w:tbl>
      <w:tblPr>
        <w:tblStyle w:val="12"/>
        <w:tblpPr w:leftFromText="180" w:rightFromText="180" w:vertAnchor="text" w:horzAnchor="margin" w:tblpY="-13408"/>
        <w:tblOverlap w:val="never"/>
        <w:tblW w:w="9561" w:type="dxa"/>
        <w:tblInd w:w="0" w:type="dxa"/>
        <w:tblLayout w:type="fixed"/>
        <w:tblCellMar>
          <w:top w:w="0" w:type="dxa"/>
          <w:left w:w="108" w:type="dxa"/>
          <w:bottom w:w="0" w:type="dxa"/>
          <w:right w:w="108" w:type="dxa"/>
        </w:tblCellMar>
      </w:tblPr>
      <w:tblGrid>
        <w:gridCol w:w="851"/>
        <w:gridCol w:w="850"/>
        <w:gridCol w:w="250"/>
        <w:gridCol w:w="884"/>
        <w:gridCol w:w="534"/>
        <w:gridCol w:w="1451"/>
        <w:gridCol w:w="1417"/>
        <w:gridCol w:w="108"/>
        <w:gridCol w:w="2980"/>
        <w:gridCol w:w="236"/>
      </w:tblGrid>
      <w:tr w14:paraId="560FA5D9">
        <w:tblPrEx>
          <w:tblCellMar>
            <w:top w:w="0" w:type="dxa"/>
            <w:left w:w="108" w:type="dxa"/>
            <w:bottom w:w="0" w:type="dxa"/>
            <w:right w:w="108" w:type="dxa"/>
          </w:tblCellMar>
        </w:tblPrEx>
        <w:trPr>
          <w:trHeight w:val="675" w:hRule="atLeast"/>
        </w:trPr>
        <w:tc>
          <w:tcPr>
            <w:tcW w:w="9325" w:type="dxa"/>
            <w:gridSpan w:val="9"/>
            <w:tcBorders>
              <w:top w:val="nil"/>
              <w:left w:val="nil"/>
              <w:bottom w:val="nil"/>
              <w:right w:val="nil"/>
            </w:tcBorders>
            <w:shd w:val="clear" w:color="auto" w:fill="auto"/>
            <w:vAlign w:val="center"/>
          </w:tcPr>
          <w:p w14:paraId="649CBF7A">
            <w:pPr>
              <w:widowControl/>
              <w:jc w:val="center"/>
              <w:textAlignment w:val="center"/>
              <w:rPr>
                <w:rFonts w:ascii="宋体" w:hAnsi="宋体" w:cs="宋体"/>
                <w:kern w:val="0"/>
                <w:sz w:val="32"/>
                <w:szCs w:val="32"/>
              </w:rPr>
            </w:pPr>
          </w:p>
          <w:p w14:paraId="0B57F801">
            <w:pPr>
              <w:widowControl/>
              <w:jc w:val="center"/>
              <w:textAlignment w:val="center"/>
              <w:rPr>
                <w:rFonts w:ascii="宋体" w:hAnsi="宋体" w:cs="宋体"/>
                <w:kern w:val="0"/>
                <w:sz w:val="32"/>
                <w:szCs w:val="32"/>
              </w:rPr>
            </w:pPr>
            <w:r>
              <w:rPr>
                <w:rFonts w:hint="eastAsia" w:ascii="宋体" w:hAnsi="宋体" w:cs="宋体"/>
                <w:kern w:val="0"/>
                <w:sz w:val="32"/>
                <w:szCs w:val="32"/>
              </w:rPr>
              <w:t>2021年部门预算项目绩效目标自评表</w:t>
            </w:r>
          </w:p>
          <w:p w14:paraId="1A670FF9">
            <w:pPr>
              <w:spacing w:line="600" w:lineRule="exact"/>
              <w:jc w:val="center"/>
              <w:rPr>
                <w:rFonts w:ascii="仿宋_GB2312" w:hAnsi="宋体" w:eastAsia="仿宋_GB2312"/>
                <w:sz w:val="32"/>
                <w:szCs w:val="32"/>
              </w:rPr>
            </w:pPr>
            <w:r>
              <w:rPr>
                <w:rFonts w:hint="eastAsia" w:ascii="宋体" w:hAnsi="宋体" w:cs="宋体"/>
                <w:kern w:val="0"/>
                <w:sz w:val="32"/>
                <w:szCs w:val="32"/>
              </w:rPr>
              <w:t>（大要案查处专项经费项目）</w:t>
            </w:r>
          </w:p>
        </w:tc>
        <w:tc>
          <w:tcPr>
            <w:tcW w:w="236" w:type="dxa"/>
            <w:tcBorders>
              <w:top w:val="nil"/>
              <w:left w:val="nil"/>
              <w:bottom w:val="nil"/>
              <w:right w:val="nil"/>
            </w:tcBorders>
            <w:shd w:val="clear" w:color="auto" w:fill="auto"/>
            <w:vAlign w:val="center"/>
          </w:tcPr>
          <w:p w14:paraId="1A33080B">
            <w:pPr>
              <w:widowControl/>
              <w:jc w:val="center"/>
              <w:textAlignment w:val="center"/>
              <w:rPr>
                <w:rFonts w:ascii="宋体" w:hAnsi="宋体" w:cs="宋体"/>
                <w:b/>
                <w:kern w:val="0"/>
                <w:sz w:val="32"/>
                <w:szCs w:val="32"/>
              </w:rPr>
            </w:pPr>
          </w:p>
        </w:tc>
      </w:tr>
      <w:tr w14:paraId="327A2845">
        <w:tblPrEx>
          <w:tblCellMar>
            <w:top w:w="0" w:type="dxa"/>
            <w:left w:w="108" w:type="dxa"/>
            <w:bottom w:w="0" w:type="dxa"/>
            <w:right w:w="108" w:type="dxa"/>
          </w:tblCellMar>
        </w:tblPrEx>
        <w:trPr>
          <w:gridAfter w:val="1"/>
          <w:wAfter w:w="236" w:type="dxa"/>
          <w:trHeight w:val="254" w:hRule="atLeast"/>
        </w:trPr>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E734C">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30612">
            <w:pPr>
              <w:widowControl/>
              <w:spacing w:line="320" w:lineRule="exact"/>
              <w:textAlignment w:val="center"/>
              <w:rPr>
                <w:rFonts w:ascii="宋体" w:hAnsi="宋体" w:cs="宋体"/>
                <w:sz w:val="24"/>
              </w:rPr>
            </w:pPr>
            <w:r>
              <w:rPr>
                <w:rFonts w:hint="eastAsia" w:ascii="宋体" w:hAnsi="宋体" w:cs="宋体"/>
                <w:sz w:val="24"/>
              </w:rPr>
              <w:t>中共旺苍县纪委107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7537">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A107E">
            <w:pPr>
              <w:widowControl/>
              <w:spacing w:line="320" w:lineRule="exact"/>
              <w:jc w:val="right"/>
              <w:textAlignment w:val="center"/>
              <w:rPr>
                <w:rFonts w:ascii="宋体" w:hAnsi="宋体" w:cs="宋体"/>
                <w:sz w:val="24"/>
              </w:rPr>
            </w:pPr>
            <w:r>
              <w:rPr>
                <w:rFonts w:hint="eastAsia" w:ascii="宋体" w:hAnsi="宋体" w:cs="宋体"/>
                <w:sz w:val="24"/>
              </w:rPr>
              <w:t>中共旺苍县纪委</w:t>
            </w:r>
          </w:p>
        </w:tc>
      </w:tr>
      <w:tr w14:paraId="20F706E6">
        <w:tblPrEx>
          <w:tblCellMar>
            <w:top w:w="0" w:type="dxa"/>
            <w:left w:w="108" w:type="dxa"/>
            <w:bottom w:w="0" w:type="dxa"/>
            <w:right w:w="108" w:type="dxa"/>
          </w:tblCellMar>
        </w:tblPrEx>
        <w:trPr>
          <w:gridAfter w:val="1"/>
          <w:wAfter w:w="236" w:type="dxa"/>
          <w:trHeight w:val="341" w:hRule="atLeast"/>
        </w:trPr>
        <w:tc>
          <w:tcPr>
            <w:tcW w:w="19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4D080">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14:paraId="64D5EF4C">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14:paraId="23DCA713">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2A46D">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7107">
            <w:pPr>
              <w:widowControl/>
              <w:spacing w:line="320" w:lineRule="exact"/>
              <w:jc w:val="left"/>
              <w:textAlignment w:val="center"/>
              <w:rPr>
                <w:rFonts w:ascii="宋体" w:hAnsi="宋体" w:cs="宋体"/>
                <w:sz w:val="24"/>
              </w:rPr>
            </w:pPr>
            <w:r>
              <w:rPr>
                <w:rFonts w:hint="eastAsia" w:ascii="宋体" w:hAnsi="宋体" w:cs="宋体"/>
                <w:sz w:val="24"/>
              </w:rPr>
              <w:t>60万元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D242">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97DCD">
            <w:pPr>
              <w:widowControl/>
              <w:spacing w:line="320" w:lineRule="exact"/>
              <w:jc w:val="right"/>
              <w:textAlignment w:val="center"/>
              <w:rPr>
                <w:rFonts w:ascii="宋体" w:hAnsi="宋体" w:cs="宋体"/>
                <w:sz w:val="24"/>
              </w:rPr>
            </w:pPr>
            <w:r>
              <w:rPr>
                <w:rFonts w:hint="eastAsia" w:ascii="宋体" w:hAnsi="宋体" w:cs="宋体"/>
                <w:sz w:val="24"/>
              </w:rPr>
              <w:t>60万元</w:t>
            </w:r>
          </w:p>
        </w:tc>
      </w:tr>
      <w:tr w14:paraId="57D4D807">
        <w:tblPrEx>
          <w:tblCellMar>
            <w:top w:w="0" w:type="dxa"/>
            <w:left w:w="108" w:type="dxa"/>
            <w:bottom w:w="0" w:type="dxa"/>
            <w:right w:w="108" w:type="dxa"/>
          </w:tblCellMar>
        </w:tblPrEx>
        <w:trPr>
          <w:gridAfter w:val="1"/>
          <w:wAfter w:w="236" w:type="dxa"/>
          <w:trHeight w:val="555"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D3A9">
            <w:pPr>
              <w:spacing w:line="320" w:lineRule="exact"/>
              <w:jc w:val="center"/>
              <w:rPr>
                <w:rFonts w:ascii="宋体" w:hAnsi="宋体" w:cs="宋体"/>
                <w:sz w:val="24"/>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72D9B">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5BEAB885">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6F7A">
            <w:pPr>
              <w:widowControl/>
              <w:spacing w:line="320" w:lineRule="exact"/>
              <w:jc w:val="left"/>
              <w:textAlignment w:val="center"/>
              <w:rPr>
                <w:rFonts w:ascii="宋体" w:hAnsi="宋体" w:cs="宋体"/>
                <w:sz w:val="24"/>
              </w:rPr>
            </w:pPr>
            <w:r>
              <w:rPr>
                <w:rFonts w:hint="eastAsia" w:ascii="宋体" w:hAnsi="宋体" w:cs="宋体"/>
                <w:sz w:val="24"/>
              </w:rPr>
              <w:t>60万元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42D8">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62235A6F">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60AE8">
            <w:pPr>
              <w:widowControl/>
              <w:spacing w:line="320" w:lineRule="exact"/>
              <w:jc w:val="right"/>
              <w:textAlignment w:val="center"/>
              <w:rPr>
                <w:rFonts w:ascii="宋体" w:hAnsi="宋体" w:cs="宋体"/>
                <w:sz w:val="24"/>
              </w:rPr>
            </w:pPr>
            <w:r>
              <w:rPr>
                <w:rFonts w:hint="eastAsia" w:ascii="宋体" w:hAnsi="宋体" w:cs="宋体"/>
                <w:sz w:val="24"/>
              </w:rPr>
              <w:t>60万元</w:t>
            </w:r>
          </w:p>
        </w:tc>
      </w:tr>
      <w:tr w14:paraId="050350FA">
        <w:tblPrEx>
          <w:tblCellMar>
            <w:top w:w="0" w:type="dxa"/>
            <w:left w:w="108" w:type="dxa"/>
            <w:bottom w:w="0" w:type="dxa"/>
            <w:right w:w="108" w:type="dxa"/>
          </w:tblCellMar>
        </w:tblPrEx>
        <w:trPr>
          <w:gridAfter w:val="1"/>
          <w:wAfter w:w="236" w:type="dxa"/>
          <w:trHeight w:val="341"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5D5A">
            <w:pPr>
              <w:spacing w:line="320" w:lineRule="exact"/>
              <w:jc w:val="center"/>
              <w:rPr>
                <w:rFonts w:ascii="宋体" w:hAnsi="宋体" w:cs="宋体"/>
                <w:sz w:val="24"/>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8748B">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AC8F">
            <w:pPr>
              <w:widowControl/>
              <w:spacing w:line="320" w:lineRule="exact"/>
              <w:jc w:val="left"/>
              <w:textAlignment w:val="center"/>
              <w:rPr>
                <w:rFonts w:ascii="宋体" w:hAnsi="宋体" w:cs="宋体"/>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8D6A">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3421C">
            <w:pPr>
              <w:widowControl/>
              <w:spacing w:line="320" w:lineRule="exact"/>
              <w:jc w:val="center"/>
              <w:textAlignment w:val="center"/>
              <w:rPr>
                <w:rFonts w:ascii="宋体" w:hAnsi="宋体" w:cs="宋体"/>
                <w:sz w:val="24"/>
              </w:rPr>
            </w:pPr>
          </w:p>
        </w:tc>
      </w:tr>
      <w:tr w14:paraId="4F589D10">
        <w:tblPrEx>
          <w:tblCellMar>
            <w:top w:w="0" w:type="dxa"/>
            <w:left w:w="108" w:type="dxa"/>
            <w:bottom w:w="0" w:type="dxa"/>
            <w:right w:w="108" w:type="dxa"/>
          </w:tblCellMar>
        </w:tblPrEx>
        <w:trPr>
          <w:gridAfter w:val="1"/>
          <w:wAfter w:w="236" w:type="dxa"/>
          <w:trHeight w:val="217"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9FAC4">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5180034C">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54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B73EEF">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C1F6">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0983B51C">
        <w:tblPrEx>
          <w:tblCellMar>
            <w:top w:w="0" w:type="dxa"/>
            <w:left w:w="108" w:type="dxa"/>
            <w:bottom w:w="0" w:type="dxa"/>
            <w:right w:w="108" w:type="dxa"/>
          </w:tblCellMar>
        </w:tblPrEx>
        <w:trPr>
          <w:gridAfter w:val="1"/>
          <w:wAfter w:w="236" w:type="dxa"/>
          <w:trHeight w:val="79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A183">
            <w:pPr>
              <w:spacing w:line="320" w:lineRule="exact"/>
              <w:jc w:val="center"/>
              <w:rPr>
                <w:rFonts w:ascii="宋体" w:hAnsi="宋体" w:cs="宋体"/>
                <w:sz w:val="24"/>
              </w:rPr>
            </w:pPr>
          </w:p>
        </w:tc>
        <w:tc>
          <w:tcPr>
            <w:tcW w:w="5494" w:type="dxa"/>
            <w:gridSpan w:val="7"/>
            <w:tcBorders>
              <w:top w:val="single" w:color="000000" w:sz="4" w:space="0"/>
              <w:left w:val="single" w:color="000000" w:sz="4" w:space="0"/>
              <w:bottom w:val="single" w:color="000000" w:sz="4" w:space="0"/>
              <w:right w:val="single" w:color="000000" w:sz="4" w:space="0"/>
            </w:tcBorders>
            <w:shd w:val="clear" w:color="auto" w:fill="auto"/>
          </w:tcPr>
          <w:p w14:paraId="6FDFC5D9">
            <w:pPr>
              <w:tabs>
                <w:tab w:val="left" w:pos="826"/>
              </w:tabs>
              <w:rPr>
                <w:rFonts w:ascii="宋体" w:hAnsi="宋体" w:cs="宋体"/>
                <w:sz w:val="24"/>
              </w:rPr>
            </w:pPr>
            <w:r>
              <w:rPr>
                <w:rFonts w:hint="eastAsia" w:ascii="宋体" w:hAnsi="宋体" w:cs="宋体"/>
                <w:sz w:val="24"/>
              </w:rPr>
              <w:t>贯彻落实党中央关于监察工作的决定，维护宪法法律。依照法律规定履行监督、调查、处置职责。强化使命担当，严规矩、正风纪、强作风、抓落实，矢志不渝推进全面从严治党、党风廉政建设和反腐败工作。依法对县委管理的行使公权力的公职人员进行监察，调查职务违法和职务犯罪，开展廉政建设和反腐败工作</w:t>
            </w:r>
          </w:p>
        </w:tc>
        <w:tc>
          <w:tcPr>
            <w:tcW w:w="2980" w:type="dxa"/>
            <w:tcBorders>
              <w:top w:val="single" w:color="000000" w:sz="4" w:space="0"/>
              <w:left w:val="single" w:color="000000" w:sz="4" w:space="0"/>
              <w:bottom w:val="single" w:color="000000" w:sz="4" w:space="0"/>
              <w:right w:val="single" w:color="000000" w:sz="4" w:space="0"/>
            </w:tcBorders>
            <w:shd w:val="clear" w:color="auto" w:fill="auto"/>
          </w:tcPr>
          <w:p w14:paraId="1DA2DCCB">
            <w:pPr>
              <w:widowControl/>
              <w:spacing w:line="320" w:lineRule="exact"/>
              <w:jc w:val="left"/>
              <w:textAlignment w:val="top"/>
              <w:rPr>
                <w:rFonts w:ascii="宋体" w:hAnsi="宋体" w:cs="宋体"/>
                <w:sz w:val="24"/>
              </w:rPr>
            </w:pPr>
            <w:r>
              <w:rPr>
                <w:rFonts w:hint="eastAsia" w:ascii="宋体" w:hAnsi="宋体" w:cs="宋体"/>
                <w:sz w:val="24"/>
              </w:rPr>
              <w:t>聚焦惩贪治腐，一体推进“三不”。始终保持“惩”的有力震慑；着力强化“治”的制度约束；切实增强“防”的思想自觉。常态化开展“大教育”。</w:t>
            </w:r>
          </w:p>
        </w:tc>
      </w:tr>
      <w:tr w14:paraId="585353DD">
        <w:tblPrEx>
          <w:tblCellMar>
            <w:top w:w="0" w:type="dxa"/>
            <w:left w:w="108" w:type="dxa"/>
            <w:bottom w:w="0" w:type="dxa"/>
            <w:right w:w="108" w:type="dxa"/>
          </w:tblCellMar>
        </w:tblPrEx>
        <w:trPr>
          <w:gridAfter w:val="1"/>
          <w:wAfter w:w="236" w:type="dxa"/>
          <w:trHeight w:val="693" w:hRule="atLeast"/>
        </w:trPr>
        <w:tc>
          <w:tcPr>
            <w:tcW w:w="851" w:type="dxa"/>
            <w:vMerge w:val="restart"/>
            <w:tcBorders>
              <w:top w:val="single" w:color="000000" w:sz="4" w:space="0"/>
              <w:left w:val="single" w:color="000000" w:sz="4" w:space="0"/>
              <w:right w:val="single" w:color="000000" w:sz="4" w:space="0"/>
            </w:tcBorders>
            <w:shd w:val="clear" w:color="auto" w:fill="auto"/>
            <w:vAlign w:val="center"/>
          </w:tcPr>
          <w:p w14:paraId="7598FEF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181B6B78">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66E2F38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5A7D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3737FA6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856F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0A1D803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5F35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352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0BB67B88">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329963AA">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DC6BC">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5676A6B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47F5714">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07B0FF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受理群众信访举报</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BE3003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194件次</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1AEE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受理群众信访举报194件次</w:t>
            </w:r>
          </w:p>
        </w:tc>
      </w:tr>
      <w:tr w14:paraId="172FA9C1">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320533A6">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48E18FF">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7DAD934">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874EFE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处置问题线索</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31CEDA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436件</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2F64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处置问题线索436件</w:t>
            </w:r>
          </w:p>
        </w:tc>
      </w:tr>
      <w:tr w14:paraId="3D912179">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4B6BA5A3">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E1AFEDA">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2111246">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FB5CC0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审查调查次数</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558569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164件</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0F56B">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立案审查调查 164件164人</w:t>
            </w:r>
          </w:p>
        </w:tc>
      </w:tr>
      <w:tr w14:paraId="7048A830">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5CFA6778">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228AFFF">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D7ED397">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30C7EA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移送司法</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ED2A01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11人</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74124">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移送司法11人</w:t>
            </w:r>
          </w:p>
        </w:tc>
      </w:tr>
      <w:tr w14:paraId="01D28939">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1ACE5EE1">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D3B5278">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45CF84D">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质量指标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41C8B5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问题线索处置率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1F82245">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722E2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问题线索处置率100%</w:t>
            </w:r>
          </w:p>
        </w:tc>
      </w:tr>
      <w:tr w14:paraId="14D97A31">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49318D5D">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A013038">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BD201B3">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质量指标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9CA9B80">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立案案件办结率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4EC819F">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38B5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办结率100%</w:t>
            </w:r>
          </w:p>
        </w:tc>
      </w:tr>
      <w:tr w14:paraId="45E90428">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29376367">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5E5BBA2">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35D7A51">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质量指标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D10B21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立案案件办结率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7736A3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0次</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D8B8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未发生案件事故</w:t>
            </w:r>
          </w:p>
        </w:tc>
      </w:tr>
      <w:tr w14:paraId="5A6712D9">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2F589AFC">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92E3BE1">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0C8E508">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质量指标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B3727B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违纪款处理结果</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DB9CF5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全额追回</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1526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违纪款全额追回</w:t>
            </w:r>
          </w:p>
        </w:tc>
      </w:tr>
      <w:tr w14:paraId="6AA8E0D7">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0F057D11">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B9A5D7B">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323BE7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质量指标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0D8CC1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受教育党员干部</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A0CD38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1000余人</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0F86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受教育党员干部1000余人</w:t>
            </w:r>
          </w:p>
        </w:tc>
      </w:tr>
      <w:tr w14:paraId="33D52680">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78187594">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6DC2DF0">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2D821E7">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时效指标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7BFE04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项目按期完成率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012450B">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8AE68">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r>
      <w:tr w14:paraId="73401195">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2C539E30">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A337126">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6E16B9F">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55BB55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案件办理时限达标率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12FC3F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≥95%</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E967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有跨年度结案案件</w:t>
            </w:r>
          </w:p>
        </w:tc>
      </w:tr>
      <w:tr w14:paraId="3E795B9F">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48C80F61">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591C169">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E55707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成本指标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EC1678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费用支付率</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A4EE28D">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F866B">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r>
      <w:tr w14:paraId="06288855">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60D2E759">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C8CA0">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6347C75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286671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经济效益指标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F56764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违纪款处理结果</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3AC990B">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全额追回</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A03E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全额追回</w:t>
            </w:r>
          </w:p>
        </w:tc>
      </w:tr>
      <w:tr w14:paraId="3D11DD10">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185F8EAF">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96F1042">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6453EA0">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342A9C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干部能力素质</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DDC94E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8FE19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r>
      <w:tr w14:paraId="67A8688F">
        <w:tblPrEx>
          <w:tblCellMar>
            <w:top w:w="0" w:type="dxa"/>
            <w:left w:w="108" w:type="dxa"/>
            <w:bottom w:w="0" w:type="dxa"/>
            <w:right w:w="108" w:type="dxa"/>
          </w:tblCellMar>
        </w:tblPrEx>
        <w:trPr>
          <w:gridAfter w:val="1"/>
          <w:wAfter w:w="236" w:type="dxa"/>
          <w:trHeight w:val="577" w:hRule="atLeast"/>
        </w:trPr>
        <w:tc>
          <w:tcPr>
            <w:tcW w:w="851" w:type="dxa"/>
            <w:vMerge w:val="continue"/>
            <w:tcBorders>
              <w:left w:val="single" w:color="000000" w:sz="4" w:space="0"/>
              <w:right w:val="single" w:color="000000" w:sz="4" w:space="0"/>
            </w:tcBorders>
            <w:shd w:val="clear" w:color="auto" w:fill="auto"/>
            <w:vAlign w:val="center"/>
          </w:tcPr>
          <w:p w14:paraId="4ED34338">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00B3562">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2C14377">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社会效益指标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FBE8AA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机关形象</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5F2F9F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7234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r>
      <w:tr w14:paraId="1F22CE75">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029C760B">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E74676C">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1B13579">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可持续影响指标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768D1F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良好社会环境</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2EB4BF0">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优化</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5EBA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优化</w:t>
            </w:r>
          </w:p>
        </w:tc>
      </w:tr>
      <w:tr w14:paraId="24BDDA15">
        <w:tblPrEx>
          <w:tblCellMar>
            <w:top w:w="0" w:type="dxa"/>
            <w:left w:w="108" w:type="dxa"/>
            <w:bottom w:w="0" w:type="dxa"/>
            <w:right w:w="108" w:type="dxa"/>
          </w:tblCellMar>
        </w:tblPrEx>
        <w:trPr>
          <w:gridAfter w:val="1"/>
          <w:wAfter w:w="236" w:type="dxa"/>
          <w:trHeight w:val="530" w:hRule="atLeast"/>
        </w:trPr>
        <w:tc>
          <w:tcPr>
            <w:tcW w:w="851" w:type="dxa"/>
            <w:vMerge w:val="continue"/>
            <w:tcBorders>
              <w:left w:val="single" w:color="000000" w:sz="4" w:space="0"/>
              <w:bottom w:val="single" w:color="000000" w:sz="4" w:space="0"/>
              <w:right w:val="single" w:color="000000" w:sz="4" w:space="0"/>
            </w:tcBorders>
            <w:shd w:val="clear" w:color="auto" w:fill="auto"/>
            <w:vAlign w:val="center"/>
          </w:tcPr>
          <w:p w14:paraId="3730E952">
            <w:pPr>
              <w:spacing w:line="320" w:lineRule="exact"/>
              <w:jc w:val="center"/>
              <w:rPr>
                <w:rFonts w:ascii="仿宋_GB2312" w:hAnsi="仿宋_GB2312" w:eastAsia="仿宋_GB2312" w:cs="仿宋_GB2312"/>
                <w:sz w:val="28"/>
                <w:szCs w:val="2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CD45D">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满意</w:t>
            </w:r>
          </w:p>
          <w:p w14:paraId="517F4423">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度指标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3EF401F">
            <w:pPr>
              <w:widowControl/>
              <w:spacing w:line="320" w:lineRule="exac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满意度指标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BD2647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公众满意度</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23EF992">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73A3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r>
    </w:tbl>
    <w:p w14:paraId="32BA77F0">
      <w:pPr>
        <w:pStyle w:val="2"/>
        <w:spacing w:before="93"/>
      </w:pPr>
    </w:p>
    <w:tbl>
      <w:tblPr>
        <w:tblStyle w:val="12"/>
        <w:tblpPr w:leftFromText="180" w:rightFromText="180" w:vertAnchor="text" w:horzAnchor="margin" w:tblpY="-13735"/>
        <w:tblOverlap w:val="never"/>
        <w:tblW w:w="9561" w:type="dxa"/>
        <w:tblInd w:w="0" w:type="dxa"/>
        <w:tblLayout w:type="fixed"/>
        <w:tblCellMar>
          <w:top w:w="0" w:type="dxa"/>
          <w:left w:w="108" w:type="dxa"/>
          <w:bottom w:w="0" w:type="dxa"/>
          <w:right w:w="108" w:type="dxa"/>
        </w:tblCellMar>
      </w:tblPr>
      <w:tblGrid>
        <w:gridCol w:w="851"/>
        <w:gridCol w:w="850"/>
        <w:gridCol w:w="250"/>
        <w:gridCol w:w="884"/>
        <w:gridCol w:w="392"/>
        <w:gridCol w:w="1593"/>
        <w:gridCol w:w="1417"/>
        <w:gridCol w:w="851"/>
        <w:gridCol w:w="2237"/>
        <w:gridCol w:w="236"/>
      </w:tblGrid>
      <w:tr w14:paraId="56F38817">
        <w:tblPrEx>
          <w:tblCellMar>
            <w:top w:w="0" w:type="dxa"/>
            <w:left w:w="108" w:type="dxa"/>
            <w:bottom w:w="0" w:type="dxa"/>
            <w:right w:w="108" w:type="dxa"/>
          </w:tblCellMar>
        </w:tblPrEx>
        <w:trPr>
          <w:trHeight w:val="675" w:hRule="atLeast"/>
        </w:trPr>
        <w:tc>
          <w:tcPr>
            <w:tcW w:w="9325" w:type="dxa"/>
            <w:gridSpan w:val="9"/>
            <w:tcBorders>
              <w:top w:val="nil"/>
              <w:left w:val="nil"/>
              <w:bottom w:val="nil"/>
              <w:right w:val="nil"/>
            </w:tcBorders>
            <w:shd w:val="clear" w:color="auto" w:fill="auto"/>
            <w:vAlign w:val="center"/>
          </w:tcPr>
          <w:p w14:paraId="50656BA0">
            <w:pPr>
              <w:widowControl/>
              <w:jc w:val="center"/>
              <w:textAlignment w:val="center"/>
              <w:rPr>
                <w:rFonts w:ascii="宋体" w:hAnsi="宋体" w:cs="宋体"/>
                <w:kern w:val="0"/>
                <w:sz w:val="32"/>
                <w:szCs w:val="32"/>
              </w:rPr>
            </w:pPr>
          </w:p>
          <w:p w14:paraId="10872F37">
            <w:pPr>
              <w:widowControl/>
              <w:jc w:val="center"/>
              <w:textAlignment w:val="center"/>
              <w:rPr>
                <w:rFonts w:ascii="宋体" w:hAnsi="宋体" w:cs="宋体"/>
                <w:kern w:val="0"/>
                <w:sz w:val="32"/>
                <w:szCs w:val="32"/>
              </w:rPr>
            </w:pPr>
            <w:r>
              <w:rPr>
                <w:rFonts w:hint="eastAsia" w:ascii="宋体" w:hAnsi="宋体" w:cs="宋体"/>
                <w:kern w:val="0"/>
                <w:sz w:val="32"/>
                <w:szCs w:val="32"/>
              </w:rPr>
              <w:t>2021年部门预算项目绩效目标自评表</w:t>
            </w:r>
          </w:p>
          <w:p w14:paraId="4B8F0739">
            <w:pPr>
              <w:spacing w:line="600" w:lineRule="exact"/>
              <w:jc w:val="center"/>
              <w:rPr>
                <w:rFonts w:ascii="仿宋_GB2312" w:hAnsi="宋体" w:eastAsia="仿宋_GB2312"/>
                <w:sz w:val="32"/>
                <w:szCs w:val="32"/>
              </w:rPr>
            </w:pPr>
            <w:r>
              <w:rPr>
                <w:rFonts w:hint="eastAsia" w:ascii="宋体" w:hAnsi="宋体" w:cs="宋体"/>
                <w:kern w:val="0"/>
                <w:sz w:val="32"/>
                <w:szCs w:val="32"/>
              </w:rPr>
              <w:t>（东西部协作跟班学习培训经费项目）</w:t>
            </w:r>
          </w:p>
        </w:tc>
        <w:tc>
          <w:tcPr>
            <w:tcW w:w="236" w:type="dxa"/>
            <w:tcBorders>
              <w:top w:val="nil"/>
              <w:left w:val="nil"/>
              <w:bottom w:val="nil"/>
              <w:right w:val="nil"/>
            </w:tcBorders>
            <w:shd w:val="clear" w:color="auto" w:fill="auto"/>
            <w:vAlign w:val="center"/>
          </w:tcPr>
          <w:p w14:paraId="329E0620">
            <w:pPr>
              <w:widowControl/>
              <w:jc w:val="center"/>
              <w:textAlignment w:val="center"/>
              <w:rPr>
                <w:rFonts w:ascii="宋体" w:hAnsi="宋体" w:cs="宋体"/>
                <w:b/>
                <w:kern w:val="0"/>
                <w:sz w:val="32"/>
                <w:szCs w:val="32"/>
              </w:rPr>
            </w:pPr>
          </w:p>
        </w:tc>
      </w:tr>
      <w:tr w14:paraId="5FF9CF01">
        <w:tblPrEx>
          <w:tblCellMar>
            <w:top w:w="0" w:type="dxa"/>
            <w:left w:w="108" w:type="dxa"/>
            <w:bottom w:w="0" w:type="dxa"/>
            <w:right w:w="108" w:type="dxa"/>
          </w:tblCellMar>
        </w:tblPrEx>
        <w:trPr>
          <w:gridAfter w:val="1"/>
          <w:wAfter w:w="236" w:type="dxa"/>
          <w:trHeight w:val="254" w:hRule="atLeast"/>
        </w:trPr>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4692">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E142C">
            <w:pPr>
              <w:widowControl/>
              <w:spacing w:line="320" w:lineRule="exact"/>
              <w:textAlignment w:val="center"/>
              <w:rPr>
                <w:rFonts w:ascii="宋体" w:hAnsi="宋体" w:cs="宋体"/>
                <w:sz w:val="24"/>
              </w:rPr>
            </w:pPr>
            <w:r>
              <w:rPr>
                <w:rFonts w:hint="eastAsia" w:ascii="宋体" w:hAnsi="宋体" w:cs="宋体"/>
                <w:sz w:val="24"/>
              </w:rPr>
              <w:t>中共旺苍县纪委107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64D4">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39F27">
            <w:pPr>
              <w:widowControl/>
              <w:spacing w:line="320" w:lineRule="exact"/>
              <w:jc w:val="right"/>
              <w:textAlignment w:val="center"/>
              <w:rPr>
                <w:rFonts w:ascii="宋体" w:hAnsi="宋体" w:cs="宋体"/>
                <w:sz w:val="24"/>
              </w:rPr>
            </w:pPr>
            <w:r>
              <w:rPr>
                <w:rFonts w:hint="eastAsia" w:ascii="宋体" w:hAnsi="宋体" w:cs="宋体"/>
                <w:sz w:val="24"/>
              </w:rPr>
              <w:t>中共旺苍县纪委</w:t>
            </w:r>
          </w:p>
        </w:tc>
      </w:tr>
      <w:tr w14:paraId="6C17A6C2">
        <w:tblPrEx>
          <w:tblCellMar>
            <w:top w:w="0" w:type="dxa"/>
            <w:left w:w="108" w:type="dxa"/>
            <w:bottom w:w="0" w:type="dxa"/>
            <w:right w:w="108" w:type="dxa"/>
          </w:tblCellMar>
        </w:tblPrEx>
        <w:trPr>
          <w:gridAfter w:val="1"/>
          <w:wAfter w:w="236" w:type="dxa"/>
          <w:trHeight w:val="341" w:hRule="atLeast"/>
        </w:trPr>
        <w:tc>
          <w:tcPr>
            <w:tcW w:w="19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DE4C4">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14:paraId="0E4F4120">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14:paraId="454C3BBD">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95CAA">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B7B2">
            <w:pPr>
              <w:widowControl/>
              <w:spacing w:line="320" w:lineRule="exact"/>
              <w:jc w:val="left"/>
              <w:textAlignment w:val="center"/>
              <w:rPr>
                <w:rFonts w:ascii="宋体" w:hAnsi="宋体" w:cs="宋体"/>
                <w:sz w:val="24"/>
              </w:rPr>
            </w:pPr>
            <w:r>
              <w:rPr>
                <w:rFonts w:hint="eastAsia" w:ascii="宋体" w:hAnsi="宋体" w:cs="宋体"/>
                <w:sz w:val="24"/>
              </w:rPr>
              <w:t>18万元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08A9">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2C4C6">
            <w:pPr>
              <w:widowControl/>
              <w:spacing w:line="320" w:lineRule="exact"/>
              <w:jc w:val="right"/>
              <w:textAlignment w:val="center"/>
              <w:rPr>
                <w:rFonts w:ascii="宋体" w:hAnsi="宋体" w:cs="宋体"/>
                <w:sz w:val="24"/>
              </w:rPr>
            </w:pPr>
            <w:r>
              <w:rPr>
                <w:rFonts w:hint="eastAsia" w:ascii="宋体" w:hAnsi="宋体" w:cs="宋体"/>
                <w:sz w:val="24"/>
              </w:rPr>
              <w:t>18万元</w:t>
            </w:r>
          </w:p>
        </w:tc>
      </w:tr>
      <w:tr w14:paraId="58F5A10A">
        <w:tblPrEx>
          <w:tblCellMar>
            <w:top w:w="0" w:type="dxa"/>
            <w:left w:w="108" w:type="dxa"/>
            <w:bottom w:w="0" w:type="dxa"/>
            <w:right w:w="108" w:type="dxa"/>
          </w:tblCellMar>
        </w:tblPrEx>
        <w:trPr>
          <w:gridAfter w:val="1"/>
          <w:wAfter w:w="236" w:type="dxa"/>
          <w:trHeight w:val="555"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C45E3">
            <w:pPr>
              <w:spacing w:line="320" w:lineRule="exact"/>
              <w:jc w:val="center"/>
              <w:rPr>
                <w:rFonts w:ascii="宋体" w:hAnsi="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DB62E">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3589CB1A">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A31D">
            <w:pPr>
              <w:widowControl/>
              <w:spacing w:line="320" w:lineRule="exact"/>
              <w:jc w:val="left"/>
              <w:textAlignment w:val="center"/>
              <w:rPr>
                <w:rFonts w:ascii="宋体" w:hAnsi="宋体" w:cs="宋体"/>
                <w:sz w:val="24"/>
              </w:rPr>
            </w:pPr>
            <w:r>
              <w:rPr>
                <w:rFonts w:hint="eastAsia" w:ascii="宋体" w:hAnsi="宋体" w:cs="宋体"/>
                <w:sz w:val="24"/>
              </w:rPr>
              <w:t>18万元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B1A7">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67D1F430">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E2375">
            <w:pPr>
              <w:widowControl/>
              <w:spacing w:line="320" w:lineRule="exact"/>
              <w:jc w:val="right"/>
              <w:textAlignment w:val="center"/>
              <w:rPr>
                <w:rFonts w:ascii="宋体" w:hAnsi="宋体" w:cs="宋体"/>
                <w:sz w:val="24"/>
              </w:rPr>
            </w:pPr>
            <w:r>
              <w:rPr>
                <w:rFonts w:hint="eastAsia" w:ascii="宋体" w:hAnsi="宋体" w:cs="宋体"/>
                <w:sz w:val="24"/>
              </w:rPr>
              <w:t>18万元</w:t>
            </w:r>
          </w:p>
        </w:tc>
      </w:tr>
      <w:tr w14:paraId="1A6D944F">
        <w:tblPrEx>
          <w:tblCellMar>
            <w:top w:w="0" w:type="dxa"/>
            <w:left w:w="108" w:type="dxa"/>
            <w:bottom w:w="0" w:type="dxa"/>
            <w:right w:w="108" w:type="dxa"/>
          </w:tblCellMar>
        </w:tblPrEx>
        <w:trPr>
          <w:gridAfter w:val="1"/>
          <w:wAfter w:w="236" w:type="dxa"/>
          <w:trHeight w:val="341"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74E5">
            <w:pPr>
              <w:spacing w:line="320" w:lineRule="exact"/>
              <w:jc w:val="center"/>
              <w:rPr>
                <w:rFonts w:ascii="宋体" w:hAnsi="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27E19">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6864">
            <w:pPr>
              <w:widowControl/>
              <w:spacing w:line="320" w:lineRule="exact"/>
              <w:jc w:val="left"/>
              <w:textAlignment w:val="center"/>
              <w:rPr>
                <w:rFonts w:ascii="宋体" w:hAnsi="宋体" w:cs="宋体"/>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1001">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0BACA">
            <w:pPr>
              <w:widowControl/>
              <w:spacing w:line="320" w:lineRule="exact"/>
              <w:jc w:val="center"/>
              <w:textAlignment w:val="center"/>
              <w:rPr>
                <w:rFonts w:ascii="宋体" w:hAnsi="宋体" w:cs="宋体"/>
                <w:sz w:val="24"/>
              </w:rPr>
            </w:pPr>
          </w:p>
        </w:tc>
      </w:tr>
      <w:tr w14:paraId="57F467FF">
        <w:tblPrEx>
          <w:tblCellMar>
            <w:top w:w="0" w:type="dxa"/>
            <w:left w:w="108" w:type="dxa"/>
            <w:bottom w:w="0" w:type="dxa"/>
            <w:right w:w="108" w:type="dxa"/>
          </w:tblCellMar>
        </w:tblPrEx>
        <w:trPr>
          <w:gridAfter w:val="1"/>
          <w:wAfter w:w="236" w:type="dxa"/>
          <w:trHeight w:val="217"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66157">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2F2567FC">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3BFEC">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9CD33">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65ED0DAB">
        <w:tblPrEx>
          <w:tblCellMar>
            <w:top w:w="0" w:type="dxa"/>
            <w:left w:w="108" w:type="dxa"/>
            <w:bottom w:w="0" w:type="dxa"/>
            <w:right w:w="108" w:type="dxa"/>
          </w:tblCellMar>
        </w:tblPrEx>
        <w:trPr>
          <w:gridAfter w:val="1"/>
          <w:wAfter w:w="236" w:type="dxa"/>
          <w:trHeight w:val="797"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A583B">
            <w:pPr>
              <w:spacing w:line="320" w:lineRule="exact"/>
              <w:jc w:val="center"/>
              <w:rPr>
                <w:rFonts w:ascii="宋体" w:hAnsi="宋体" w:cs="宋体"/>
                <w:sz w:val="24"/>
              </w:rPr>
            </w:pPr>
          </w:p>
        </w:tc>
        <w:tc>
          <w:tcPr>
            <w:tcW w:w="3969" w:type="dxa"/>
            <w:gridSpan w:val="5"/>
            <w:tcBorders>
              <w:top w:val="single" w:color="000000" w:sz="4" w:space="0"/>
              <w:left w:val="single" w:color="000000" w:sz="4" w:space="0"/>
              <w:bottom w:val="single" w:color="000000" w:sz="4" w:space="0"/>
              <w:right w:val="single" w:color="000000" w:sz="4" w:space="0"/>
            </w:tcBorders>
            <w:shd w:val="clear" w:color="auto" w:fill="auto"/>
          </w:tcPr>
          <w:p w14:paraId="6E931C26">
            <w:pPr>
              <w:tabs>
                <w:tab w:val="left" w:pos="826"/>
              </w:tabs>
              <w:rPr>
                <w:rFonts w:ascii="宋体" w:hAnsi="宋体" w:cs="宋体"/>
                <w:sz w:val="24"/>
              </w:rPr>
            </w:pPr>
            <w:r>
              <w:rPr>
                <w:rFonts w:hint="eastAsia" w:ascii="宋体" w:hAnsi="宋体" w:cs="宋体"/>
                <w:sz w:val="24"/>
              </w:rPr>
              <w:t>根据东西部协作干部人才交流工作要求，组织纪检监察干部跟班学习培训，切实提高纪检监察干部理论素养、履职能力和干事激情。</w:t>
            </w: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tcPr>
          <w:p w14:paraId="78229E1A">
            <w:pPr>
              <w:widowControl/>
              <w:spacing w:line="320" w:lineRule="exact"/>
              <w:jc w:val="left"/>
              <w:textAlignment w:val="top"/>
              <w:rPr>
                <w:rFonts w:ascii="宋体" w:hAnsi="宋体" w:cs="宋体"/>
                <w:sz w:val="24"/>
              </w:rPr>
            </w:pPr>
            <w:r>
              <w:rPr>
                <w:rFonts w:hint="eastAsia" w:ascii="宋体" w:hAnsi="宋体" w:cs="宋体"/>
                <w:sz w:val="24"/>
              </w:rPr>
              <w:t>组织我县30名纪检监察干部赴浙江杭州参加学习提能培训。</w:t>
            </w:r>
          </w:p>
        </w:tc>
      </w:tr>
      <w:tr w14:paraId="5BFCF112">
        <w:tblPrEx>
          <w:tblCellMar>
            <w:top w:w="0" w:type="dxa"/>
            <w:left w:w="108" w:type="dxa"/>
            <w:bottom w:w="0" w:type="dxa"/>
            <w:right w:w="108" w:type="dxa"/>
          </w:tblCellMar>
        </w:tblPrEx>
        <w:trPr>
          <w:gridAfter w:val="1"/>
          <w:wAfter w:w="236" w:type="dxa"/>
          <w:trHeight w:val="693" w:hRule="atLeast"/>
        </w:trPr>
        <w:tc>
          <w:tcPr>
            <w:tcW w:w="851" w:type="dxa"/>
            <w:vMerge w:val="restart"/>
            <w:tcBorders>
              <w:top w:val="single" w:color="000000" w:sz="4" w:space="0"/>
              <w:left w:val="single" w:color="000000" w:sz="4" w:space="0"/>
              <w:right w:val="single" w:color="000000" w:sz="4" w:space="0"/>
            </w:tcBorders>
            <w:shd w:val="clear" w:color="auto" w:fill="auto"/>
            <w:vAlign w:val="center"/>
          </w:tcPr>
          <w:p w14:paraId="18C6518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0A3870B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5B766C5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9AF7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1A7D1D1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F26CA">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5773DD0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6B33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19B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2F2A52B1">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4EB7FA5B">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right w:val="single" w:color="000000" w:sz="4" w:space="0"/>
            </w:tcBorders>
            <w:shd w:val="clear" w:color="auto" w:fill="auto"/>
            <w:vAlign w:val="center"/>
          </w:tcPr>
          <w:p w14:paraId="3D9BC484">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3B9FA6E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B6E6BC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5799EF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安排培训班次</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C7DA769">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1批次</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FD10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1批次</w:t>
            </w:r>
          </w:p>
        </w:tc>
      </w:tr>
      <w:tr w14:paraId="0C926D03">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6B2A1F58">
            <w:pPr>
              <w:spacing w:line="320" w:lineRule="exact"/>
              <w:jc w:val="center"/>
              <w:rPr>
                <w:rFonts w:ascii="仿宋_GB2312" w:hAnsi="仿宋_GB2312" w:eastAsia="仿宋_GB2312" w:cs="仿宋_GB2312"/>
                <w:sz w:val="28"/>
                <w:szCs w:val="28"/>
              </w:rPr>
            </w:pPr>
          </w:p>
        </w:tc>
        <w:tc>
          <w:tcPr>
            <w:tcW w:w="850" w:type="dxa"/>
            <w:vMerge w:val="continue"/>
            <w:tcBorders>
              <w:left w:val="single" w:color="000000" w:sz="4" w:space="0"/>
              <w:right w:val="single" w:color="000000" w:sz="4" w:space="0"/>
            </w:tcBorders>
            <w:shd w:val="clear" w:color="auto" w:fill="auto"/>
            <w:vAlign w:val="bottom"/>
          </w:tcPr>
          <w:p w14:paraId="5655993B">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7A185A4">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B726CF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参加培训人数</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D0D8DD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30人</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BDDE3">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30人</w:t>
            </w:r>
          </w:p>
        </w:tc>
      </w:tr>
      <w:tr w14:paraId="25D1523E">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7992C329">
            <w:pPr>
              <w:spacing w:line="320" w:lineRule="exact"/>
              <w:jc w:val="center"/>
              <w:rPr>
                <w:rFonts w:ascii="仿宋_GB2312" w:hAnsi="仿宋_GB2312" w:eastAsia="仿宋_GB2312" w:cs="仿宋_GB2312"/>
                <w:sz w:val="28"/>
                <w:szCs w:val="28"/>
              </w:rPr>
            </w:pPr>
          </w:p>
        </w:tc>
        <w:tc>
          <w:tcPr>
            <w:tcW w:w="850" w:type="dxa"/>
            <w:vMerge w:val="continue"/>
            <w:tcBorders>
              <w:left w:val="single" w:color="000000" w:sz="4" w:space="0"/>
              <w:right w:val="single" w:color="000000" w:sz="4" w:space="0"/>
            </w:tcBorders>
            <w:shd w:val="clear" w:color="auto" w:fill="auto"/>
            <w:vAlign w:val="bottom"/>
          </w:tcPr>
          <w:p w14:paraId="46F86818">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28193B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质量指标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4B9BE76">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培训合格率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C446607">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FF31C">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r>
      <w:tr w14:paraId="4661D187">
        <w:tblPrEx>
          <w:tblCellMar>
            <w:top w:w="0" w:type="dxa"/>
            <w:left w:w="108" w:type="dxa"/>
            <w:bottom w:w="0" w:type="dxa"/>
            <w:right w:w="108" w:type="dxa"/>
          </w:tblCellMar>
        </w:tblPrEx>
        <w:trPr>
          <w:gridAfter w:val="1"/>
          <w:wAfter w:w="236" w:type="dxa"/>
          <w:trHeight w:val="415" w:hRule="atLeast"/>
        </w:trPr>
        <w:tc>
          <w:tcPr>
            <w:tcW w:w="851" w:type="dxa"/>
            <w:vMerge w:val="continue"/>
            <w:tcBorders>
              <w:left w:val="single" w:color="000000" w:sz="4" w:space="0"/>
              <w:right w:val="single" w:color="000000" w:sz="4" w:space="0"/>
            </w:tcBorders>
            <w:shd w:val="clear" w:color="auto" w:fill="auto"/>
            <w:vAlign w:val="center"/>
          </w:tcPr>
          <w:p w14:paraId="7A4AF6CD">
            <w:pPr>
              <w:spacing w:line="320" w:lineRule="exact"/>
              <w:jc w:val="center"/>
              <w:rPr>
                <w:rFonts w:ascii="仿宋_GB2312" w:hAnsi="仿宋_GB2312" w:eastAsia="仿宋_GB2312" w:cs="仿宋_GB2312"/>
                <w:sz w:val="28"/>
                <w:szCs w:val="28"/>
              </w:rPr>
            </w:pPr>
          </w:p>
        </w:tc>
        <w:tc>
          <w:tcPr>
            <w:tcW w:w="850" w:type="dxa"/>
            <w:vMerge w:val="continue"/>
            <w:tcBorders>
              <w:left w:val="single" w:color="000000" w:sz="4" w:space="0"/>
              <w:right w:val="single" w:color="000000" w:sz="4" w:space="0"/>
            </w:tcBorders>
            <w:shd w:val="clear" w:color="auto" w:fill="auto"/>
            <w:vAlign w:val="bottom"/>
          </w:tcPr>
          <w:p w14:paraId="5D196C73">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00DDD8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968C608">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项目按期完成率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05B0F13">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6A878">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r>
      <w:tr w14:paraId="64F43CC2">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5EAFE9CA">
            <w:pPr>
              <w:spacing w:line="320" w:lineRule="exact"/>
              <w:jc w:val="center"/>
              <w:rPr>
                <w:rFonts w:ascii="仿宋_GB2312" w:hAnsi="仿宋_GB2312" w:eastAsia="仿宋_GB2312" w:cs="仿宋_GB2312"/>
                <w:sz w:val="28"/>
                <w:szCs w:val="28"/>
              </w:rPr>
            </w:pPr>
          </w:p>
        </w:tc>
        <w:tc>
          <w:tcPr>
            <w:tcW w:w="850" w:type="dxa"/>
            <w:vMerge w:val="continue"/>
            <w:tcBorders>
              <w:left w:val="single" w:color="000000" w:sz="4" w:space="0"/>
              <w:right w:val="single" w:color="000000" w:sz="4" w:space="0"/>
            </w:tcBorders>
            <w:shd w:val="clear" w:color="auto" w:fill="auto"/>
            <w:vAlign w:val="bottom"/>
          </w:tcPr>
          <w:p w14:paraId="6A4A50E6">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006938B">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成本指标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85B0BA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实际成本与计划成本比率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6F0FF6D">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EC220">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r>
      <w:tr w14:paraId="65FE0DED">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0C26F3B8">
            <w:pPr>
              <w:spacing w:line="320" w:lineRule="exact"/>
              <w:jc w:val="center"/>
              <w:rPr>
                <w:rFonts w:ascii="仿宋_GB2312" w:hAnsi="仿宋_GB2312" w:eastAsia="仿宋_GB2312" w:cs="仿宋_GB2312"/>
                <w:sz w:val="28"/>
                <w:szCs w:val="28"/>
              </w:rPr>
            </w:pPr>
          </w:p>
        </w:tc>
        <w:tc>
          <w:tcPr>
            <w:tcW w:w="850" w:type="dxa"/>
            <w:vMerge w:val="continue"/>
            <w:tcBorders>
              <w:left w:val="single" w:color="000000" w:sz="4" w:space="0"/>
              <w:bottom w:val="single" w:color="000000" w:sz="4" w:space="0"/>
              <w:right w:val="single" w:color="000000" w:sz="4" w:space="0"/>
            </w:tcBorders>
            <w:shd w:val="clear" w:color="auto" w:fill="auto"/>
            <w:vAlign w:val="bottom"/>
          </w:tcPr>
          <w:p w14:paraId="616727CB">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9E16D67">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成本指标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277DD2E">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费用支付率</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CCA20EB">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7B7EC">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r>
      <w:tr w14:paraId="761F9900">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6071311D">
            <w:pPr>
              <w:spacing w:line="320" w:lineRule="exact"/>
              <w:jc w:val="center"/>
              <w:rPr>
                <w:rFonts w:ascii="仿宋_GB2312" w:hAnsi="仿宋_GB2312" w:eastAsia="仿宋_GB2312" w:cs="仿宋_GB2312"/>
                <w:sz w:val="28"/>
                <w:szCs w:val="2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6DD7A">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0111181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033744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  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73F96B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提高干部理论素养</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9B98FBA">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4F7B1">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r>
      <w:tr w14:paraId="20F9BFED">
        <w:tblPrEx>
          <w:tblCellMar>
            <w:top w:w="0" w:type="dxa"/>
            <w:left w:w="108" w:type="dxa"/>
            <w:bottom w:w="0" w:type="dxa"/>
            <w:right w:w="108" w:type="dxa"/>
          </w:tblCellMar>
        </w:tblPrEx>
        <w:trPr>
          <w:gridAfter w:val="1"/>
          <w:wAfter w:w="236" w:type="dxa"/>
          <w:trHeight w:val="480" w:hRule="atLeast"/>
        </w:trPr>
        <w:tc>
          <w:tcPr>
            <w:tcW w:w="851" w:type="dxa"/>
            <w:vMerge w:val="continue"/>
            <w:tcBorders>
              <w:left w:val="single" w:color="000000" w:sz="4" w:space="0"/>
              <w:right w:val="single" w:color="000000" w:sz="4" w:space="0"/>
            </w:tcBorders>
            <w:shd w:val="clear" w:color="auto" w:fill="auto"/>
            <w:vAlign w:val="center"/>
          </w:tcPr>
          <w:p w14:paraId="3628AC5E">
            <w:pPr>
              <w:spacing w:line="320" w:lineRule="exact"/>
              <w:jc w:val="center"/>
              <w:rPr>
                <w:rFonts w:ascii="仿宋_GB2312" w:hAnsi="仿宋_GB2312" w:eastAsia="仿宋_GB2312" w:cs="仿宋_GB2312"/>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BC84E49">
            <w:pPr>
              <w:spacing w:line="320" w:lineRule="exact"/>
              <w:jc w:val="center"/>
              <w:rPr>
                <w:rFonts w:ascii="仿宋_GB2312" w:hAnsi="仿宋_GB2312" w:eastAsia="仿宋_GB2312" w:cs="仿宋_GB2312"/>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3BCC65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可持续影响指标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82DA74F">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提升干部能力素质</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9D693D5">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B7C2D">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提高</w:t>
            </w:r>
          </w:p>
        </w:tc>
      </w:tr>
      <w:tr w14:paraId="0C20DFB0">
        <w:tblPrEx>
          <w:tblCellMar>
            <w:top w:w="0" w:type="dxa"/>
            <w:left w:w="108" w:type="dxa"/>
            <w:bottom w:w="0" w:type="dxa"/>
            <w:right w:w="108" w:type="dxa"/>
          </w:tblCellMar>
        </w:tblPrEx>
        <w:trPr>
          <w:gridAfter w:val="1"/>
          <w:wAfter w:w="236" w:type="dxa"/>
          <w:trHeight w:val="530" w:hRule="atLeast"/>
        </w:trPr>
        <w:tc>
          <w:tcPr>
            <w:tcW w:w="851" w:type="dxa"/>
            <w:vMerge w:val="continue"/>
            <w:tcBorders>
              <w:left w:val="single" w:color="000000" w:sz="4" w:space="0"/>
              <w:bottom w:val="single" w:color="000000" w:sz="4" w:space="0"/>
              <w:right w:val="single" w:color="000000" w:sz="4" w:space="0"/>
            </w:tcBorders>
            <w:shd w:val="clear" w:color="auto" w:fill="auto"/>
            <w:vAlign w:val="center"/>
          </w:tcPr>
          <w:p w14:paraId="1FFECC84">
            <w:pPr>
              <w:spacing w:line="320" w:lineRule="exact"/>
              <w:jc w:val="center"/>
              <w:rPr>
                <w:rFonts w:ascii="仿宋_GB2312" w:hAnsi="仿宋_GB2312" w:eastAsia="仿宋_GB2312" w:cs="仿宋_GB2312"/>
                <w:sz w:val="28"/>
                <w:szCs w:val="2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5335B">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14:paraId="2B77045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99EE4BD">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14:paraId="28CE345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F028EDB">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学员满意度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9515295">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E2E47">
            <w:pPr>
              <w:widowControl/>
              <w:spacing w:line="320" w:lineRule="exact"/>
              <w:jc w:val="center"/>
              <w:textAlignment w:val="bottom"/>
              <w:rPr>
                <w:rFonts w:ascii="仿宋_GB2312" w:hAnsi="仿宋_GB2312" w:eastAsia="仿宋_GB2312" w:cs="仿宋_GB2312"/>
                <w:sz w:val="18"/>
                <w:szCs w:val="18"/>
              </w:rPr>
            </w:pPr>
            <w:r>
              <w:rPr>
                <w:rFonts w:ascii="仿宋_GB2312" w:hAnsi="仿宋_GB2312" w:eastAsia="仿宋_GB2312" w:cs="仿宋_GB2312"/>
                <w:sz w:val="18"/>
                <w:szCs w:val="18"/>
              </w:rPr>
              <w:t>100%</w:t>
            </w:r>
          </w:p>
        </w:tc>
      </w:tr>
    </w:tbl>
    <w:p w14:paraId="3E487DF3">
      <w:pPr>
        <w:pStyle w:val="2"/>
        <w:spacing w:before="93"/>
        <w:rPr>
          <w:rFonts w:ascii="黑体" w:hAnsi="黑体" w:eastAsia="黑体"/>
          <w:kern w:val="2"/>
          <w:sz w:val="44"/>
          <w:szCs w:val="44"/>
        </w:rPr>
      </w:pPr>
    </w:p>
    <w:p w14:paraId="0527AC9A">
      <w:pPr>
        <w:pStyle w:val="2"/>
        <w:spacing w:before="93"/>
      </w:pPr>
    </w:p>
    <w:p w14:paraId="6D3D0733">
      <w:pPr>
        <w:pStyle w:val="2"/>
        <w:spacing w:before="93"/>
      </w:pPr>
    </w:p>
    <w:p w14:paraId="1974A191">
      <w:pPr>
        <w:pStyle w:val="2"/>
        <w:spacing w:before="93"/>
      </w:pPr>
    </w:p>
    <w:p w14:paraId="710A6334">
      <w:pPr>
        <w:pStyle w:val="2"/>
        <w:spacing w:before="93"/>
      </w:pPr>
    </w:p>
    <w:p w14:paraId="2B02CBF7">
      <w:pPr>
        <w:spacing w:line="600" w:lineRule="exact"/>
        <w:jc w:val="center"/>
        <w:outlineLvl w:val="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五部分 附表</w:t>
      </w:r>
      <w:bookmarkEnd w:id="53"/>
      <w:bookmarkEnd w:id="55"/>
      <w:bookmarkStart w:id="56" w:name="_Toc15396619"/>
    </w:p>
    <w:p w14:paraId="1490D300">
      <w:pPr>
        <w:pStyle w:val="4"/>
        <w:rPr>
          <w:rStyle w:val="25"/>
          <w:rFonts w:ascii="仿宋" w:hAnsi="仿宋" w:eastAsia="仿宋"/>
          <w:b/>
          <w:bCs w:val="0"/>
        </w:rPr>
      </w:pPr>
      <w:r>
        <w:rPr>
          <w:rFonts w:hint="eastAsia" w:ascii="仿宋" w:hAnsi="仿宋" w:eastAsia="仿宋"/>
          <w:b w:val="0"/>
        </w:rPr>
        <w:t>一、收</w:t>
      </w:r>
      <w:r>
        <w:rPr>
          <w:rStyle w:val="25"/>
          <w:rFonts w:hint="eastAsia" w:ascii="仿宋" w:hAnsi="仿宋" w:eastAsia="仿宋"/>
          <w:b w:val="0"/>
          <w:bCs/>
        </w:rPr>
        <w:t>入支出决算总表</w:t>
      </w:r>
      <w:bookmarkEnd w:id="56"/>
    </w:p>
    <w:p w14:paraId="28D2D7BE">
      <w:pPr>
        <w:pStyle w:val="4"/>
        <w:rPr>
          <w:rFonts w:ascii="仿宋" w:hAnsi="仿宋" w:eastAsia="仿宋"/>
        </w:rPr>
      </w:pPr>
      <w:bookmarkStart w:id="57" w:name="_Toc15396620"/>
      <w:r>
        <w:rPr>
          <w:rFonts w:hint="eastAsia" w:ascii="仿宋" w:hAnsi="仿宋" w:eastAsia="仿宋"/>
          <w:b w:val="0"/>
        </w:rPr>
        <w:t>二、收</w:t>
      </w:r>
      <w:r>
        <w:rPr>
          <w:rStyle w:val="25"/>
          <w:rFonts w:hint="eastAsia" w:ascii="仿宋" w:hAnsi="仿宋" w:eastAsia="仿宋"/>
          <w:b w:val="0"/>
          <w:bCs w:val="0"/>
        </w:rPr>
        <w:t>入决算表</w:t>
      </w:r>
      <w:bookmarkEnd w:id="57"/>
    </w:p>
    <w:p w14:paraId="5D5C8C9E">
      <w:pPr>
        <w:pStyle w:val="4"/>
        <w:rPr>
          <w:rFonts w:ascii="仿宋" w:hAnsi="仿宋" w:eastAsia="仿宋"/>
        </w:rPr>
      </w:pPr>
      <w:bookmarkStart w:id="58"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8"/>
    </w:p>
    <w:p w14:paraId="21ACA6F6">
      <w:pPr>
        <w:pStyle w:val="4"/>
        <w:rPr>
          <w:rFonts w:ascii="仿宋" w:hAnsi="仿宋" w:eastAsia="仿宋"/>
          <w:b w:val="0"/>
        </w:rPr>
      </w:pPr>
      <w:bookmarkStart w:id="59"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9"/>
    </w:p>
    <w:p w14:paraId="1AE7A16B">
      <w:pPr>
        <w:pStyle w:val="4"/>
        <w:rPr>
          <w:rStyle w:val="25"/>
          <w:rFonts w:ascii="仿宋" w:hAnsi="仿宋" w:eastAsia="仿宋"/>
          <w:b w:val="0"/>
          <w:bCs w:val="0"/>
        </w:rPr>
      </w:pPr>
      <w:bookmarkStart w:id="60"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0"/>
      <w:bookmarkStart w:id="61" w:name="_Toc15396624"/>
    </w:p>
    <w:p w14:paraId="5889C30B">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1"/>
    </w:p>
    <w:p w14:paraId="684BC3E3">
      <w:pPr>
        <w:pStyle w:val="4"/>
        <w:rPr>
          <w:rFonts w:ascii="仿宋" w:hAnsi="仿宋" w:eastAsia="仿宋"/>
        </w:rPr>
      </w:pPr>
      <w:bookmarkStart w:id="62"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2"/>
    </w:p>
    <w:p w14:paraId="66F0116E">
      <w:pPr>
        <w:pStyle w:val="4"/>
        <w:rPr>
          <w:rFonts w:ascii="仿宋" w:hAnsi="仿宋" w:eastAsia="仿宋"/>
        </w:rPr>
      </w:pPr>
      <w:bookmarkStart w:id="63"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3"/>
    </w:p>
    <w:p w14:paraId="67538757">
      <w:pPr>
        <w:pStyle w:val="4"/>
        <w:rPr>
          <w:rFonts w:ascii="仿宋" w:hAnsi="仿宋" w:eastAsia="仿宋"/>
        </w:rPr>
      </w:pPr>
      <w:bookmarkStart w:id="64"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4"/>
    </w:p>
    <w:p w14:paraId="669C17AE">
      <w:pPr>
        <w:pStyle w:val="4"/>
        <w:rPr>
          <w:rFonts w:ascii="仿宋" w:hAnsi="仿宋" w:eastAsia="仿宋"/>
        </w:rPr>
      </w:pPr>
      <w:bookmarkStart w:id="65" w:name="_Toc153966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65"/>
    </w:p>
    <w:p w14:paraId="17E6D2E6">
      <w:pPr>
        <w:pStyle w:val="4"/>
        <w:rPr>
          <w:rFonts w:ascii="仿宋" w:hAnsi="仿宋" w:eastAsia="仿宋"/>
        </w:rPr>
      </w:pPr>
      <w:bookmarkStart w:id="66" w:name="_Toc15396629"/>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66"/>
    </w:p>
    <w:p w14:paraId="344E3537">
      <w:pPr>
        <w:pStyle w:val="4"/>
        <w:rPr>
          <w:rFonts w:ascii="仿宋" w:hAnsi="仿宋" w:eastAsia="仿宋"/>
        </w:rPr>
      </w:pPr>
      <w:bookmarkStart w:id="67"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67"/>
    </w:p>
    <w:p w14:paraId="10FCB9CD">
      <w:pPr>
        <w:pStyle w:val="4"/>
        <w:rPr>
          <w:rStyle w:val="25"/>
          <w:rFonts w:ascii="仿宋" w:hAnsi="仿宋" w:eastAsia="仿宋"/>
          <w:b w:val="0"/>
          <w:bCs w:val="0"/>
        </w:rPr>
      </w:pPr>
      <w:bookmarkStart w:id="68"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68"/>
    </w:p>
    <w:p w14:paraId="1DB4DCAE">
      <w:pPr>
        <w:rPr>
          <w:rFonts w:eastAsia="仿宋"/>
        </w:rPr>
      </w:pPr>
      <w:r>
        <w:rPr>
          <w:rStyle w:val="25"/>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07EBEE6">
        <w:pPr>
          <w:pStyle w:val="8"/>
          <w:jc w:val="center"/>
        </w:pPr>
        <w:r>
          <w:fldChar w:fldCharType="begin"/>
        </w:r>
        <w:r>
          <w:instrText xml:space="preserve">PAGE   \* MERGEFORMAT</w:instrText>
        </w:r>
        <w:r>
          <w:fldChar w:fldCharType="separate"/>
        </w:r>
        <w:r>
          <w:rPr>
            <w:lang w:val="zh-CN"/>
          </w:rPr>
          <w:t>20</w:t>
        </w:r>
        <w:r>
          <w:rPr>
            <w:lang w:val="zh-CN"/>
          </w:rPr>
          <w:fldChar w:fldCharType="end"/>
        </w:r>
      </w:p>
    </w:sdtContent>
  </w:sdt>
  <w:p w14:paraId="3C471CE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399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YmQ5Yzk5ZDg1NWIwMWM4MTE0ZDY5YTdjNzViMGQifQ=="/>
  </w:docVars>
  <w:rsids>
    <w:rsidRoot w:val="00F1361C"/>
    <w:rsid w:val="000030EC"/>
    <w:rsid w:val="00007266"/>
    <w:rsid w:val="00010306"/>
    <w:rsid w:val="00015EF6"/>
    <w:rsid w:val="000222C6"/>
    <w:rsid w:val="0002370A"/>
    <w:rsid w:val="00023E91"/>
    <w:rsid w:val="0002549F"/>
    <w:rsid w:val="000264BD"/>
    <w:rsid w:val="000319FB"/>
    <w:rsid w:val="000334C8"/>
    <w:rsid w:val="00033E7C"/>
    <w:rsid w:val="000468DB"/>
    <w:rsid w:val="0006487A"/>
    <w:rsid w:val="00065F8F"/>
    <w:rsid w:val="0006738B"/>
    <w:rsid w:val="00070A43"/>
    <w:rsid w:val="00076342"/>
    <w:rsid w:val="000768F2"/>
    <w:rsid w:val="000816E4"/>
    <w:rsid w:val="0008580E"/>
    <w:rsid w:val="00086BD0"/>
    <w:rsid w:val="0009184B"/>
    <w:rsid w:val="00094236"/>
    <w:rsid w:val="000942D5"/>
    <w:rsid w:val="0009593C"/>
    <w:rsid w:val="00097322"/>
    <w:rsid w:val="000A09B6"/>
    <w:rsid w:val="000A6A92"/>
    <w:rsid w:val="000B047F"/>
    <w:rsid w:val="000B14DA"/>
    <w:rsid w:val="000B4326"/>
    <w:rsid w:val="000B5923"/>
    <w:rsid w:val="000B5A48"/>
    <w:rsid w:val="000B6FF3"/>
    <w:rsid w:val="000C00C9"/>
    <w:rsid w:val="000C3467"/>
    <w:rsid w:val="000C3CA6"/>
    <w:rsid w:val="000D1267"/>
    <w:rsid w:val="000D1D50"/>
    <w:rsid w:val="000D5782"/>
    <w:rsid w:val="000D7F0B"/>
    <w:rsid w:val="000E43A5"/>
    <w:rsid w:val="000E46DE"/>
    <w:rsid w:val="000E6613"/>
    <w:rsid w:val="000E7119"/>
    <w:rsid w:val="00114E9B"/>
    <w:rsid w:val="00115701"/>
    <w:rsid w:val="00132F3A"/>
    <w:rsid w:val="0013310B"/>
    <w:rsid w:val="00133F64"/>
    <w:rsid w:val="001364D6"/>
    <w:rsid w:val="00142216"/>
    <w:rsid w:val="00142597"/>
    <w:rsid w:val="00144D6A"/>
    <w:rsid w:val="0014729F"/>
    <w:rsid w:val="00147792"/>
    <w:rsid w:val="00154CD4"/>
    <w:rsid w:val="00157B3C"/>
    <w:rsid w:val="00157BAB"/>
    <w:rsid w:val="00163E0F"/>
    <w:rsid w:val="001654D1"/>
    <w:rsid w:val="001707BC"/>
    <w:rsid w:val="00174518"/>
    <w:rsid w:val="0018106D"/>
    <w:rsid w:val="00183B74"/>
    <w:rsid w:val="00186984"/>
    <w:rsid w:val="001877A7"/>
    <w:rsid w:val="00191536"/>
    <w:rsid w:val="00192C36"/>
    <w:rsid w:val="00194C7E"/>
    <w:rsid w:val="00196687"/>
    <w:rsid w:val="001A1EAA"/>
    <w:rsid w:val="001A6982"/>
    <w:rsid w:val="001B08A7"/>
    <w:rsid w:val="001B3884"/>
    <w:rsid w:val="001B494C"/>
    <w:rsid w:val="001B61DB"/>
    <w:rsid w:val="001C0962"/>
    <w:rsid w:val="001C52AB"/>
    <w:rsid w:val="001C757A"/>
    <w:rsid w:val="001C7916"/>
    <w:rsid w:val="001D1676"/>
    <w:rsid w:val="001D3AC6"/>
    <w:rsid w:val="001D6B80"/>
    <w:rsid w:val="001D7531"/>
    <w:rsid w:val="001D7B02"/>
    <w:rsid w:val="001E2832"/>
    <w:rsid w:val="001E737D"/>
    <w:rsid w:val="001F0135"/>
    <w:rsid w:val="001F0592"/>
    <w:rsid w:val="001F7506"/>
    <w:rsid w:val="002006CD"/>
    <w:rsid w:val="0020114F"/>
    <w:rsid w:val="00202B36"/>
    <w:rsid w:val="002044EB"/>
    <w:rsid w:val="00204B7A"/>
    <w:rsid w:val="00204CDE"/>
    <w:rsid w:val="00206E68"/>
    <w:rsid w:val="0021101A"/>
    <w:rsid w:val="00213F99"/>
    <w:rsid w:val="00220536"/>
    <w:rsid w:val="00220D07"/>
    <w:rsid w:val="00225237"/>
    <w:rsid w:val="00230D0F"/>
    <w:rsid w:val="002347DD"/>
    <w:rsid w:val="00235629"/>
    <w:rsid w:val="002419D3"/>
    <w:rsid w:val="0024423E"/>
    <w:rsid w:val="00246800"/>
    <w:rsid w:val="00247999"/>
    <w:rsid w:val="00247B87"/>
    <w:rsid w:val="002504DD"/>
    <w:rsid w:val="00260C38"/>
    <w:rsid w:val="002616C0"/>
    <w:rsid w:val="00265372"/>
    <w:rsid w:val="0026591B"/>
    <w:rsid w:val="002662AA"/>
    <w:rsid w:val="00271B01"/>
    <w:rsid w:val="00280496"/>
    <w:rsid w:val="00283E05"/>
    <w:rsid w:val="00294DC9"/>
    <w:rsid w:val="00295495"/>
    <w:rsid w:val="002A31DE"/>
    <w:rsid w:val="002A31FC"/>
    <w:rsid w:val="002A7600"/>
    <w:rsid w:val="002B0A46"/>
    <w:rsid w:val="002B2613"/>
    <w:rsid w:val="002B66FF"/>
    <w:rsid w:val="002C4C5D"/>
    <w:rsid w:val="002C5C24"/>
    <w:rsid w:val="002D34E1"/>
    <w:rsid w:val="002D6D05"/>
    <w:rsid w:val="002E42D8"/>
    <w:rsid w:val="002E749A"/>
    <w:rsid w:val="002E7DEB"/>
    <w:rsid w:val="002F06C8"/>
    <w:rsid w:val="002F0FB5"/>
    <w:rsid w:val="002F1818"/>
    <w:rsid w:val="002F188C"/>
    <w:rsid w:val="002F567B"/>
    <w:rsid w:val="00310440"/>
    <w:rsid w:val="0031279E"/>
    <w:rsid w:val="003216A9"/>
    <w:rsid w:val="003263CD"/>
    <w:rsid w:val="00334720"/>
    <w:rsid w:val="00335A74"/>
    <w:rsid w:val="00337D72"/>
    <w:rsid w:val="003456A2"/>
    <w:rsid w:val="00365597"/>
    <w:rsid w:val="0036561B"/>
    <w:rsid w:val="0037013F"/>
    <w:rsid w:val="0037536C"/>
    <w:rsid w:val="003756D4"/>
    <w:rsid w:val="00380C92"/>
    <w:rsid w:val="00383AA5"/>
    <w:rsid w:val="00385132"/>
    <w:rsid w:val="00385DD0"/>
    <w:rsid w:val="0039061C"/>
    <w:rsid w:val="00391988"/>
    <w:rsid w:val="00393207"/>
    <w:rsid w:val="003932B3"/>
    <w:rsid w:val="003A1A18"/>
    <w:rsid w:val="003A354E"/>
    <w:rsid w:val="003A484F"/>
    <w:rsid w:val="003A4883"/>
    <w:rsid w:val="003B0392"/>
    <w:rsid w:val="003B0BE0"/>
    <w:rsid w:val="003B0C1B"/>
    <w:rsid w:val="003B688C"/>
    <w:rsid w:val="003C0291"/>
    <w:rsid w:val="003C15A3"/>
    <w:rsid w:val="003C39AE"/>
    <w:rsid w:val="003C66D7"/>
    <w:rsid w:val="003C7B60"/>
    <w:rsid w:val="003D0C0F"/>
    <w:rsid w:val="003D1A25"/>
    <w:rsid w:val="003D1FB2"/>
    <w:rsid w:val="003D4039"/>
    <w:rsid w:val="003D66DA"/>
    <w:rsid w:val="003D724C"/>
    <w:rsid w:val="003E1310"/>
    <w:rsid w:val="003E6F55"/>
    <w:rsid w:val="00406254"/>
    <w:rsid w:val="0040783E"/>
    <w:rsid w:val="00414A03"/>
    <w:rsid w:val="004150F1"/>
    <w:rsid w:val="004223DE"/>
    <w:rsid w:val="004334B2"/>
    <w:rsid w:val="00434489"/>
    <w:rsid w:val="00436691"/>
    <w:rsid w:val="00437085"/>
    <w:rsid w:val="00443880"/>
    <w:rsid w:val="004464F4"/>
    <w:rsid w:val="00450433"/>
    <w:rsid w:val="00456BE2"/>
    <w:rsid w:val="004644CB"/>
    <w:rsid w:val="00471401"/>
    <w:rsid w:val="00473BF9"/>
    <w:rsid w:val="00473F31"/>
    <w:rsid w:val="00474052"/>
    <w:rsid w:val="0048263A"/>
    <w:rsid w:val="00486113"/>
    <w:rsid w:val="004873C9"/>
    <w:rsid w:val="00487E5D"/>
    <w:rsid w:val="004A6A44"/>
    <w:rsid w:val="004A711F"/>
    <w:rsid w:val="004B199D"/>
    <w:rsid w:val="004B4690"/>
    <w:rsid w:val="004C05CE"/>
    <w:rsid w:val="004C2D3C"/>
    <w:rsid w:val="004C5577"/>
    <w:rsid w:val="004C7DEB"/>
    <w:rsid w:val="004D68D6"/>
    <w:rsid w:val="004E0A2D"/>
    <w:rsid w:val="004E1D8D"/>
    <w:rsid w:val="004E206B"/>
    <w:rsid w:val="004E6DF7"/>
    <w:rsid w:val="004F0FBD"/>
    <w:rsid w:val="004F2621"/>
    <w:rsid w:val="004F3105"/>
    <w:rsid w:val="004F73B4"/>
    <w:rsid w:val="00501275"/>
    <w:rsid w:val="00502CAD"/>
    <w:rsid w:val="00505A47"/>
    <w:rsid w:val="00511291"/>
    <w:rsid w:val="00512FDA"/>
    <w:rsid w:val="00520DA0"/>
    <w:rsid w:val="0052616D"/>
    <w:rsid w:val="00527D0E"/>
    <w:rsid w:val="00544107"/>
    <w:rsid w:val="0054655D"/>
    <w:rsid w:val="00552441"/>
    <w:rsid w:val="005534D1"/>
    <w:rsid w:val="0056341D"/>
    <w:rsid w:val="00565171"/>
    <w:rsid w:val="005664BB"/>
    <w:rsid w:val="00566FFA"/>
    <w:rsid w:val="00570E21"/>
    <w:rsid w:val="0057481D"/>
    <w:rsid w:val="0058486E"/>
    <w:rsid w:val="00585693"/>
    <w:rsid w:val="00585B33"/>
    <w:rsid w:val="0059014D"/>
    <w:rsid w:val="00590B95"/>
    <w:rsid w:val="005B075F"/>
    <w:rsid w:val="005B5C64"/>
    <w:rsid w:val="005C5337"/>
    <w:rsid w:val="005C6BD0"/>
    <w:rsid w:val="005D1C8B"/>
    <w:rsid w:val="005D4029"/>
    <w:rsid w:val="005D468D"/>
    <w:rsid w:val="005D5CED"/>
    <w:rsid w:val="005D6D29"/>
    <w:rsid w:val="005E717D"/>
    <w:rsid w:val="005F1A4C"/>
    <w:rsid w:val="005F1CF6"/>
    <w:rsid w:val="00601CBB"/>
    <w:rsid w:val="0060215D"/>
    <w:rsid w:val="00605688"/>
    <w:rsid w:val="006070AF"/>
    <w:rsid w:val="00607E6C"/>
    <w:rsid w:val="006101B1"/>
    <w:rsid w:val="00614E44"/>
    <w:rsid w:val="00621BE5"/>
    <w:rsid w:val="0062270A"/>
    <w:rsid w:val="00622830"/>
    <w:rsid w:val="00623DA0"/>
    <w:rsid w:val="00630AEF"/>
    <w:rsid w:val="006325F8"/>
    <w:rsid w:val="00633463"/>
    <w:rsid w:val="00634C9A"/>
    <w:rsid w:val="00640DDA"/>
    <w:rsid w:val="00642D20"/>
    <w:rsid w:val="006440E4"/>
    <w:rsid w:val="00655027"/>
    <w:rsid w:val="00656A8E"/>
    <w:rsid w:val="006613D4"/>
    <w:rsid w:val="0066343B"/>
    <w:rsid w:val="00664777"/>
    <w:rsid w:val="00667C43"/>
    <w:rsid w:val="00672E7D"/>
    <w:rsid w:val="006748A4"/>
    <w:rsid w:val="00681A31"/>
    <w:rsid w:val="00682322"/>
    <w:rsid w:val="00683A7C"/>
    <w:rsid w:val="00683E73"/>
    <w:rsid w:val="00695BEC"/>
    <w:rsid w:val="006A3141"/>
    <w:rsid w:val="006A4A87"/>
    <w:rsid w:val="006A5E34"/>
    <w:rsid w:val="006A7A6B"/>
    <w:rsid w:val="006B2422"/>
    <w:rsid w:val="006B2B9A"/>
    <w:rsid w:val="006B612C"/>
    <w:rsid w:val="006C1937"/>
    <w:rsid w:val="006D727E"/>
    <w:rsid w:val="006E1F31"/>
    <w:rsid w:val="006E2871"/>
    <w:rsid w:val="006F017C"/>
    <w:rsid w:val="006F020C"/>
    <w:rsid w:val="00700F1B"/>
    <w:rsid w:val="007127B7"/>
    <w:rsid w:val="0071798E"/>
    <w:rsid w:val="00720FBC"/>
    <w:rsid w:val="00725CBA"/>
    <w:rsid w:val="007268C2"/>
    <w:rsid w:val="007416B6"/>
    <w:rsid w:val="00746F48"/>
    <w:rsid w:val="0075404D"/>
    <w:rsid w:val="0076182A"/>
    <w:rsid w:val="00767B7E"/>
    <w:rsid w:val="007770C3"/>
    <w:rsid w:val="007778B2"/>
    <w:rsid w:val="00784D24"/>
    <w:rsid w:val="00785FBA"/>
    <w:rsid w:val="00786E4A"/>
    <w:rsid w:val="007875EB"/>
    <w:rsid w:val="00787B54"/>
    <w:rsid w:val="0079269E"/>
    <w:rsid w:val="0079426B"/>
    <w:rsid w:val="00797296"/>
    <w:rsid w:val="007A15A3"/>
    <w:rsid w:val="007B04AD"/>
    <w:rsid w:val="007B6410"/>
    <w:rsid w:val="007C193E"/>
    <w:rsid w:val="007D1682"/>
    <w:rsid w:val="007D312A"/>
    <w:rsid w:val="007D3F19"/>
    <w:rsid w:val="007D73D5"/>
    <w:rsid w:val="007E23B0"/>
    <w:rsid w:val="007E23E5"/>
    <w:rsid w:val="007E2C99"/>
    <w:rsid w:val="007F1991"/>
    <w:rsid w:val="007F2C2F"/>
    <w:rsid w:val="007F55FC"/>
    <w:rsid w:val="007F5665"/>
    <w:rsid w:val="007F5BBF"/>
    <w:rsid w:val="00800112"/>
    <w:rsid w:val="00803364"/>
    <w:rsid w:val="00813348"/>
    <w:rsid w:val="008253BB"/>
    <w:rsid w:val="00834A83"/>
    <w:rsid w:val="0083706E"/>
    <w:rsid w:val="008408F6"/>
    <w:rsid w:val="008423A5"/>
    <w:rsid w:val="0084469A"/>
    <w:rsid w:val="0084488B"/>
    <w:rsid w:val="00850625"/>
    <w:rsid w:val="00853718"/>
    <w:rsid w:val="00855221"/>
    <w:rsid w:val="00860645"/>
    <w:rsid w:val="00864120"/>
    <w:rsid w:val="00871F71"/>
    <w:rsid w:val="00872FD8"/>
    <w:rsid w:val="00877104"/>
    <w:rsid w:val="0088152F"/>
    <w:rsid w:val="00883A38"/>
    <w:rsid w:val="00885AF4"/>
    <w:rsid w:val="00886A25"/>
    <w:rsid w:val="008939CD"/>
    <w:rsid w:val="008B5F82"/>
    <w:rsid w:val="008B768C"/>
    <w:rsid w:val="008C4DB1"/>
    <w:rsid w:val="008C4EAF"/>
    <w:rsid w:val="008C5176"/>
    <w:rsid w:val="008C5450"/>
    <w:rsid w:val="008C71AC"/>
    <w:rsid w:val="008C775A"/>
    <w:rsid w:val="008C7FD0"/>
    <w:rsid w:val="008D03E1"/>
    <w:rsid w:val="008D0494"/>
    <w:rsid w:val="008D38FE"/>
    <w:rsid w:val="008E1DE7"/>
    <w:rsid w:val="008E707C"/>
    <w:rsid w:val="00900B08"/>
    <w:rsid w:val="00902155"/>
    <w:rsid w:val="00902FA3"/>
    <w:rsid w:val="00904111"/>
    <w:rsid w:val="00911C5F"/>
    <w:rsid w:val="0091379F"/>
    <w:rsid w:val="00914766"/>
    <w:rsid w:val="00914B25"/>
    <w:rsid w:val="0092030A"/>
    <w:rsid w:val="00923564"/>
    <w:rsid w:val="0092392E"/>
    <w:rsid w:val="009254D0"/>
    <w:rsid w:val="009315F9"/>
    <w:rsid w:val="00933499"/>
    <w:rsid w:val="00935C98"/>
    <w:rsid w:val="0093703E"/>
    <w:rsid w:val="00946945"/>
    <w:rsid w:val="00951248"/>
    <w:rsid w:val="0095152F"/>
    <w:rsid w:val="00951C65"/>
    <w:rsid w:val="00954C49"/>
    <w:rsid w:val="0095525E"/>
    <w:rsid w:val="00955E37"/>
    <w:rsid w:val="00960869"/>
    <w:rsid w:val="0096293A"/>
    <w:rsid w:val="009703F3"/>
    <w:rsid w:val="0097099F"/>
    <w:rsid w:val="00971997"/>
    <w:rsid w:val="00971FFC"/>
    <w:rsid w:val="009757E8"/>
    <w:rsid w:val="00982D2D"/>
    <w:rsid w:val="009862E6"/>
    <w:rsid w:val="0098660A"/>
    <w:rsid w:val="00991C3F"/>
    <w:rsid w:val="009931C3"/>
    <w:rsid w:val="009A1A02"/>
    <w:rsid w:val="009A78F1"/>
    <w:rsid w:val="009B2C43"/>
    <w:rsid w:val="009B4EAE"/>
    <w:rsid w:val="009B7573"/>
    <w:rsid w:val="009C22F4"/>
    <w:rsid w:val="009C2A4B"/>
    <w:rsid w:val="009C2E98"/>
    <w:rsid w:val="009C3FCB"/>
    <w:rsid w:val="009D3447"/>
    <w:rsid w:val="009D4711"/>
    <w:rsid w:val="009D5C54"/>
    <w:rsid w:val="009D714D"/>
    <w:rsid w:val="009D7CA7"/>
    <w:rsid w:val="009E7231"/>
    <w:rsid w:val="009F1185"/>
    <w:rsid w:val="009F18CD"/>
    <w:rsid w:val="009F2A13"/>
    <w:rsid w:val="009F5D66"/>
    <w:rsid w:val="009F7527"/>
    <w:rsid w:val="00A04EB0"/>
    <w:rsid w:val="00A05065"/>
    <w:rsid w:val="00A13CC1"/>
    <w:rsid w:val="00A16847"/>
    <w:rsid w:val="00A20B0E"/>
    <w:rsid w:val="00A21B58"/>
    <w:rsid w:val="00A237D8"/>
    <w:rsid w:val="00A24B99"/>
    <w:rsid w:val="00A268C4"/>
    <w:rsid w:val="00A307CD"/>
    <w:rsid w:val="00A331C8"/>
    <w:rsid w:val="00A33BAD"/>
    <w:rsid w:val="00A35318"/>
    <w:rsid w:val="00A40A00"/>
    <w:rsid w:val="00A4142F"/>
    <w:rsid w:val="00A422EB"/>
    <w:rsid w:val="00A44721"/>
    <w:rsid w:val="00A45BB7"/>
    <w:rsid w:val="00A511D9"/>
    <w:rsid w:val="00A52548"/>
    <w:rsid w:val="00A52A90"/>
    <w:rsid w:val="00A55B65"/>
    <w:rsid w:val="00A56DF2"/>
    <w:rsid w:val="00A56E6E"/>
    <w:rsid w:val="00A64366"/>
    <w:rsid w:val="00A668CB"/>
    <w:rsid w:val="00A67AB5"/>
    <w:rsid w:val="00A7308F"/>
    <w:rsid w:val="00A733B2"/>
    <w:rsid w:val="00A741C2"/>
    <w:rsid w:val="00A7479C"/>
    <w:rsid w:val="00A761AB"/>
    <w:rsid w:val="00A77903"/>
    <w:rsid w:val="00A87EE5"/>
    <w:rsid w:val="00A91760"/>
    <w:rsid w:val="00A93B00"/>
    <w:rsid w:val="00A93C21"/>
    <w:rsid w:val="00A93F14"/>
    <w:rsid w:val="00A96416"/>
    <w:rsid w:val="00AA1E0B"/>
    <w:rsid w:val="00AA321E"/>
    <w:rsid w:val="00AA4409"/>
    <w:rsid w:val="00AA750B"/>
    <w:rsid w:val="00AB4664"/>
    <w:rsid w:val="00AB64C9"/>
    <w:rsid w:val="00AC3C6A"/>
    <w:rsid w:val="00AC4ACB"/>
    <w:rsid w:val="00AD5620"/>
    <w:rsid w:val="00AD656B"/>
    <w:rsid w:val="00AD6E58"/>
    <w:rsid w:val="00AD7C1B"/>
    <w:rsid w:val="00AE16BA"/>
    <w:rsid w:val="00AE1EBE"/>
    <w:rsid w:val="00AF2478"/>
    <w:rsid w:val="00B01A01"/>
    <w:rsid w:val="00B03C9D"/>
    <w:rsid w:val="00B060AE"/>
    <w:rsid w:val="00B07C86"/>
    <w:rsid w:val="00B10517"/>
    <w:rsid w:val="00B14E76"/>
    <w:rsid w:val="00B15889"/>
    <w:rsid w:val="00B161B8"/>
    <w:rsid w:val="00B17711"/>
    <w:rsid w:val="00B2048C"/>
    <w:rsid w:val="00B20B44"/>
    <w:rsid w:val="00B310B9"/>
    <w:rsid w:val="00B35F3F"/>
    <w:rsid w:val="00B36CBB"/>
    <w:rsid w:val="00B425E0"/>
    <w:rsid w:val="00B440AA"/>
    <w:rsid w:val="00B44B70"/>
    <w:rsid w:val="00B47230"/>
    <w:rsid w:val="00B5120F"/>
    <w:rsid w:val="00B516C8"/>
    <w:rsid w:val="00B53C56"/>
    <w:rsid w:val="00B57DAF"/>
    <w:rsid w:val="00B75D18"/>
    <w:rsid w:val="00B77EA6"/>
    <w:rsid w:val="00B807E7"/>
    <w:rsid w:val="00B81598"/>
    <w:rsid w:val="00B8226C"/>
    <w:rsid w:val="00B837B2"/>
    <w:rsid w:val="00B841F1"/>
    <w:rsid w:val="00B84ED0"/>
    <w:rsid w:val="00B944D6"/>
    <w:rsid w:val="00BA0C37"/>
    <w:rsid w:val="00BA2A98"/>
    <w:rsid w:val="00BA6C90"/>
    <w:rsid w:val="00BA77E2"/>
    <w:rsid w:val="00BB4DF0"/>
    <w:rsid w:val="00BC1DB1"/>
    <w:rsid w:val="00BC289F"/>
    <w:rsid w:val="00BC2D50"/>
    <w:rsid w:val="00BC502E"/>
    <w:rsid w:val="00BC5361"/>
    <w:rsid w:val="00BC5460"/>
    <w:rsid w:val="00BC6B50"/>
    <w:rsid w:val="00BD0E25"/>
    <w:rsid w:val="00BE3703"/>
    <w:rsid w:val="00BE3FF5"/>
    <w:rsid w:val="00BE6D87"/>
    <w:rsid w:val="00BF2608"/>
    <w:rsid w:val="00BF5BD6"/>
    <w:rsid w:val="00C0289C"/>
    <w:rsid w:val="00C03E31"/>
    <w:rsid w:val="00C10B40"/>
    <w:rsid w:val="00C14962"/>
    <w:rsid w:val="00C14C84"/>
    <w:rsid w:val="00C158DF"/>
    <w:rsid w:val="00C242DA"/>
    <w:rsid w:val="00C32C83"/>
    <w:rsid w:val="00C33E72"/>
    <w:rsid w:val="00C354B2"/>
    <w:rsid w:val="00C35554"/>
    <w:rsid w:val="00C41A76"/>
    <w:rsid w:val="00C42709"/>
    <w:rsid w:val="00C444A8"/>
    <w:rsid w:val="00C44A85"/>
    <w:rsid w:val="00C50B7C"/>
    <w:rsid w:val="00C533CC"/>
    <w:rsid w:val="00C54967"/>
    <w:rsid w:val="00C5751C"/>
    <w:rsid w:val="00C578A5"/>
    <w:rsid w:val="00C61BFC"/>
    <w:rsid w:val="00C62B85"/>
    <w:rsid w:val="00C65438"/>
    <w:rsid w:val="00C6671E"/>
    <w:rsid w:val="00C6729E"/>
    <w:rsid w:val="00C72B61"/>
    <w:rsid w:val="00C753E1"/>
    <w:rsid w:val="00C77697"/>
    <w:rsid w:val="00C823F0"/>
    <w:rsid w:val="00C82564"/>
    <w:rsid w:val="00C82831"/>
    <w:rsid w:val="00C87FD8"/>
    <w:rsid w:val="00C90413"/>
    <w:rsid w:val="00C91381"/>
    <w:rsid w:val="00C91CBB"/>
    <w:rsid w:val="00C962D6"/>
    <w:rsid w:val="00CA0C21"/>
    <w:rsid w:val="00CA10F2"/>
    <w:rsid w:val="00CA128A"/>
    <w:rsid w:val="00CA5629"/>
    <w:rsid w:val="00CA575B"/>
    <w:rsid w:val="00CA63A4"/>
    <w:rsid w:val="00CB4E70"/>
    <w:rsid w:val="00CC09B6"/>
    <w:rsid w:val="00CC0A13"/>
    <w:rsid w:val="00CC40A5"/>
    <w:rsid w:val="00CC666F"/>
    <w:rsid w:val="00CD1E3F"/>
    <w:rsid w:val="00CD7081"/>
    <w:rsid w:val="00CE3809"/>
    <w:rsid w:val="00CE44F6"/>
    <w:rsid w:val="00CE49DA"/>
    <w:rsid w:val="00CE7B61"/>
    <w:rsid w:val="00CF244B"/>
    <w:rsid w:val="00CF4F57"/>
    <w:rsid w:val="00D00095"/>
    <w:rsid w:val="00D06BB7"/>
    <w:rsid w:val="00D114F0"/>
    <w:rsid w:val="00D13AAB"/>
    <w:rsid w:val="00D151EC"/>
    <w:rsid w:val="00D20620"/>
    <w:rsid w:val="00D218B7"/>
    <w:rsid w:val="00D22034"/>
    <w:rsid w:val="00D24577"/>
    <w:rsid w:val="00D254F7"/>
    <w:rsid w:val="00D26091"/>
    <w:rsid w:val="00D2685C"/>
    <w:rsid w:val="00D345C5"/>
    <w:rsid w:val="00D34E7C"/>
    <w:rsid w:val="00D35489"/>
    <w:rsid w:val="00D36AFE"/>
    <w:rsid w:val="00D42422"/>
    <w:rsid w:val="00D429A3"/>
    <w:rsid w:val="00D51276"/>
    <w:rsid w:val="00D52901"/>
    <w:rsid w:val="00D659DE"/>
    <w:rsid w:val="00D7035F"/>
    <w:rsid w:val="00D77AF0"/>
    <w:rsid w:val="00D87857"/>
    <w:rsid w:val="00D97212"/>
    <w:rsid w:val="00D97A06"/>
    <w:rsid w:val="00DA634F"/>
    <w:rsid w:val="00DA65AC"/>
    <w:rsid w:val="00DB1913"/>
    <w:rsid w:val="00DB3CBB"/>
    <w:rsid w:val="00DB4070"/>
    <w:rsid w:val="00DC3683"/>
    <w:rsid w:val="00DC410D"/>
    <w:rsid w:val="00DC42B7"/>
    <w:rsid w:val="00DC5A81"/>
    <w:rsid w:val="00DC68CA"/>
    <w:rsid w:val="00DC7CBA"/>
    <w:rsid w:val="00DD4C05"/>
    <w:rsid w:val="00DD6121"/>
    <w:rsid w:val="00DD73B7"/>
    <w:rsid w:val="00DF2032"/>
    <w:rsid w:val="00DF2296"/>
    <w:rsid w:val="00DF28BC"/>
    <w:rsid w:val="00DF34B9"/>
    <w:rsid w:val="00DF5408"/>
    <w:rsid w:val="00E01053"/>
    <w:rsid w:val="00E07ACF"/>
    <w:rsid w:val="00E07E72"/>
    <w:rsid w:val="00E27793"/>
    <w:rsid w:val="00E30E5F"/>
    <w:rsid w:val="00E331A1"/>
    <w:rsid w:val="00E33202"/>
    <w:rsid w:val="00E336A9"/>
    <w:rsid w:val="00E356DE"/>
    <w:rsid w:val="00E35C91"/>
    <w:rsid w:val="00E472B1"/>
    <w:rsid w:val="00E50624"/>
    <w:rsid w:val="00E51605"/>
    <w:rsid w:val="00E568DF"/>
    <w:rsid w:val="00E64269"/>
    <w:rsid w:val="00E76982"/>
    <w:rsid w:val="00E82267"/>
    <w:rsid w:val="00E853CE"/>
    <w:rsid w:val="00E867B6"/>
    <w:rsid w:val="00EA010F"/>
    <w:rsid w:val="00EA446B"/>
    <w:rsid w:val="00EC021D"/>
    <w:rsid w:val="00EC2E7B"/>
    <w:rsid w:val="00ED1486"/>
    <w:rsid w:val="00ED1B63"/>
    <w:rsid w:val="00ED2740"/>
    <w:rsid w:val="00ED39B2"/>
    <w:rsid w:val="00ED3C1F"/>
    <w:rsid w:val="00ED4085"/>
    <w:rsid w:val="00ED420E"/>
    <w:rsid w:val="00ED6FBE"/>
    <w:rsid w:val="00EE2F57"/>
    <w:rsid w:val="00EF4C34"/>
    <w:rsid w:val="00EF77C6"/>
    <w:rsid w:val="00F05438"/>
    <w:rsid w:val="00F1361C"/>
    <w:rsid w:val="00F156F0"/>
    <w:rsid w:val="00F160C7"/>
    <w:rsid w:val="00F213DE"/>
    <w:rsid w:val="00F2408F"/>
    <w:rsid w:val="00F240E9"/>
    <w:rsid w:val="00F27F47"/>
    <w:rsid w:val="00F36D8F"/>
    <w:rsid w:val="00F373AE"/>
    <w:rsid w:val="00F401EF"/>
    <w:rsid w:val="00F417B1"/>
    <w:rsid w:val="00F41C64"/>
    <w:rsid w:val="00F452DC"/>
    <w:rsid w:val="00F45853"/>
    <w:rsid w:val="00F57E2C"/>
    <w:rsid w:val="00F602DF"/>
    <w:rsid w:val="00F66827"/>
    <w:rsid w:val="00F750A5"/>
    <w:rsid w:val="00F754A1"/>
    <w:rsid w:val="00F81FD9"/>
    <w:rsid w:val="00F841AA"/>
    <w:rsid w:val="00F84A94"/>
    <w:rsid w:val="00F87E96"/>
    <w:rsid w:val="00F923B1"/>
    <w:rsid w:val="00F93E0A"/>
    <w:rsid w:val="00F94737"/>
    <w:rsid w:val="00FA070E"/>
    <w:rsid w:val="00FA14EE"/>
    <w:rsid w:val="00FA23E8"/>
    <w:rsid w:val="00FB233B"/>
    <w:rsid w:val="00FB3B66"/>
    <w:rsid w:val="00FC753F"/>
    <w:rsid w:val="00FD3CC1"/>
    <w:rsid w:val="00FE6F44"/>
    <w:rsid w:val="00FF1E02"/>
    <w:rsid w:val="00FF30B4"/>
    <w:rsid w:val="00FF540A"/>
    <w:rsid w:val="0A2032A3"/>
    <w:rsid w:val="0B8A37D8"/>
    <w:rsid w:val="10C055FF"/>
    <w:rsid w:val="118107EC"/>
    <w:rsid w:val="11DD6519"/>
    <w:rsid w:val="16BB723D"/>
    <w:rsid w:val="18015F3F"/>
    <w:rsid w:val="1B0F5476"/>
    <w:rsid w:val="1BE8440E"/>
    <w:rsid w:val="1D155CEE"/>
    <w:rsid w:val="20F57F95"/>
    <w:rsid w:val="240371BF"/>
    <w:rsid w:val="25C741E6"/>
    <w:rsid w:val="27842671"/>
    <w:rsid w:val="29FD04D3"/>
    <w:rsid w:val="2ABE7A3E"/>
    <w:rsid w:val="2EFA178C"/>
    <w:rsid w:val="30B46D73"/>
    <w:rsid w:val="319F7F4E"/>
    <w:rsid w:val="39AE70AB"/>
    <w:rsid w:val="3C0C0783"/>
    <w:rsid w:val="3F795B0E"/>
    <w:rsid w:val="3F9F3A96"/>
    <w:rsid w:val="493C27E9"/>
    <w:rsid w:val="496F39ED"/>
    <w:rsid w:val="49FF41D3"/>
    <w:rsid w:val="4A185DC8"/>
    <w:rsid w:val="4BE068DB"/>
    <w:rsid w:val="4BF6002B"/>
    <w:rsid w:val="4ECE2238"/>
    <w:rsid w:val="51DB4B86"/>
    <w:rsid w:val="55333C3E"/>
    <w:rsid w:val="64CA39A1"/>
    <w:rsid w:val="6C4A05C8"/>
    <w:rsid w:val="72734D90"/>
    <w:rsid w:val="79E7B28D"/>
    <w:rsid w:val="7ED16040"/>
    <w:rsid w:val="7F9F20EE"/>
    <w:rsid w:val="9E3A10E2"/>
    <w:rsid w:val="F2E1F9D4"/>
    <w:rsid w:val="F7880819"/>
    <w:rsid w:val="FFBFD0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2071</Words>
  <Characters>11807</Characters>
  <Lines>98</Lines>
  <Paragraphs>27</Paragraphs>
  <TotalTime>429</TotalTime>
  <ScaleCrop>false</ScaleCrop>
  <LinksUpToDate>false</LinksUpToDate>
  <CharactersWithSpaces>13851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你我皆星尘</cp:lastModifiedBy>
  <cp:lastPrinted>2022-09-30T16:43:00Z</cp:lastPrinted>
  <dcterms:modified xsi:type="dcterms:W3CDTF">2025-11-03T09:08:35Z</dcterms:modified>
  <dc:title>四川省***</dc:title>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18C4299B72334D3095585539B3212D20</vt:lpwstr>
  </property>
</Properties>
</file>