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旺苍县国营苗圃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2022年部门预算及绩效目标情况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bookmarkStart w:id="0" w:name="_Toc3472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说  明</w:t>
      </w:r>
      <w:bookmarkEnd w:id="0"/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/>
          <w:highlight w:val="none"/>
          <w:lang w:val="en-US" w:eastAsia="zh-CN"/>
        </w:rPr>
      </w:pPr>
    </w:p>
    <w:p>
      <w:pPr>
        <w:rPr>
          <w:rFonts w:hint="eastAsia"/>
          <w:highlight w:val="none"/>
          <w:lang w:val="en-US" w:eastAsia="zh-CN"/>
        </w:rPr>
      </w:pPr>
    </w:p>
    <w:sdt>
      <w:sdt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id w:val="147479987"/>
        <w15:color w:val="DBDBDB"/>
        <w:docPartObj>
          <w:docPartGallery w:val="Table of Contents"/>
          <w:docPartUnique/>
        </w:docPartObj>
      </w:sdtPr>
      <w:sdtEndPr>
        <w:rPr>
          <w:rFonts w:hint="eastAsia" w:asciiTheme="minorHAnsi" w:hAnsiTheme="minorHAnsi" w:eastAsiaTheme="minorEastAsia" w:cstheme="minorBidi"/>
          <w:b w:val="0"/>
          <w:bCs w:val="0"/>
          <w:kern w:val="2"/>
          <w:sz w:val="21"/>
          <w:szCs w:val="22"/>
          <w:highlight w:val="none"/>
          <w:lang w:val="en-US" w:eastAsia="zh-CN" w:bidi="ar-SA"/>
        </w:rPr>
      </w:sdtEndPr>
      <w:sdtContent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680" w:lineRule="exact"/>
            <w:ind w:firstLine="880" w:firstLineChars="200"/>
            <w:jc w:val="center"/>
            <w:textAlignment w:val="auto"/>
            <w:rPr>
              <w:rFonts w:hint="eastAsia" w:ascii="方正小标宋简体" w:hAnsi="方正小标宋简体" w:eastAsia="方正小标宋简体" w:cs="方正小标宋简体"/>
              <w:b w:val="0"/>
              <w:bCs w:val="0"/>
              <w:sz w:val="44"/>
              <w:szCs w:val="44"/>
              <w:highlight w:val="none"/>
              <w:lang w:val="en-US" w:eastAsia="zh-CN"/>
            </w:rPr>
          </w:pPr>
          <w:r>
            <w:rPr>
              <w:rFonts w:hint="eastAsia" w:ascii="方正小标宋简体" w:hAnsi="方正小标宋简体" w:eastAsia="方正小标宋简体" w:cs="方正小标宋简体"/>
              <w:b w:val="0"/>
              <w:bCs w:val="0"/>
              <w:sz w:val="44"/>
              <w:szCs w:val="44"/>
              <w:highlight w:val="none"/>
              <w:lang w:val="en-US" w:eastAsia="zh-CN"/>
            </w:rPr>
            <w:t>目录</w:t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highlight w:val="none"/>
            </w:rPr>
          </w:pPr>
          <w:r>
            <w:rPr>
              <w:rFonts w:hint="eastAsia"/>
              <w:highlight w:val="none"/>
              <w:lang w:val="en-US" w:eastAsia="zh-CN"/>
            </w:rPr>
            <w:fldChar w:fldCharType="begin"/>
          </w:r>
          <w:r>
            <w:rPr>
              <w:rFonts w:hint="eastAsia"/>
              <w:highlight w:val="none"/>
              <w:lang w:val="en-US" w:eastAsia="zh-CN"/>
            </w:rPr>
            <w:instrText xml:space="preserve">TOC \o "1-3" \h \u </w:instrText>
          </w:r>
          <w:r>
            <w:rPr>
              <w:rFonts w:hint="eastAsia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_Toc1316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bCs w:val="0"/>
              <w:sz w:val="28"/>
              <w:szCs w:val="28"/>
              <w:highlight w:val="none"/>
              <w:lang w:val="en-US" w:eastAsia="zh-CN"/>
            </w:rPr>
            <w:t>一、 基本情况、只能和主要工作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3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highlight w:val="none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_Toc21306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二、收支预算情况说明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3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_Toc51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（一）收入预算情况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_Toc21129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（二）支出预算情况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3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_Toc13049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三、财政拨款收支预算情况说明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highlight w:val="none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_Toc8640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四、一般公共预算当年拨款情况说明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_Toc8663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（一）一般公共预算当年拨款规模变化情况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_Toc1604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（二）一般公共预算当年拨款结构情况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_Toc3347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（三）一般公共预算当年拨款具体使用情况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_Toc30159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五、一般公共预算基本支出情况说明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4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_Toc14287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六、“三公”经费财政拨款预算安排情况说明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_Toc25122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七、政府性基金预算支出情况说明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_Toc9058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八、国有资本经营预算支出情况说明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_Toc11112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九、其他重要事项的情况说明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_Toc19123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（一）机关运行经费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_Toc13999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（二）政府采购情况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_Toc1360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（三）国有资产占有使用情况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2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highlight w:val="none"/>
            </w:rPr>
          </w:pP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instrText xml:space="preserve"> HYPERLINK \l _Toc20766 </w:instrTex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（四）绩效评价及绩效目标设置情况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5</w:t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fldChar w:fldCharType="end"/>
          </w:r>
        </w:p>
        <w:p>
          <w:pPr>
            <w:pStyle w:val="11"/>
            <w:keepNext w:val="0"/>
            <w:keepLines w:val="0"/>
            <w:pageBreakBefore w:val="0"/>
            <w:tabs>
              <w:tab w:val="right" w:leader="dot" w:pos="8306"/>
            </w:tabs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highlight w:val="none"/>
            </w:rPr>
          </w:pP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instrText xml:space="preserve"> HYPERLINK \l _Toc14419 </w:instrTex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>十、专用名词解释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" w:hAnsi="仿宋" w:eastAsia="仿宋" w:cs="仿宋"/>
              <w:sz w:val="24"/>
              <w:szCs w:val="24"/>
              <w:highlight w:val="none"/>
              <w:lang w:val="en-US" w:eastAsia="zh-CN"/>
            </w:rPr>
            <w:t>6</w:t>
          </w:r>
          <w:r>
            <w:rPr>
              <w:rFonts w:hint="eastAsia" w:ascii="黑体" w:hAnsi="黑体" w:eastAsia="黑体" w:cs="黑体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keepNext w:val="0"/>
            <w:keepLines w:val="0"/>
            <w:pageBreakBefore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60" w:lineRule="exact"/>
            <w:textAlignment w:val="auto"/>
            <w:rPr>
              <w:rFonts w:hint="eastAsia"/>
              <w:highlight w:val="none"/>
              <w:lang w:val="en-US" w:eastAsia="zh-CN"/>
            </w:rPr>
          </w:pPr>
          <w:r>
            <w:rPr>
              <w:rFonts w:hint="eastAsia"/>
              <w:highlight w:val="none"/>
              <w:lang w:val="en-US" w:eastAsia="zh-CN"/>
            </w:rPr>
            <w:fldChar w:fldCharType="end"/>
          </w:r>
        </w:p>
      </w:sdtContent>
    </w:sdt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一、基本情况、职能</w:t>
      </w:r>
      <w:r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和主要工作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旺苍县国营苗圃是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旺苍县林业局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下属二级预算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，内设办公室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综合业务室、财务室。 总编制18名，其中事业编制18 名。在职人员总数8人，全部为事业人员8人；离退休人员12人。经费形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式为收支统管，全额保障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highlight w:val="none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固定资产总额173万元。基本职能职责如下：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1.贯彻执行国家有关苗木的方针政策和法律法规；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2.负责制定林并组织实施全县林木种苗发展规划和年度生产计划；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3.负责指导全县林木种苗和城市绿化苗木的生产与培育；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4.负责苗木培育新技术的引进和推广；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5.负责管护松米山市级森林公园；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333333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6.承担上级主管部门交办的其他工作任务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" w:name="_Toc21306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二、收支预算情况说明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按照综合预算的原则，所有收入和支出均纳入部门预算管理。2022年收支总预算931865元，比2021年收支预算总数减少550783元，主要原因为单位人员减少。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bookmarkStart w:id="2" w:name="_Toc51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（一）收入预算情况</w:t>
      </w:r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2022年收入预算931865元，其中：一般公共预算拨款收入931865，占100%；政府性基金预算拨款收入0元，占0%；国有资本经营预算拨款收入0元，占0%。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bookmarkStart w:id="3" w:name="_Toc21129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（二）支出预算情况</w:t>
      </w:r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2022年支出预算931865元，其中：基本支出931865元，占100%；项目支出0元，占0%。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4" w:name="_Toc13049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三、财政</w:t>
      </w:r>
      <w:r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拨款</w:t>
      </w:r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收支预算情况说明</w:t>
      </w:r>
      <w:bookmarkEnd w:id="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2022年财政拨款收支总预算931865元，比2021年收支预算总数减少550783元，变动的主要原因为单位人员减少。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收入包括：本年一般公共预算拨款收入931865元、政府性基金预算拨款收入0元，国有资本经营预算拨款收入0。支出包括：一般公共服务支出0元。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5" w:name="_Toc8640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四、一般公共预算当年拨款情况说明</w:t>
      </w:r>
      <w:bookmarkEnd w:id="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bookmarkStart w:id="6" w:name="_Toc8663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（一）一般公共预算当年拨款规模变化情况</w:t>
      </w:r>
      <w:bookmarkEnd w:id="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2022年一般公共预算当年拨款931865元，比2021年收支预算总数减少550783元，变动的主要原因为单位人员减少。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bookmarkStart w:id="7" w:name="_Toc1604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（二）一般公共预算当年拨款结构情况</w:t>
      </w:r>
      <w:bookmarkEnd w:id="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一般公共服务支出0元，占0%；公共安全支出0元，占0%；教育支出0元，占0%。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bookmarkStart w:id="8" w:name="_Toc3347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（三）一般公共预算当年拨款具体使用情况</w:t>
      </w:r>
      <w:bookmarkEnd w:id="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1.一般公共服务（类）人大事务（款）行政运行（项）2022年预算数为0元。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2.一般公共服务（类）人大事务（款）一般行政管理事务（项目）2022年预算数为0元。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9" w:name="_Toc30159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五、一般公共预算基本支出情况说明</w:t>
      </w:r>
      <w:bookmarkEnd w:id="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2022年一般公共预算基本支出931865元，其中：人员经费851865元，主要包括：基本工资、津贴补贴、奖金、社会保险缴费等支出。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公用经费80000元，主要包括：办公费、印刷费、水费、电费、邮电费、差旅费、维修（护）费、物业管理费、劳务费等支出。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0" w:name="_Toc14287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六、“三公”经费财政拨款预算安排情况说明</w:t>
      </w:r>
      <w:bookmarkEnd w:id="1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2022年财政拨款安排“三公”经费预算0元。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1" w:name="_Toc25122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七、政府性基金预算支出情况说明</w:t>
      </w:r>
      <w:bookmarkEnd w:id="1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2022年政府性基金预算拨款安排的支出0元。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2" w:name="_Toc9058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八、国有资本经营预算支出情况说明</w:t>
      </w:r>
      <w:bookmarkEnd w:id="1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2022年国有资本经营预算拨款安排的支出0元。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3" w:name="_Toc11112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九、其他重要事项的情况说明</w:t>
      </w:r>
      <w:bookmarkEnd w:id="13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4" w:name="_Toc19123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（一）机关运行经费</w:t>
      </w:r>
      <w:bookmarkEnd w:id="14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2022年，机关运行经费财政拨款预算为0元。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5" w:name="_Toc13999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（二）政府采购情况</w:t>
      </w:r>
      <w:bookmarkEnd w:id="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2022年，安排政府采购预算0元。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6" w:name="_Toc1360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（三）国有资产占有使用情况</w:t>
      </w:r>
      <w:bookmarkEnd w:id="1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截至2021年底，我单位无一般公务用车、执法执勤用车。2022年部门预算未安排购置车辆。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7" w:name="_Toc20766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（四）绩效评价</w:t>
      </w:r>
      <w:r>
        <w:rPr>
          <w:rFonts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及绩效</w:t>
      </w:r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目标设置情况</w:t>
      </w:r>
      <w:bookmarkEnd w:id="1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按《旺苍县财政支出绩效评价管理办法》规定，我单位编制了部门整体支出绩效目标。我单位将牢牢树立绩效管理理念、强化主体意识、落实工作责任，切实将绩效评价作为改进工作管理、提升工作水平、提高资金效益的有力措施。在开展评价工作中，积极提供资料、主动配合工作，共同推进绩效评价有序开展、取得实效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8" w:name="_Toc14419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十、专用名词解释</w:t>
      </w:r>
      <w:bookmarkEnd w:id="1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1、一般公共预算拨款收入。指财政当年拨付的资金。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2、基本支出：指为保障机构正常运转、完成日常工作任务而发生的人员支出和公用支出。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3、绩效评价：财政绩效评价也称政府支出绩效评价，是指运用一定的评价方法、量化指标及评价标准，对政府部门为实现其职能所确定的绩效目标的实现程度</w:t>
      </w:r>
      <w:bookmarkStart w:id="19" w:name="_GoBack"/>
      <w:bookmarkEnd w:id="19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以及为实现这一目标所安排预算的执行结果进行的综合性评价。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4、机关运行经费。为保障行政单位（包括参照公务员法管理的事业单位）运行用于购买货物和服务的各项资金。包括办公及印刷费、邮电费、差旅费、会议费、福利费、日常维修费、公务接待费、专用材料及一般设备购置费、办公用房水电费、办公用房物业管理费、公务用车运行维护费以及其他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5、社会保障和就业（类）行政事业单位离退休（款）机关事业单位基本养老保险缴费支出（项）。指部门实施养老保险制度后，由单位缴纳的养老保险费的支出。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6、卫生健康（类）行政事业单位医疗（款）事业单位医疗（项）。指事业单位用于缴纳单位基本医疗保险支出。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7、住房保障（类）住房改革支出（款）住房公积金（项）。指按照《住房公积金管理条例》的规定，由单位及其在职职工缴存的长期住房储金。</w:t>
      </w:r>
    </w:p>
    <w:p>
      <w:pPr>
        <w:widowControl/>
        <w:shd w:val="clear" w:color="auto" w:fill="FFFFFF"/>
        <w:spacing w:line="560" w:lineRule="exact"/>
        <w:ind w:firstLine="640" w:firstLineChars="200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52072620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6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M2MDcyMzMzMTA3NzhlNjRhNTlkYzNjMzgyZmIwZDkifQ=="/>
  </w:docVars>
  <w:rsids>
    <w:rsidRoot w:val="00BB5391"/>
    <w:rsid w:val="00052F1C"/>
    <w:rsid w:val="000B785C"/>
    <w:rsid w:val="00161957"/>
    <w:rsid w:val="002422E0"/>
    <w:rsid w:val="002A63AB"/>
    <w:rsid w:val="00461C1F"/>
    <w:rsid w:val="004678FA"/>
    <w:rsid w:val="00475D25"/>
    <w:rsid w:val="004A08FD"/>
    <w:rsid w:val="004E3253"/>
    <w:rsid w:val="005423BA"/>
    <w:rsid w:val="00612517"/>
    <w:rsid w:val="00672132"/>
    <w:rsid w:val="006C2636"/>
    <w:rsid w:val="00765CD1"/>
    <w:rsid w:val="007778B7"/>
    <w:rsid w:val="007F34CF"/>
    <w:rsid w:val="00A372A6"/>
    <w:rsid w:val="00AF7787"/>
    <w:rsid w:val="00B179AD"/>
    <w:rsid w:val="00B603FB"/>
    <w:rsid w:val="00BB5391"/>
    <w:rsid w:val="00BB579F"/>
    <w:rsid w:val="00BF4C33"/>
    <w:rsid w:val="00C74BA3"/>
    <w:rsid w:val="00D37AFA"/>
    <w:rsid w:val="00D60952"/>
    <w:rsid w:val="00D8617D"/>
    <w:rsid w:val="00DA746F"/>
    <w:rsid w:val="00FA15EA"/>
    <w:rsid w:val="05DE36F7"/>
    <w:rsid w:val="077B14C4"/>
    <w:rsid w:val="0D166129"/>
    <w:rsid w:val="12B02AC5"/>
    <w:rsid w:val="18775797"/>
    <w:rsid w:val="1A9E01C6"/>
    <w:rsid w:val="1BF956CF"/>
    <w:rsid w:val="1F2E743E"/>
    <w:rsid w:val="21DA7AE4"/>
    <w:rsid w:val="25FF5216"/>
    <w:rsid w:val="29990407"/>
    <w:rsid w:val="2A94196C"/>
    <w:rsid w:val="42750D5C"/>
    <w:rsid w:val="48B4155D"/>
    <w:rsid w:val="4AD41E7B"/>
    <w:rsid w:val="4B325474"/>
    <w:rsid w:val="4F607F88"/>
    <w:rsid w:val="55620380"/>
    <w:rsid w:val="59DB0C6F"/>
    <w:rsid w:val="5AEE2D41"/>
    <w:rsid w:val="642D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next w:val="1"/>
    <w:qFormat/>
    <w:uiPriority w:val="39"/>
    <w:pPr>
      <w:keepNext/>
      <w:keepLines/>
      <w:spacing w:before="480" w:beforeAutospacing="0" w:after="0" w:afterAutospacing="0" w:line="276" w:lineRule="auto"/>
      <w:jc w:val="both"/>
      <w:outlineLvl w:val="9"/>
    </w:pPr>
    <w:rPr>
      <w:rFonts w:ascii="仿宋" w:hAnsi="仿宋" w:eastAsia="仿宋" w:cs="Times New Roman"/>
      <w:color w:val="000000"/>
      <w:kern w:val="0"/>
      <w:sz w:val="32"/>
      <w:szCs w:val="32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paragraph" w:customStyle="1" w:styleId="11">
    <w:name w:val="WPSOffice手动目录 1"/>
    <w:qFormat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2">
    <w:name w:val="WPSOffice手动目录 2"/>
    <w:qFormat/>
    <w:uiPriority w:val="0"/>
    <w:pPr>
      <w:ind w:leftChars="200"/>
    </w:pPr>
    <w:rPr>
      <w:rFonts w:ascii="Times New Roman" w:hAnsi="Times New Roman" w:eastAsia="宋体" w:cs="Times New Roman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A22A4-97C1-489E-87A1-AA4B3A5E723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1803</Words>
  <Characters>1956</Characters>
  <Lines>19</Lines>
  <Paragraphs>5</Paragraphs>
  <TotalTime>1</TotalTime>
  <ScaleCrop>false</ScaleCrop>
  <LinksUpToDate>false</LinksUpToDate>
  <CharactersWithSpaces>1960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2018-02-02T00:59:00Z</dcterms:created>
  <dc:creator>HP</dc:creator>
  <cp:lastModifiedBy>向红桔</cp:lastModifiedBy>
  <dcterms:modified xsi:type="dcterms:W3CDTF">2025-01-07T04:23:12Z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C8729D942B83443C8CD8ABE5A08C7499_13</vt:lpwstr>
  </property>
</Properties>
</file>