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8"/>
          <w:szCs w:val="48"/>
        </w:rPr>
      </w:pPr>
    </w:p>
    <w:p>
      <w:pPr>
        <w:pStyle w:val="2"/>
        <w:rPr>
          <w:rFonts w:hint="eastAsia" w:ascii="黑体" w:hAnsi="黑体" w:eastAsia="黑体" w:cs="黑体"/>
          <w:sz w:val="48"/>
          <w:szCs w:val="48"/>
        </w:rPr>
      </w:pPr>
    </w:p>
    <w:p>
      <w:pPr>
        <w:pStyle w:val="2"/>
        <w:rPr>
          <w:rFonts w:hint="eastAsia" w:ascii="黑体" w:hAnsi="黑体" w:eastAsia="黑体" w:cs="黑体"/>
          <w:sz w:val="48"/>
          <w:szCs w:val="48"/>
        </w:rPr>
      </w:pPr>
    </w:p>
    <w:p>
      <w:pPr>
        <w:pStyle w:val="2"/>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b/>
          <w:bCs/>
          <w:sz w:val="84"/>
          <w:szCs w:val="84"/>
        </w:rPr>
      </w:pPr>
      <w:r>
        <w:rPr>
          <w:rFonts w:hint="eastAsia" w:ascii="黑体" w:hAnsi="黑体" w:eastAsia="黑体" w:cs="黑体"/>
          <w:b/>
          <w:bCs/>
          <w:sz w:val="84"/>
          <w:szCs w:val="84"/>
        </w:rPr>
        <w:t>旺苍县</w:t>
      </w:r>
    </w:p>
    <w:p>
      <w:pPr>
        <w:jc w:val="center"/>
        <w:rPr>
          <w:rFonts w:hint="eastAsia" w:ascii="黑体" w:hAnsi="黑体" w:eastAsia="黑体" w:cs="黑体"/>
          <w:b/>
          <w:bCs/>
          <w:sz w:val="84"/>
          <w:szCs w:val="84"/>
        </w:rPr>
      </w:pPr>
      <w:r>
        <w:rPr>
          <w:rFonts w:hint="eastAsia" w:ascii="黑体" w:hAnsi="黑体" w:eastAsia="黑体" w:cs="黑体"/>
          <w:b/>
          <w:bCs/>
          <w:sz w:val="84"/>
          <w:szCs w:val="84"/>
        </w:rPr>
        <w:t>202</w:t>
      </w:r>
      <w:r>
        <w:rPr>
          <w:rFonts w:hint="eastAsia" w:ascii="黑体" w:hAnsi="黑体" w:eastAsia="黑体" w:cs="黑体"/>
          <w:b/>
          <w:bCs/>
          <w:sz w:val="84"/>
          <w:szCs w:val="84"/>
          <w:lang w:val="en-US" w:eastAsia="zh-CN"/>
        </w:rPr>
        <w:t>0</w:t>
      </w:r>
      <w:r>
        <w:rPr>
          <w:rFonts w:hint="eastAsia" w:ascii="黑体" w:hAnsi="黑体" w:eastAsia="黑体" w:cs="黑体"/>
          <w:b/>
          <w:bCs/>
          <w:sz w:val="84"/>
          <w:szCs w:val="84"/>
        </w:rPr>
        <w:t>年部门整体支出绩效评价报告</w:t>
      </w: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rPr>
          <w:rFonts w:hint="eastAsia" w:ascii="方正小标宋简体" w:hAnsi="方正小标宋简体" w:eastAsia="方正小标宋简体" w:cs="方正小标宋简体"/>
          <w:b/>
          <w:bCs/>
          <w:color w:val="auto"/>
          <w:sz w:val="48"/>
          <w:szCs w:val="48"/>
          <w:lang w:eastAsia="zh-CN"/>
        </w:rPr>
      </w:pPr>
      <w:r>
        <w:rPr>
          <w:rFonts w:hint="eastAsia" w:ascii="方正小标宋简体" w:hAnsi="方正小标宋简体" w:eastAsia="方正小标宋简体" w:cs="方正小标宋简体"/>
          <w:b/>
          <w:bCs/>
          <w:color w:val="auto"/>
          <w:sz w:val="48"/>
          <w:szCs w:val="48"/>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bCs/>
          <w:color w:val="auto"/>
          <w:sz w:val="48"/>
          <w:szCs w:val="48"/>
          <w:lang w:val="en-US" w:eastAsia="zh-CN"/>
        </w:rPr>
      </w:pPr>
      <w:r>
        <w:rPr>
          <w:rFonts w:hint="eastAsia" w:ascii="方正小标宋简体" w:hAnsi="方正小标宋简体" w:eastAsia="方正小标宋简体" w:cs="方正小标宋简体"/>
          <w:b/>
          <w:bCs/>
          <w:color w:val="auto"/>
          <w:sz w:val="48"/>
          <w:szCs w:val="48"/>
          <w:lang w:eastAsia="zh-CN"/>
        </w:rPr>
        <w:t>旺</w:t>
      </w:r>
      <w:r>
        <w:rPr>
          <w:rFonts w:hint="eastAsia" w:ascii="方正小标宋简体" w:hAnsi="方正小标宋简体" w:eastAsia="方正小标宋简体" w:cs="方正小标宋简体"/>
          <w:b/>
          <w:bCs/>
          <w:color w:val="auto"/>
          <w:sz w:val="48"/>
          <w:szCs w:val="48"/>
          <w:lang w:val="en-US" w:eastAsia="zh-CN"/>
        </w:rPr>
        <w:t>苍县供销合作社联合社部门整体支出</w:t>
      </w:r>
    </w:p>
    <w:p>
      <w:pPr>
        <w:jc w:val="center"/>
        <w:rPr>
          <w:rFonts w:ascii="方正小标宋简体" w:hAnsi="方正小标宋简体"/>
          <w:b/>
          <w:sz w:val="44"/>
          <w:szCs w:val="44"/>
        </w:rPr>
      </w:pPr>
    </w:p>
    <w:p>
      <w:pPr>
        <w:pStyle w:val="16"/>
      </w:pPr>
    </w:p>
    <w:p>
      <w:pPr>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绩</w:t>
      </w:r>
    </w:p>
    <w:p>
      <w:pPr>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效</w:t>
      </w:r>
    </w:p>
    <w:p>
      <w:pPr>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评</w:t>
      </w:r>
    </w:p>
    <w:p>
      <w:pPr>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价</w:t>
      </w:r>
    </w:p>
    <w:p>
      <w:pPr>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报</w:t>
      </w:r>
    </w:p>
    <w:p>
      <w:pPr>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告</w:t>
      </w:r>
    </w:p>
    <w:p>
      <w:pPr>
        <w:tabs>
          <w:tab w:val="left" w:pos="3885"/>
        </w:tabs>
        <w:snapToGrid w:val="0"/>
        <w:spacing w:line="600" w:lineRule="atLeast"/>
        <w:ind w:firstLine="1446" w:firstLineChars="400"/>
        <w:jc w:val="left"/>
        <w:rPr>
          <w:rFonts w:hint="eastAsia" w:ascii="楷体" w:hAnsi="楷体" w:eastAsia="楷体" w:cs="楷体"/>
          <w:b/>
          <w:sz w:val="36"/>
          <w:szCs w:val="36"/>
        </w:rPr>
      </w:pPr>
    </w:p>
    <w:p>
      <w:pPr>
        <w:tabs>
          <w:tab w:val="left" w:pos="3885"/>
        </w:tabs>
        <w:snapToGrid w:val="0"/>
        <w:spacing w:line="600" w:lineRule="atLeast"/>
        <w:ind w:firstLine="1446" w:firstLineChars="400"/>
        <w:jc w:val="left"/>
        <w:rPr>
          <w:rFonts w:hint="eastAsia" w:ascii="楷体" w:hAnsi="楷体" w:eastAsia="楷体" w:cs="楷体"/>
          <w:b/>
          <w:sz w:val="36"/>
          <w:szCs w:val="36"/>
        </w:rPr>
      </w:pPr>
    </w:p>
    <w:p>
      <w:pPr>
        <w:tabs>
          <w:tab w:val="left" w:pos="3885"/>
        </w:tabs>
        <w:snapToGrid w:val="0"/>
        <w:spacing w:line="600" w:lineRule="atLeast"/>
        <w:ind w:firstLine="1084" w:firstLineChars="300"/>
        <w:jc w:val="left"/>
        <w:rPr>
          <w:rFonts w:ascii="楷体" w:hAnsi="楷体" w:eastAsia="楷体" w:cs="楷体"/>
          <w:b/>
          <w:sz w:val="36"/>
          <w:szCs w:val="36"/>
        </w:rPr>
      </w:pPr>
      <w:r>
        <w:rPr>
          <w:rFonts w:hint="eastAsia" w:ascii="楷体" w:hAnsi="楷体" w:eastAsia="楷体" w:cs="楷体"/>
          <w:b/>
          <w:sz w:val="36"/>
          <w:szCs w:val="36"/>
        </w:rPr>
        <w:t>评价部门：</w:t>
      </w:r>
      <w:r>
        <w:rPr>
          <w:rFonts w:hint="eastAsia" w:ascii="楷体" w:hAnsi="楷体" w:eastAsia="楷体" w:cs="楷体"/>
          <w:b/>
          <w:sz w:val="36"/>
          <w:szCs w:val="36"/>
          <w:lang w:val="en-US" w:eastAsia="zh-CN"/>
        </w:rPr>
        <w:t xml:space="preserve"> </w:t>
      </w:r>
      <w:r>
        <w:rPr>
          <w:rFonts w:hint="eastAsia" w:ascii="楷体" w:hAnsi="楷体" w:eastAsia="楷体" w:cs="楷体"/>
          <w:b/>
          <w:sz w:val="36"/>
          <w:szCs w:val="36"/>
        </w:rPr>
        <w:t>旺苍县财政局</w:t>
      </w:r>
    </w:p>
    <w:p>
      <w:pPr>
        <w:tabs>
          <w:tab w:val="left" w:pos="3885"/>
        </w:tabs>
        <w:snapToGrid w:val="0"/>
        <w:spacing w:line="600" w:lineRule="atLeast"/>
        <w:ind w:firstLine="1084" w:firstLineChars="300"/>
        <w:jc w:val="left"/>
        <w:rPr>
          <w:rFonts w:hint="eastAsia" w:ascii="楷体" w:hAnsi="楷体" w:eastAsia="楷体" w:cs="楷体"/>
          <w:b/>
          <w:sz w:val="36"/>
          <w:szCs w:val="36"/>
          <w:lang w:eastAsia="zh-CN"/>
        </w:rPr>
      </w:pPr>
      <w:r>
        <w:rPr>
          <w:rFonts w:hint="eastAsia" w:ascii="楷体" w:hAnsi="楷体" w:eastAsia="楷体" w:cs="楷体"/>
          <w:b/>
          <w:sz w:val="36"/>
          <w:szCs w:val="36"/>
        </w:rPr>
        <w:t>评价人员：</w:t>
      </w:r>
      <w:r>
        <w:rPr>
          <w:rFonts w:hint="eastAsia" w:ascii="楷体" w:hAnsi="楷体" w:eastAsia="楷体" w:cs="楷体"/>
          <w:b/>
          <w:sz w:val="36"/>
          <w:szCs w:val="36"/>
          <w:lang w:val="en-US" w:eastAsia="zh-CN"/>
        </w:rPr>
        <w:t xml:space="preserve"> 何卫英</w:t>
      </w:r>
      <w:r>
        <w:rPr>
          <w:rFonts w:hint="eastAsia" w:ascii="楷体" w:hAnsi="楷体" w:eastAsia="楷体" w:cs="楷体"/>
          <w:b/>
          <w:sz w:val="36"/>
          <w:szCs w:val="36"/>
        </w:rPr>
        <w:t xml:space="preserve">  </w:t>
      </w:r>
      <w:r>
        <w:rPr>
          <w:rFonts w:hint="eastAsia" w:ascii="楷体" w:hAnsi="楷体" w:eastAsia="楷体" w:cs="楷体"/>
          <w:b/>
          <w:sz w:val="36"/>
          <w:szCs w:val="36"/>
          <w:lang w:val="en-US" w:eastAsia="zh-CN"/>
        </w:rPr>
        <w:t>杨静</w:t>
      </w:r>
      <w:r>
        <w:rPr>
          <w:rFonts w:hint="eastAsia" w:ascii="楷体" w:hAnsi="楷体" w:eastAsia="楷体" w:cs="楷体"/>
          <w:b/>
          <w:sz w:val="36"/>
          <w:szCs w:val="36"/>
        </w:rPr>
        <w:t xml:space="preserve">  </w:t>
      </w:r>
      <w:r>
        <w:rPr>
          <w:rFonts w:hint="eastAsia" w:ascii="楷体" w:hAnsi="楷体" w:eastAsia="楷体" w:cs="楷体"/>
          <w:b/>
          <w:sz w:val="36"/>
          <w:szCs w:val="36"/>
          <w:lang w:val="en-US" w:eastAsia="zh-CN"/>
        </w:rPr>
        <w:t>韩伟</w:t>
      </w:r>
    </w:p>
    <w:p>
      <w:pPr>
        <w:tabs>
          <w:tab w:val="left" w:pos="3885"/>
        </w:tabs>
        <w:snapToGrid w:val="0"/>
        <w:spacing w:line="600" w:lineRule="atLeast"/>
        <w:ind w:firstLine="1084" w:firstLineChars="300"/>
        <w:jc w:val="left"/>
        <w:rPr>
          <w:rFonts w:ascii="楷体" w:hAnsi="楷体" w:eastAsia="楷体" w:cs="楷体"/>
          <w:b/>
          <w:sz w:val="36"/>
          <w:szCs w:val="36"/>
        </w:rPr>
      </w:pPr>
      <w:r>
        <w:rPr>
          <w:rFonts w:hint="eastAsia" w:ascii="楷体" w:hAnsi="楷体" w:eastAsia="楷体" w:cs="楷体"/>
          <w:b/>
          <w:sz w:val="36"/>
          <w:szCs w:val="36"/>
        </w:rPr>
        <w:t>报告时间：</w:t>
      </w:r>
      <w:r>
        <w:rPr>
          <w:rFonts w:hint="eastAsia" w:ascii="楷体" w:hAnsi="楷体" w:eastAsia="楷体" w:cs="楷体"/>
          <w:b/>
          <w:sz w:val="36"/>
          <w:szCs w:val="36"/>
          <w:lang w:val="en-US" w:eastAsia="zh-CN"/>
        </w:rPr>
        <w:t xml:space="preserve"> </w:t>
      </w:r>
      <w:r>
        <w:rPr>
          <w:rFonts w:hint="eastAsia" w:ascii="楷体" w:hAnsi="楷体" w:eastAsia="楷体" w:cs="楷体"/>
          <w:b/>
          <w:sz w:val="36"/>
          <w:szCs w:val="36"/>
        </w:rPr>
        <w:t>2021年10月20日</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黑体" w:hAnsi="黑体" w:eastAsia="黑体" w:cs="黑体"/>
          <w:w w:val="99"/>
          <w:sz w:val="32"/>
          <w:szCs w:val="32"/>
          <w:lang w:eastAsia="zh-CN"/>
        </w:rPr>
        <w:sectPr>
          <w:pgSz w:w="11906" w:h="16838"/>
          <w:pgMar w:top="2098" w:right="1474" w:bottom="1984" w:left="1587" w:header="851" w:footer="1559" w:gutter="0"/>
          <w:pgNumType w:fmt="numberInDash"/>
          <w:cols w:space="0" w:num="1"/>
          <w:rtlGutter w:val="0"/>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黑体" w:hAnsi="黑体" w:eastAsia="黑体" w:cs="黑体"/>
          <w:w w:val="99"/>
          <w:sz w:val="32"/>
          <w:szCs w:val="32"/>
          <w:lang w:eastAsia="zh-CN"/>
        </w:rPr>
      </w:pPr>
      <w:r>
        <w:rPr>
          <w:rFonts w:hint="eastAsia" w:ascii="黑体" w:hAnsi="黑体" w:eastAsia="黑体" w:cs="黑体"/>
          <w:w w:val="99"/>
          <w:sz w:val="32"/>
          <w:szCs w:val="32"/>
          <w:lang w:eastAsia="zh-CN"/>
        </w:rPr>
        <w:t>一、部门概况</w:t>
      </w:r>
    </w:p>
    <w:p>
      <w:pPr>
        <w:keepNext w:val="0"/>
        <w:keepLines w:val="0"/>
        <w:pageBreakBefore w:val="0"/>
        <w:widowControl w:val="0"/>
        <w:kinsoku/>
        <w:wordWrap/>
        <w:overflowPunct w:val="0"/>
        <w:topLinePunct w:val="0"/>
        <w:autoSpaceDE/>
        <w:autoSpaceDN/>
        <w:bidi w:val="0"/>
        <w:adjustRightInd/>
        <w:snapToGrid/>
        <w:spacing w:line="576" w:lineRule="exact"/>
        <w:ind w:firstLine="635" w:firstLineChars="200"/>
        <w:textAlignment w:val="auto"/>
        <w:rPr>
          <w:rFonts w:hint="eastAsia" w:ascii="楷体_GB2312" w:hAnsi="楷体_GB2312" w:eastAsia="楷体_GB2312" w:cs="楷体_GB2312"/>
          <w:b/>
          <w:bCs/>
          <w:w w:val="99"/>
          <w:sz w:val="32"/>
          <w:szCs w:val="32"/>
          <w:lang w:eastAsia="zh-CN"/>
        </w:rPr>
      </w:pPr>
      <w:r>
        <w:rPr>
          <w:rFonts w:hint="eastAsia" w:ascii="楷体_GB2312" w:hAnsi="楷体_GB2312" w:eastAsia="楷体_GB2312" w:cs="楷体_GB2312"/>
          <w:b/>
          <w:bCs/>
          <w:w w:val="99"/>
          <w:sz w:val="32"/>
          <w:szCs w:val="32"/>
          <w:lang w:eastAsia="zh-CN"/>
        </w:rPr>
        <w:t>（一）机构构成</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w w:val="99"/>
          <w:sz w:val="32"/>
          <w:szCs w:val="32"/>
          <w:lang w:eastAsia="zh-CN"/>
        </w:rPr>
      </w:pPr>
      <w:r>
        <w:rPr>
          <w:rFonts w:hint="eastAsia" w:ascii="仿宋_GB2312" w:hAnsi="仿宋_GB2312" w:eastAsia="仿宋_GB2312" w:cs="仿宋_GB2312"/>
          <w:w w:val="99"/>
          <w:sz w:val="32"/>
          <w:szCs w:val="32"/>
          <w:lang w:eastAsia="zh-CN"/>
        </w:rPr>
        <w:t>旺苍县供销合作社联合社是县人民政府直属参公事业单位，机构级别为正科级，内设办公室、监事审计股、社会指导股、经济发展股、组织人事股、财会统计股，</w:t>
      </w:r>
    </w:p>
    <w:p>
      <w:pPr>
        <w:keepNext w:val="0"/>
        <w:keepLines w:val="0"/>
        <w:pageBreakBefore w:val="0"/>
        <w:widowControl w:val="0"/>
        <w:kinsoku/>
        <w:wordWrap/>
        <w:overflowPunct w:val="0"/>
        <w:topLinePunct w:val="0"/>
        <w:autoSpaceDE/>
        <w:autoSpaceDN/>
        <w:bidi w:val="0"/>
        <w:adjustRightInd/>
        <w:snapToGrid/>
        <w:spacing w:line="576" w:lineRule="exact"/>
        <w:ind w:firstLine="635" w:firstLineChars="200"/>
        <w:textAlignment w:val="auto"/>
        <w:rPr>
          <w:rFonts w:hint="eastAsia" w:ascii="楷体_GB2312" w:hAnsi="楷体_GB2312" w:eastAsia="楷体_GB2312" w:cs="楷体_GB2312"/>
          <w:b/>
          <w:bCs/>
          <w:w w:val="99"/>
          <w:sz w:val="32"/>
          <w:szCs w:val="32"/>
          <w:lang w:eastAsia="zh-CN"/>
        </w:rPr>
      </w:pPr>
      <w:r>
        <w:rPr>
          <w:rFonts w:hint="eastAsia" w:ascii="楷体_GB2312" w:hAnsi="楷体_GB2312" w:eastAsia="楷体_GB2312" w:cs="楷体_GB2312"/>
          <w:b/>
          <w:bCs/>
          <w:w w:val="99"/>
          <w:sz w:val="32"/>
          <w:szCs w:val="32"/>
          <w:lang w:eastAsia="zh-CN"/>
        </w:rPr>
        <w:t>（二）基本职能</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w w:val="99"/>
          <w:sz w:val="32"/>
          <w:szCs w:val="32"/>
          <w:lang w:eastAsia="zh-CN"/>
        </w:rPr>
      </w:pPr>
      <w:r>
        <w:rPr>
          <w:rFonts w:hint="eastAsia" w:ascii="仿宋_GB2312" w:hAnsi="仿宋_GB2312" w:eastAsia="仿宋_GB2312" w:cs="仿宋_GB2312"/>
          <w:w w:val="99"/>
          <w:sz w:val="32"/>
          <w:szCs w:val="32"/>
          <w:lang w:eastAsia="zh-CN"/>
        </w:rPr>
        <w:t>按照相关职能分工，该部门职能为，一是研究制定全县供销合作社的发展规划；二是指导全县供销社的改革和发展，加快体制、机制创新，探索社会主义市场经济条件下合作经济的多种实现形式。三是按照县政府授权对重要农业生产资料和重要农副产品以及政策性商品经营进行组织、协调、管理；协助相关部门做好有关救灾物资的组织、调运、储备工作。四是协调同县政府有关部门社会组织关系，研究供销合作经济运行中的重大问题，提出扶持农村合作社经济发展的政策性建议，了解、反映供销社系统和农民群众的意见和要求，维护合作经济组织的合法权益。五是组织全县供销系统参与和推进农业产业化经营，组织发展专业合作社、消费合作社等中介服务组织，加强商品供求、市场、信息服务体系建设。六是监督和管理社有资产，确保主有资产保值增值，行使本级社有资产出资人代表职能，并按出资额依法享有资产受益、重大决策和选择经营管理者等权利。七是围绕建立和完善农业社会化服务体系，做好为农业、农村、农民服务工作，促进农村经济发展和农民收入水平的提高。八是参与、协调本系统经济、技术交流与合作活动等。</w:t>
      </w:r>
    </w:p>
    <w:p>
      <w:pPr>
        <w:keepNext w:val="0"/>
        <w:keepLines w:val="0"/>
        <w:pageBreakBefore w:val="0"/>
        <w:widowControl w:val="0"/>
        <w:kinsoku/>
        <w:wordWrap/>
        <w:overflowPunct w:val="0"/>
        <w:topLinePunct w:val="0"/>
        <w:autoSpaceDE/>
        <w:autoSpaceDN/>
        <w:bidi w:val="0"/>
        <w:adjustRightInd/>
        <w:snapToGrid/>
        <w:spacing w:line="576" w:lineRule="exact"/>
        <w:ind w:firstLine="635" w:firstLineChars="200"/>
        <w:textAlignment w:val="auto"/>
        <w:rPr>
          <w:rFonts w:hint="eastAsia" w:ascii="楷体_GB2312" w:hAnsi="楷体_GB2312" w:eastAsia="楷体_GB2312" w:cs="楷体_GB2312"/>
          <w:b/>
          <w:bCs/>
          <w:w w:val="99"/>
          <w:sz w:val="32"/>
          <w:szCs w:val="32"/>
          <w:lang w:eastAsia="zh-CN"/>
        </w:rPr>
      </w:pPr>
      <w:r>
        <w:rPr>
          <w:rFonts w:hint="eastAsia" w:ascii="楷体_GB2312" w:hAnsi="楷体_GB2312" w:eastAsia="楷体_GB2312" w:cs="楷体_GB2312"/>
          <w:b/>
          <w:bCs/>
          <w:w w:val="99"/>
          <w:sz w:val="32"/>
          <w:szCs w:val="32"/>
          <w:lang w:eastAsia="zh-CN"/>
        </w:rPr>
        <w:t>（三）人员结构及相关情况</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w w:val="99"/>
          <w:sz w:val="32"/>
          <w:szCs w:val="32"/>
          <w:lang w:val="en-US" w:eastAsia="zh-CN"/>
        </w:rPr>
      </w:pPr>
      <w:r>
        <w:rPr>
          <w:rFonts w:hint="eastAsia" w:ascii="仿宋_GB2312" w:hAnsi="仿宋_GB2312" w:eastAsia="仿宋_GB2312" w:cs="仿宋_GB2312"/>
          <w:w w:val="99"/>
          <w:sz w:val="32"/>
          <w:szCs w:val="32"/>
          <w:lang w:val="en-US" w:eastAsia="zh-CN"/>
        </w:rPr>
        <w:t>该部门总编制14人，其中参照公务员法管理的事业编制9人，行政工勤编制5人。领导职数5人，其中主任1人，副主任4人。办公室3人、监事审计股1人、社会指导股1人、经济发展股1人、组织人事股1人、财会统计股2人。</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黑体" w:hAnsi="黑体" w:eastAsia="黑体" w:cs="黑体"/>
          <w:w w:val="99"/>
          <w:sz w:val="32"/>
          <w:szCs w:val="32"/>
          <w:lang w:eastAsia="zh-CN"/>
        </w:rPr>
      </w:pPr>
      <w:r>
        <w:rPr>
          <w:rFonts w:hint="eastAsia" w:ascii="黑体" w:hAnsi="黑体" w:eastAsia="黑体" w:cs="黑体"/>
          <w:w w:val="99"/>
          <w:sz w:val="32"/>
          <w:szCs w:val="32"/>
          <w:lang w:eastAsia="zh-CN"/>
        </w:rPr>
        <w:t>二、部门财政资金收支情况</w:t>
      </w:r>
    </w:p>
    <w:p>
      <w:pPr>
        <w:keepNext w:val="0"/>
        <w:keepLines w:val="0"/>
        <w:pageBreakBefore w:val="0"/>
        <w:widowControl w:val="0"/>
        <w:kinsoku/>
        <w:wordWrap/>
        <w:overflowPunct w:val="0"/>
        <w:topLinePunct w:val="0"/>
        <w:autoSpaceDE/>
        <w:autoSpaceDN/>
        <w:bidi w:val="0"/>
        <w:adjustRightInd/>
        <w:snapToGrid/>
        <w:spacing w:line="576" w:lineRule="exact"/>
        <w:ind w:firstLine="635" w:firstLineChars="200"/>
        <w:textAlignment w:val="auto"/>
        <w:rPr>
          <w:rFonts w:hint="eastAsia" w:ascii="楷体_GB2312" w:hAnsi="楷体_GB2312" w:eastAsia="楷体_GB2312" w:cs="楷体_GB2312"/>
          <w:b/>
          <w:bCs/>
          <w:w w:val="99"/>
          <w:sz w:val="32"/>
          <w:szCs w:val="32"/>
          <w:lang w:eastAsia="zh-CN"/>
        </w:rPr>
      </w:pPr>
      <w:r>
        <w:rPr>
          <w:rFonts w:hint="eastAsia" w:ascii="楷体_GB2312" w:hAnsi="楷体_GB2312" w:eastAsia="楷体_GB2312" w:cs="楷体_GB2312"/>
          <w:b/>
          <w:bCs/>
          <w:w w:val="99"/>
          <w:sz w:val="32"/>
          <w:szCs w:val="32"/>
          <w:lang w:eastAsia="zh-CN"/>
        </w:rPr>
        <w:t>（一）部门财政资金收入情况</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w w:val="99"/>
          <w:sz w:val="32"/>
          <w:szCs w:val="32"/>
          <w:lang w:val="en-US" w:eastAsia="zh-CN"/>
        </w:rPr>
      </w:pPr>
      <w:r>
        <w:rPr>
          <w:rFonts w:hint="eastAsia" w:ascii="仿宋_GB2312" w:hAnsi="仿宋_GB2312" w:eastAsia="仿宋_GB2312" w:cs="仿宋_GB2312"/>
          <w:w w:val="99"/>
          <w:sz w:val="32"/>
          <w:szCs w:val="32"/>
          <w:lang w:val="en-US" w:eastAsia="zh-CN"/>
        </w:rPr>
        <w:t>2020年，该部门年初预算数287.8万元，其中一般公共预算财政拨款185.8万元（其中：人员经费158.27万元，运转经费23.4万元，党组织活动经费4.2万元，公务经费1.95万元），财政应返还额度102万元（其中：人员经费5.7万元，运转经费5.6万元，项目经费88.76万元，公务经费1.94万元），合计287.8万元。</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w w:val="99"/>
          <w:sz w:val="32"/>
          <w:szCs w:val="32"/>
          <w:lang w:val="en-US" w:eastAsia="zh-CN"/>
        </w:rPr>
      </w:pPr>
      <w:r>
        <w:rPr>
          <w:rFonts w:hint="eastAsia" w:ascii="仿宋_GB2312" w:hAnsi="仿宋_GB2312" w:eastAsia="仿宋_GB2312" w:cs="仿宋_GB2312"/>
          <w:w w:val="99"/>
          <w:sz w:val="32"/>
          <w:szCs w:val="32"/>
          <w:lang w:val="en-US" w:eastAsia="zh-CN"/>
        </w:rPr>
        <w:t>年中追加187.9万元，其中：追加人员经费24.3万元，追加运转经费1.3万元，追加项目经费162.34万元（追加旺苍县板栗品牌塑造及电商营销项目资金70万元，追加化肥储备费用15万元，废弃农膜回收补贴30万元，追加废弃农药瓶、袋处理费用补贴24.88万元）。</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w w:val="99"/>
          <w:sz w:val="32"/>
          <w:szCs w:val="32"/>
          <w:lang w:val="en-US" w:eastAsia="zh-CN"/>
        </w:rPr>
      </w:pPr>
      <w:r>
        <w:rPr>
          <w:rFonts w:hint="eastAsia" w:ascii="仿宋_GB2312" w:hAnsi="仿宋_GB2312" w:eastAsia="仿宋_GB2312" w:cs="仿宋_GB2312"/>
          <w:w w:val="99"/>
          <w:sz w:val="32"/>
          <w:szCs w:val="32"/>
          <w:lang w:val="en-US" w:eastAsia="zh-CN"/>
        </w:rPr>
        <w:t>全年合计收入475.7万元，其中人员经费188.2万元，运转经费32.2万元，项目经费255.3万元，公务经费1.95万元。</w:t>
      </w:r>
    </w:p>
    <w:p>
      <w:pPr>
        <w:keepNext w:val="0"/>
        <w:keepLines w:val="0"/>
        <w:pageBreakBefore w:val="0"/>
        <w:widowControl w:val="0"/>
        <w:kinsoku/>
        <w:wordWrap/>
        <w:overflowPunct w:val="0"/>
        <w:topLinePunct w:val="0"/>
        <w:autoSpaceDE/>
        <w:autoSpaceDN/>
        <w:bidi w:val="0"/>
        <w:adjustRightInd/>
        <w:snapToGrid/>
        <w:spacing w:line="576" w:lineRule="exact"/>
        <w:ind w:firstLine="635" w:firstLineChars="200"/>
        <w:textAlignment w:val="auto"/>
        <w:rPr>
          <w:rFonts w:hint="eastAsia" w:ascii="楷体_GB2312" w:hAnsi="楷体_GB2312" w:eastAsia="楷体_GB2312" w:cs="楷体_GB2312"/>
          <w:b/>
          <w:bCs/>
          <w:w w:val="99"/>
          <w:sz w:val="32"/>
          <w:szCs w:val="32"/>
          <w:lang w:eastAsia="zh-CN"/>
        </w:rPr>
      </w:pPr>
      <w:r>
        <w:rPr>
          <w:rFonts w:hint="eastAsia" w:ascii="楷体_GB2312" w:hAnsi="楷体_GB2312" w:eastAsia="楷体_GB2312" w:cs="楷体_GB2312"/>
          <w:b/>
          <w:bCs/>
          <w:w w:val="99"/>
          <w:sz w:val="32"/>
          <w:szCs w:val="32"/>
          <w:lang w:eastAsia="zh-CN"/>
        </w:rPr>
        <w:t>（二）部门财政资金支出情况</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w w:val="99"/>
          <w:sz w:val="32"/>
          <w:szCs w:val="32"/>
          <w:lang w:val="en-US" w:eastAsia="zh-CN"/>
        </w:rPr>
      </w:pPr>
      <w:r>
        <w:rPr>
          <w:rFonts w:hint="eastAsia" w:ascii="仿宋_GB2312" w:hAnsi="仿宋_GB2312" w:eastAsia="仿宋_GB2312" w:cs="仿宋_GB2312"/>
          <w:w w:val="99"/>
          <w:sz w:val="32"/>
          <w:szCs w:val="32"/>
          <w:lang w:val="en-US" w:eastAsia="zh-CN"/>
        </w:rPr>
        <w:t>2020年财政资金支出385.6万元，其中基本支出210.5万元（人员经费184.5万元，运转经费26万元），项目支出175.1万元（旺苍县板栗品牌塑造及电商营销项目资金70万元，废弃农药瓶、袋处理费用补贴24.88万元，综合改革及发展专项50万元）。</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w w:val="99"/>
          <w:sz w:val="32"/>
          <w:szCs w:val="32"/>
          <w:lang w:val="en-US" w:eastAsia="zh-CN"/>
        </w:rPr>
      </w:pPr>
      <w:r>
        <w:rPr>
          <w:rFonts w:hint="eastAsia" w:ascii="仿宋_GB2312" w:hAnsi="仿宋_GB2312" w:eastAsia="仿宋_GB2312" w:cs="仿宋_GB2312"/>
          <w:w w:val="99"/>
          <w:sz w:val="32"/>
          <w:szCs w:val="32"/>
          <w:lang w:val="en-US" w:eastAsia="zh-CN"/>
        </w:rPr>
        <w:t>年末结转90万元，其中运转经费9.9万元，项目经费80.1万元（其中废弃农膜回收补贴47.85万元，化肥储备15万元，废旧农膜回收网点建设资金13.4万元）。</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黑体" w:hAnsi="黑体" w:eastAsia="黑体" w:cs="黑体"/>
          <w:w w:val="99"/>
          <w:sz w:val="32"/>
          <w:szCs w:val="32"/>
          <w:lang w:eastAsia="zh-CN"/>
        </w:rPr>
      </w:pPr>
      <w:r>
        <w:rPr>
          <w:rFonts w:hint="eastAsia" w:ascii="黑体" w:hAnsi="黑体" w:eastAsia="黑体" w:cs="黑体"/>
          <w:w w:val="99"/>
          <w:sz w:val="32"/>
          <w:szCs w:val="32"/>
          <w:lang w:eastAsia="zh-CN"/>
        </w:rPr>
        <w:t>三、绩效评价管理</w:t>
      </w:r>
    </w:p>
    <w:p>
      <w:pPr>
        <w:keepNext w:val="0"/>
        <w:keepLines w:val="0"/>
        <w:pageBreakBefore w:val="0"/>
        <w:widowControl w:val="0"/>
        <w:kinsoku/>
        <w:wordWrap/>
        <w:overflowPunct w:val="0"/>
        <w:topLinePunct w:val="0"/>
        <w:autoSpaceDE/>
        <w:autoSpaceDN/>
        <w:bidi w:val="0"/>
        <w:adjustRightInd/>
        <w:snapToGrid/>
        <w:spacing w:line="576" w:lineRule="exact"/>
        <w:ind w:firstLine="635" w:firstLineChars="200"/>
        <w:textAlignment w:val="auto"/>
        <w:rPr>
          <w:rFonts w:hint="eastAsia" w:ascii="楷体_GB2312" w:hAnsi="楷体_GB2312" w:eastAsia="楷体_GB2312" w:cs="楷体_GB2312"/>
          <w:b/>
          <w:bCs/>
          <w:w w:val="99"/>
          <w:sz w:val="32"/>
          <w:szCs w:val="32"/>
          <w:lang w:eastAsia="zh-CN"/>
        </w:rPr>
      </w:pPr>
      <w:r>
        <w:rPr>
          <w:rFonts w:hint="eastAsia" w:ascii="楷体_GB2312" w:hAnsi="楷体_GB2312" w:eastAsia="楷体_GB2312" w:cs="楷体_GB2312"/>
          <w:b/>
          <w:bCs/>
          <w:w w:val="99"/>
          <w:sz w:val="32"/>
          <w:szCs w:val="32"/>
          <w:lang w:eastAsia="zh-CN"/>
        </w:rPr>
        <w:t>（一）评价结论</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 w:hAnsi="仿宋" w:eastAsia="仿宋" w:cs="仿宋"/>
          <w:w w:val="99"/>
          <w:sz w:val="32"/>
          <w:szCs w:val="32"/>
          <w:lang w:eastAsia="zh-CN"/>
        </w:rPr>
      </w:pPr>
      <w:r>
        <w:rPr>
          <w:rFonts w:hint="eastAsia" w:ascii="仿宋_GB2312" w:hAnsi="仿宋_GB2312" w:eastAsia="仿宋_GB2312" w:cs="仿宋_GB2312"/>
          <w:w w:val="99"/>
          <w:sz w:val="32"/>
          <w:szCs w:val="32"/>
          <w:lang w:eastAsia="zh-CN"/>
        </w:rPr>
        <w:t>单位预算编制目标明确、科学规范、任务细化量化，决策程序严格，各类制度健全，管理较规范，支出控制较好，全年已超额完成了年初预算制订的各项目标任务。通过现场整体评价，得分</w:t>
      </w:r>
      <w:r>
        <w:rPr>
          <w:rFonts w:hint="eastAsia" w:ascii="仿宋_GB2312" w:hAnsi="仿宋_GB2312" w:eastAsia="仿宋_GB2312" w:cs="仿宋_GB2312"/>
          <w:w w:val="99"/>
          <w:sz w:val="32"/>
          <w:szCs w:val="32"/>
          <w:lang w:val="en-US" w:eastAsia="zh-CN"/>
        </w:rPr>
        <w:t>95</w:t>
      </w:r>
      <w:r>
        <w:rPr>
          <w:rFonts w:hint="eastAsia" w:ascii="仿宋_GB2312" w:hAnsi="仿宋_GB2312" w:eastAsia="仿宋_GB2312" w:cs="仿宋_GB2312"/>
          <w:w w:val="99"/>
          <w:sz w:val="32"/>
          <w:szCs w:val="32"/>
          <w:lang w:eastAsia="zh-CN"/>
        </w:rPr>
        <w:t>分，评价得分表附后。</w:t>
      </w:r>
    </w:p>
    <w:tbl>
      <w:tblPr>
        <w:tblStyle w:val="12"/>
        <w:tblpPr w:leftFromText="180" w:rightFromText="180" w:vertAnchor="text" w:horzAnchor="page" w:tblpX="940" w:tblpY="321"/>
        <w:tblOverlap w:val="never"/>
        <w:tblW w:w="10206" w:type="dxa"/>
        <w:tblInd w:w="0" w:type="dxa"/>
        <w:tblLayout w:type="fixed"/>
        <w:tblCellMar>
          <w:top w:w="0" w:type="dxa"/>
          <w:left w:w="108" w:type="dxa"/>
          <w:bottom w:w="0" w:type="dxa"/>
          <w:right w:w="108" w:type="dxa"/>
        </w:tblCellMar>
      </w:tblPr>
      <w:tblGrid>
        <w:gridCol w:w="644"/>
        <w:gridCol w:w="630"/>
        <w:gridCol w:w="686"/>
        <w:gridCol w:w="644"/>
        <w:gridCol w:w="686"/>
        <w:gridCol w:w="2239"/>
        <w:gridCol w:w="4677"/>
      </w:tblGrid>
      <w:tr>
        <w:tblPrEx>
          <w:tblCellMar>
            <w:top w:w="0" w:type="dxa"/>
            <w:left w:w="108" w:type="dxa"/>
            <w:bottom w:w="0" w:type="dxa"/>
            <w:right w:w="108" w:type="dxa"/>
          </w:tblCellMar>
        </w:tblPrEx>
        <w:trPr>
          <w:trHeight w:val="555" w:hRule="atLeast"/>
        </w:trPr>
        <w:tc>
          <w:tcPr>
            <w:tcW w:w="10206" w:type="dxa"/>
            <w:gridSpan w:val="7"/>
            <w:tcBorders>
              <w:top w:val="nil"/>
              <w:left w:val="nil"/>
              <w:bottom w:val="single" w:color="000000" w:sz="4" w:space="0"/>
              <w:right w:val="nil"/>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8"/>
                <w:szCs w:val="28"/>
                <w:lang w:bidi="ar"/>
              </w:rPr>
              <w:t>旺苍县2021年部门整体支出绩效评价指标体系</w:t>
            </w:r>
          </w:p>
        </w:tc>
      </w:tr>
      <w:tr>
        <w:tblPrEx>
          <w:tblCellMar>
            <w:top w:w="0" w:type="dxa"/>
            <w:left w:w="108" w:type="dxa"/>
            <w:bottom w:w="0" w:type="dxa"/>
            <w:right w:w="108" w:type="dxa"/>
          </w:tblCellMar>
        </w:tblPrEx>
        <w:trPr>
          <w:trHeight w:val="950" w:hRule="atLeast"/>
        </w:trPr>
        <w:tc>
          <w:tcPr>
            <w:tcW w:w="1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绩效指标</w:t>
            </w:r>
          </w:p>
        </w:tc>
        <w:tc>
          <w:tcPr>
            <w:tcW w:w="6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指标分值</w:t>
            </w:r>
          </w:p>
        </w:tc>
        <w:tc>
          <w:tcPr>
            <w:tcW w:w="6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指标得分</w:t>
            </w:r>
          </w:p>
        </w:tc>
        <w:tc>
          <w:tcPr>
            <w:tcW w:w="223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指标解释</w:t>
            </w:r>
          </w:p>
        </w:tc>
        <w:tc>
          <w:tcPr>
            <w:tcW w:w="4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计分标准</w:t>
            </w:r>
          </w:p>
        </w:tc>
      </w:tr>
      <w:tr>
        <w:tblPrEx>
          <w:tblCellMar>
            <w:top w:w="0" w:type="dxa"/>
            <w:left w:w="108" w:type="dxa"/>
            <w:bottom w:w="0" w:type="dxa"/>
            <w:right w:w="108" w:type="dxa"/>
          </w:tblCellMar>
        </w:tblPrEx>
        <w:trPr>
          <w:trHeight w:val="9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一级指标</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二级指标</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三级指标</w:t>
            </w:r>
          </w:p>
        </w:tc>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0"/>
                <w:szCs w:val="20"/>
              </w:rPr>
            </w:pPr>
          </w:p>
        </w:tc>
        <w:tc>
          <w:tcPr>
            <w:tcW w:w="68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0"/>
                <w:szCs w:val="20"/>
              </w:rPr>
            </w:pPr>
          </w:p>
        </w:tc>
        <w:tc>
          <w:tcPr>
            <w:tcW w:w="223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0"/>
                <w:szCs w:val="20"/>
              </w:rPr>
            </w:pPr>
          </w:p>
        </w:tc>
        <w:tc>
          <w:tcPr>
            <w:tcW w:w="4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0"/>
                <w:szCs w:val="20"/>
              </w:rPr>
            </w:pPr>
          </w:p>
        </w:tc>
      </w:tr>
      <w:tr>
        <w:tblPrEx>
          <w:tblCellMar>
            <w:top w:w="0" w:type="dxa"/>
            <w:left w:w="108" w:type="dxa"/>
            <w:bottom w:w="0" w:type="dxa"/>
            <w:right w:w="108" w:type="dxa"/>
          </w:tblCellMar>
        </w:tblPrEx>
        <w:trPr>
          <w:trHeight w:val="675" w:hRule="atLeast"/>
        </w:trPr>
        <w:tc>
          <w:tcPr>
            <w:tcW w:w="6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部门预算管理(60分)</w:t>
            </w: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预算编制（24分）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目标制定</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r>
              <w:rPr>
                <w:rFonts w:hint="eastAsia" w:ascii="仿宋" w:hAnsi="仿宋" w:eastAsia="仿宋" w:cs="仿宋"/>
                <w:color w:val="000000"/>
                <w:sz w:val="20"/>
                <w:szCs w:val="20"/>
              </w:rPr>
              <w:t>8</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textAlignment w:val="center"/>
              <w:rPr>
                <w:rFonts w:hint="eastAsia"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bidi="ar"/>
              </w:rPr>
              <w:t>评价部门绩效目标是否要素完整、细化量化。</w:t>
            </w:r>
          </w:p>
          <w:p>
            <w:pPr>
              <w:keepNext w:val="0"/>
              <w:keepLines w:val="0"/>
              <w:suppressLineNumbers w:val="0"/>
              <w:spacing w:before="0" w:beforeAutospacing="0" w:after="0" w:afterAutospacing="0"/>
              <w:ind w:left="0" w:right="0"/>
              <w:jc w:val="left"/>
              <w:textAlignment w:val="center"/>
              <w:rPr>
                <w:rFonts w:hint="eastAsia" w:ascii="仿宋" w:hAnsi="仿宋" w:eastAsia="仿宋" w:cs="仿宋"/>
                <w:color w:val="000000"/>
                <w:sz w:val="20"/>
                <w:szCs w:val="20"/>
              </w:rPr>
            </w:pP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bidi="ar"/>
              </w:rPr>
              <w:t>1.绩效目标编制要素完整的，得4分，否则酌情扣分。</w:t>
            </w:r>
          </w:p>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2.绩效指标细化量化的，得4分，否则酌情扣分。</w:t>
            </w:r>
            <w:r>
              <w:rPr>
                <w:rFonts w:hint="eastAsia" w:ascii="仿宋" w:hAnsi="仿宋" w:eastAsia="仿宋" w:cs="仿宋"/>
                <w:color w:val="000000"/>
                <w:kern w:val="0"/>
                <w:sz w:val="20"/>
                <w:szCs w:val="20"/>
                <w:lang w:bidi="ar"/>
              </w:rPr>
              <w:t xml:space="preserve">                                                                    </w:t>
            </w:r>
          </w:p>
        </w:tc>
      </w:tr>
      <w:tr>
        <w:tblPrEx>
          <w:tblCellMar>
            <w:top w:w="0" w:type="dxa"/>
            <w:left w:w="108" w:type="dxa"/>
            <w:bottom w:w="0" w:type="dxa"/>
            <w:right w:w="108" w:type="dxa"/>
          </w:tblCellMar>
        </w:tblPrEx>
        <w:trPr>
          <w:trHeight w:val="810"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目标完成</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r>
              <w:rPr>
                <w:rFonts w:hint="eastAsia" w:ascii="仿宋" w:hAnsi="仿宋" w:eastAsia="仿宋" w:cs="仿宋"/>
                <w:color w:val="000000"/>
                <w:sz w:val="20"/>
                <w:szCs w:val="20"/>
              </w:rPr>
              <w:t>8</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评价部门绩效目标实际实现程度与预期目标的偏离度。</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以项目完成数量指标为核心，评价项目实际完成情况是否达到预期绩效目标，指标得分=达到预期绩效目标的部门项目个数/纳入绩效目标管理的部门预算项目个数*8</w:t>
            </w:r>
          </w:p>
        </w:tc>
      </w:tr>
      <w:tr>
        <w:tblPrEx>
          <w:tblCellMar>
            <w:top w:w="0" w:type="dxa"/>
            <w:left w:w="108" w:type="dxa"/>
            <w:bottom w:w="0" w:type="dxa"/>
            <w:right w:w="108" w:type="dxa"/>
          </w:tblCellMar>
        </w:tblPrEx>
        <w:trPr>
          <w:trHeight w:val="1335"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编制准确</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8</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评价部门年初预算编制是否科学准确。</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指标得分=1-年初预算数（一上）/（财政下达数（一下）+预算调整数）基本支出资金，预决算偏差程度在10%以内的，得5分，偏差在10%-20%之间的，得3分，偏差超过20%的，不得分。</w:t>
            </w:r>
          </w:p>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专项资金，预决算偏差程度在10%以内的，得3分。偏差度在10%-20%之间的，得2分，偏差度超过20%的，不得分。</w:t>
            </w:r>
          </w:p>
        </w:tc>
      </w:tr>
      <w:tr>
        <w:tblPrEx>
          <w:tblCellMar>
            <w:top w:w="0" w:type="dxa"/>
            <w:left w:w="108" w:type="dxa"/>
            <w:bottom w:w="0" w:type="dxa"/>
            <w:right w:w="108" w:type="dxa"/>
          </w:tblCellMar>
        </w:tblPrEx>
        <w:trPr>
          <w:trHeight w:val="1968"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 xml:space="preserve">                                                                             预算执行（20分）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支出控制</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8</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部门公用经费及非定额公用支出控制情况。</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计算部门日常公用经费、项目支出中“办公费、印刷费、水费、电费、物业管理费”等科目年初预算数与决算数偏差程度                                               1.预决算偏差程度在10%以内的，得4分。偏差度在10%-20%之间的，得2分，偏差度超过20%的，不得分。                                           </w:t>
            </w:r>
          </w:p>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2.预决算偏差程度与全县平均水平进行比较，偏差度低于平均水平的，得4分，高于全县平均水平的，按照与平均水平差异扣分。</w:t>
            </w:r>
          </w:p>
        </w:tc>
      </w:tr>
      <w:tr>
        <w:tblPrEx>
          <w:tblCellMar>
            <w:top w:w="0" w:type="dxa"/>
            <w:left w:w="108" w:type="dxa"/>
            <w:bottom w:w="0" w:type="dxa"/>
            <w:right w:w="108" w:type="dxa"/>
          </w:tblCellMar>
        </w:tblPrEx>
        <w:trPr>
          <w:trHeight w:val="733"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动态调整</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r>
              <w:rPr>
                <w:rFonts w:hint="eastAsia" w:ascii="仿宋" w:hAnsi="仿宋" w:eastAsia="仿宋" w:cs="仿宋"/>
                <w:color w:val="000000"/>
                <w:sz w:val="20"/>
                <w:szCs w:val="20"/>
              </w:rPr>
              <w:t>6</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评价部门开展绩效运行监控后，将绩效监控结果应用到预算调整的情况。</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指标得分=部门绩效监控调整取消额÷(部门绩效监控调整取消额+预算结余注销额）*6                                                                        当部门绩效监控调整取消额与结余注销额之和为零时，得满分。</w:t>
            </w:r>
          </w:p>
        </w:tc>
      </w:tr>
      <w:tr>
        <w:tblPrEx>
          <w:tblCellMar>
            <w:top w:w="0" w:type="dxa"/>
            <w:left w:w="108" w:type="dxa"/>
            <w:bottom w:w="0" w:type="dxa"/>
            <w:right w:w="108" w:type="dxa"/>
          </w:tblCellMar>
        </w:tblPrEx>
        <w:trPr>
          <w:trHeight w:val="1462"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执行进度</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4</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评价部门在6、9、11月的预算执行情况。</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部门预算执行进度在6、9、11月应达到序时进度的80%、90%、90%，即实际支出进度分别达到40%、67.5%、82.5%。                                                     6、9、11月部门预算执行进度达到量化指标的各得2分，未达到目标进度的按其实际进度占目标进度的比重计算得分。                                             </w:t>
            </w:r>
          </w:p>
        </w:tc>
      </w:tr>
      <w:tr>
        <w:tblPrEx>
          <w:tblCellMar>
            <w:top w:w="0" w:type="dxa"/>
            <w:left w:w="108" w:type="dxa"/>
            <w:bottom w:w="0" w:type="dxa"/>
            <w:right w:w="108" w:type="dxa"/>
          </w:tblCellMar>
        </w:tblPrEx>
        <w:trPr>
          <w:trHeight w:val="565"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完成结果（16分）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预算完成</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7</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评价部门预算项目年终预算执行情况。</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部门预算项目12月预算执行进度达到100%的，得8分，未达100%的，按照实际进度量化计算得分。</w:t>
            </w:r>
          </w:p>
        </w:tc>
      </w:tr>
      <w:tr>
        <w:tblPrEx>
          <w:tblCellMar>
            <w:top w:w="0" w:type="dxa"/>
            <w:left w:w="108" w:type="dxa"/>
            <w:bottom w:w="0" w:type="dxa"/>
            <w:right w:w="108" w:type="dxa"/>
          </w:tblCellMar>
        </w:tblPrEx>
        <w:trPr>
          <w:trHeight w:val="763"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违规记录</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8</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根据审计监督、财政检查结果反映部门上一年度部门预算管理是否合规。</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依据上一年度审计监督、财政检查结果，出现部门预算管理方面违纪违规问题的，每个问题扣0.5分，直至扣完。</w:t>
            </w:r>
          </w:p>
        </w:tc>
      </w:tr>
      <w:tr>
        <w:tblPrEx>
          <w:tblCellMar>
            <w:top w:w="0" w:type="dxa"/>
            <w:left w:w="108" w:type="dxa"/>
            <w:bottom w:w="0" w:type="dxa"/>
            <w:right w:w="108" w:type="dxa"/>
          </w:tblCellMar>
        </w:tblPrEx>
        <w:trPr>
          <w:trHeight w:val="705" w:hRule="atLeast"/>
        </w:trPr>
        <w:tc>
          <w:tcPr>
            <w:tcW w:w="6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专项预算管理（20分）</w:t>
            </w: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项目决策（8分）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程序严密</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评价专项项目的设立是否经过严格评估论证、管理制度是否完善健全。</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1.专项项目设立时经过事前绩效评估或可行性论证的，得1.5分，否则不得分。</w:t>
            </w:r>
          </w:p>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2.专项资金的管理办法健全完善的，得1.5分，否则酌情扣分，无管理办法的，该指标不得分。</w:t>
            </w:r>
          </w:p>
        </w:tc>
      </w:tr>
      <w:tr>
        <w:tblPrEx>
          <w:tblCellMar>
            <w:top w:w="0" w:type="dxa"/>
            <w:left w:w="108" w:type="dxa"/>
            <w:bottom w:w="0" w:type="dxa"/>
            <w:right w:w="108" w:type="dxa"/>
          </w:tblCellMar>
        </w:tblPrEx>
        <w:trPr>
          <w:trHeight w:val="975"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规划合理</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评价项目规划是否符合县委、县政府重大决策部署，项目年度绩效目标与规划是否一致。</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numPr>
                <w:ilvl w:val="0"/>
                <w:numId w:val="1"/>
              </w:numPr>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专项项目（除一次性项目外）制定了中长期规划的，得1分，否则该三级指标整体不得分。                                                           </w:t>
            </w:r>
          </w:p>
          <w:p>
            <w:pPr>
              <w:keepNext w:val="0"/>
              <w:keepLines w:val="0"/>
              <w:widowControl w:val="0"/>
              <w:numPr>
                <w:ilvl w:val="0"/>
                <w:numId w:val="1"/>
              </w:numPr>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2.项目规划符合县委、县政府重大决策部署和宏观政策规划的，得1分。                                                             3.项目年度绩效目标与专项中长期规划一致的，得1分，有一处不符合的扣0.2分。</w:t>
            </w:r>
          </w:p>
        </w:tc>
      </w:tr>
      <w:tr>
        <w:tblPrEx>
          <w:tblCellMar>
            <w:top w:w="0" w:type="dxa"/>
            <w:left w:w="108" w:type="dxa"/>
            <w:bottom w:w="0" w:type="dxa"/>
            <w:right w:w="108" w:type="dxa"/>
          </w:tblCellMar>
        </w:tblPrEx>
        <w:trPr>
          <w:trHeight w:val="691"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结果符合</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1</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评价项目实施结果与项目总体规划计划是否一致。</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项目实际完成任务量和效果达到规划预期情况的，得满分。按项目法分配的项目，以所有项目点实施完成情况与规划计划情况进行对比。按因素法分配的项目和据实据效分配的项目，将资金分配方向与规划计划支持方向进行对比。完全达到预期的得满分。未完全达到规划预期情况的，以达到预期情况的资金量占项目总金额占比计分。指标得分=项目实施实施结果符合规划的金额/项目总金额*2</w:t>
            </w:r>
          </w:p>
        </w:tc>
      </w:tr>
      <w:tr>
        <w:tblPrEx>
          <w:tblCellMar>
            <w:top w:w="0" w:type="dxa"/>
            <w:left w:w="108" w:type="dxa"/>
            <w:bottom w:w="0" w:type="dxa"/>
            <w:right w:w="108" w:type="dxa"/>
          </w:tblCellMar>
        </w:tblPrEx>
        <w:trPr>
          <w:trHeight w:val="1405"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项目实施（4分）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分配科学</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评价项目分配方法选择是否科学，分类评价分配程序和过程管理是否规范。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1.项目分配选取了科学的绩效分配方法，得1分；                                       2.采用因素分配法的项目，项目因素选取合理的，得1分；采用项目法分配的项目，评分标准和立项程序合理规范的，得1分；据实据效的项目，基础数据真实，测算精准的，得1分。否则，酌情扣分。</w:t>
            </w:r>
          </w:p>
        </w:tc>
      </w:tr>
      <w:tr>
        <w:tblPrEx>
          <w:tblCellMar>
            <w:top w:w="0" w:type="dxa"/>
            <w:left w:w="108" w:type="dxa"/>
            <w:bottom w:w="0" w:type="dxa"/>
            <w:right w:w="108" w:type="dxa"/>
          </w:tblCellMar>
        </w:tblPrEx>
        <w:trPr>
          <w:trHeight w:val="601"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分配及时</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评价部门是否按规定时限及时分配专项预算资金。                    </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按《预算法》规定时限完成分配的考核得2分，否则不得分。                                              </w:t>
            </w:r>
          </w:p>
        </w:tc>
      </w:tr>
      <w:tr>
        <w:tblPrEx>
          <w:tblCellMar>
            <w:top w:w="0" w:type="dxa"/>
            <w:left w:w="108" w:type="dxa"/>
            <w:bottom w:w="0" w:type="dxa"/>
            <w:right w:w="108" w:type="dxa"/>
          </w:tblCellMar>
        </w:tblPrEx>
        <w:trPr>
          <w:trHeight w:val="616"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完成结果（8分）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预算完成</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评价专项项目资金拨付到具体项目（人）的情况。</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专项资金实际拨付到具体项目（人）的进度达到100%的，得3分，未达到100%的，指标得分=实际拨付金额/专项项目金额*3。</w:t>
            </w:r>
          </w:p>
        </w:tc>
      </w:tr>
      <w:tr>
        <w:tblPrEx>
          <w:tblCellMar>
            <w:top w:w="0" w:type="dxa"/>
            <w:left w:w="108" w:type="dxa"/>
            <w:bottom w:w="0" w:type="dxa"/>
            <w:right w:w="108" w:type="dxa"/>
          </w:tblCellMar>
        </w:tblPrEx>
        <w:trPr>
          <w:trHeight w:val="655"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实施绩效</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评价专项项目实施绩效情况。                      </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部门专项项目属于当年财政重点评价范围的，该项得分使用项目支出评价共性指标、特性指标和个性指标得分换算，满分6分。若部门专项项目不属于当年重点评价范围的，采用最近年度重点评价相关指标得分换算。</w:t>
            </w:r>
          </w:p>
        </w:tc>
      </w:tr>
      <w:tr>
        <w:tblPrEx>
          <w:tblCellMar>
            <w:top w:w="0" w:type="dxa"/>
            <w:left w:w="108" w:type="dxa"/>
            <w:bottom w:w="0" w:type="dxa"/>
            <w:right w:w="108" w:type="dxa"/>
          </w:tblCellMar>
        </w:tblPrEx>
        <w:trPr>
          <w:trHeight w:val="508"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违规记录</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根据审计监督、财政检查结果反映部门上一年度部门专项预算管理是否合规。</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依据上一年度审计、财政检查结果，出现专项预算管理方面违纪违规问题的，每个问题扣0.2分，直至扣完。</w:t>
            </w:r>
          </w:p>
        </w:tc>
      </w:tr>
      <w:tr>
        <w:tblPrEx>
          <w:tblCellMar>
            <w:top w:w="0" w:type="dxa"/>
            <w:left w:w="108" w:type="dxa"/>
            <w:bottom w:w="0" w:type="dxa"/>
            <w:right w:w="108" w:type="dxa"/>
          </w:tblCellMar>
        </w:tblPrEx>
        <w:trPr>
          <w:trHeight w:val="433" w:hRule="atLeast"/>
        </w:trPr>
        <w:tc>
          <w:tcPr>
            <w:tcW w:w="6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绩效结果应用（20分）</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自评质量（4分）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自评准确</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评价部门整体支出自评准确率。</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部门整体支出自评得分与评价组抽查得分差异在5%以内的，不扣分；在5%-10%之间的，扣1分，在10%-20%的，扣2分，在20%以上的，扣4分。</w:t>
            </w:r>
          </w:p>
        </w:tc>
      </w:tr>
      <w:tr>
        <w:tblPrEx>
          <w:tblCellMar>
            <w:top w:w="0" w:type="dxa"/>
            <w:left w:w="108" w:type="dxa"/>
            <w:bottom w:w="0" w:type="dxa"/>
            <w:right w:w="108" w:type="dxa"/>
          </w:tblCellMar>
        </w:tblPrEx>
        <w:trPr>
          <w:trHeight w:val="90"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信息公开（8分）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目标公开</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评价部门绩效目标是否按要求向社会公开。</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按要求随同预算公开的，得4分。</w:t>
            </w:r>
          </w:p>
        </w:tc>
      </w:tr>
      <w:tr>
        <w:tblPrEx>
          <w:tblCellMar>
            <w:top w:w="0" w:type="dxa"/>
            <w:left w:w="108" w:type="dxa"/>
            <w:bottom w:w="0" w:type="dxa"/>
            <w:right w:w="108" w:type="dxa"/>
          </w:tblCellMar>
        </w:tblPrEx>
        <w:trPr>
          <w:trHeight w:val="673"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自评公开</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评价部门是否按要求将部门整体绩效自评情况和自行组织的评价情况向社会公开。</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按要求随同决算公开的，得4分。</w:t>
            </w:r>
          </w:p>
        </w:tc>
      </w:tr>
      <w:tr>
        <w:tblPrEx>
          <w:tblCellMar>
            <w:top w:w="0" w:type="dxa"/>
            <w:left w:w="108" w:type="dxa"/>
            <w:bottom w:w="0" w:type="dxa"/>
            <w:right w:w="108" w:type="dxa"/>
          </w:tblCellMar>
        </w:tblPrEx>
        <w:trPr>
          <w:trHeight w:val="421"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整改反馈（8分）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结果整改</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3</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评价部门根据绩效管理结果整改问题、完善政策、改进管理的情况。</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针对绩效管理过程中（包括绩效目标核查、绩效监控核查和重点绩效评价）提出的问题，发现一处未整改的，扣1分，直至扣完。</w:t>
            </w:r>
          </w:p>
        </w:tc>
      </w:tr>
      <w:tr>
        <w:tblPrEx>
          <w:tblCellMar>
            <w:top w:w="0" w:type="dxa"/>
            <w:left w:w="108" w:type="dxa"/>
            <w:bottom w:w="0" w:type="dxa"/>
            <w:right w:w="108" w:type="dxa"/>
          </w:tblCellMar>
        </w:tblPrEx>
        <w:trPr>
          <w:trHeight w:val="541" w:hRule="atLeast"/>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应用反馈</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评价部门按要求及时向财政部门反馈结果应用情况。</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部门在规定时间内向财政部门反馈、报送相应绩效自评报告、应用结果、整改报告的，得满分；未按时报送一次扣1分，扣完为止。</w:t>
            </w:r>
          </w:p>
        </w:tc>
      </w:tr>
      <w:tr>
        <w:tblPrEx>
          <w:tblCellMar>
            <w:top w:w="0" w:type="dxa"/>
            <w:left w:w="108" w:type="dxa"/>
            <w:bottom w:w="0" w:type="dxa"/>
            <w:right w:w="108" w:type="dxa"/>
          </w:tblCellMar>
        </w:tblPrEx>
        <w:trPr>
          <w:trHeight w:val="360" w:hRule="atLeast"/>
        </w:trPr>
        <w:tc>
          <w:tcPr>
            <w:tcW w:w="1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总分合计</w:t>
            </w:r>
          </w:p>
        </w:tc>
        <w:tc>
          <w:tcPr>
            <w:tcW w:w="6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100</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95</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000000"/>
                <w:sz w:val="20"/>
                <w:szCs w:val="20"/>
              </w:rPr>
            </w:pP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240" w:lineRule="exact"/>
              <w:ind w:left="0" w:right="0"/>
              <w:jc w:val="both"/>
              <w:rPr>
                <w:rFonts w:hint="eastAsia" w:ascii="仿宋" w:hAnsi="仿宋" w:eastAsia="仿宋" w:cs="仿宋"/>
                <w:color w:val="000000"/>
                <w:kern w:val="0"/>
                <w:sz w:val="20"/>
                <w:szCs w:val="20"/>
                <w:lang w:val="en-US" w:eastAsia="zh-CN" w:bidi="ar"/>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jc w:val="both"/>
        <w:textAlignment w:val="auto"/>
        <w:rPr>
          <w:rFonts w:hint="eastAsia" w:ascii="仿宋_GB2312" w:hAnsi="仿宋_GB2312" w:eastAsia="仿宋_GB2312" w:cs="仿宋_GB2312"/>
          <w:b/>
          <w:sz w:val="32"/>
          <w:szCs w:val="32"/>
        </w:rPr>
      </w:pPr>
    </w:p>
    <w:p>
      <w:pPr>
        <w:keepNext w:val="0"/>
        <w:keepLines w:val="0"/>
        <w:pageBreakBefore w:val="0"/>
        <w:kinsoku/>
        <w:wordWrap/>
        <w:topLinePunct w:val="0"/>
        <w:autoSpaceDE/>
        <w:autoSpaceDN/>
        <w:bidi w:val="0"/>
        <w:adjustRightInd/>
        <w:snapToGrid/>
        <w:spacing w:line="576"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（二）综合管理情况</w:t>
      </w:r>
    </w:p>
    <w:p>
      <w:pPr>
        <w:keepNext w:val="0"/>
        <w:keepLines w:val="0"/>
        <w:pageBreakBefore w:val="0"/>
        <w:kinsoku/>
        <w:wordWrap/>
        <w:topLinePunct w:val="0"/>
        <w:autoSpaceDE/>
        <w:autoSpaceDN/>
        <w:bidi w:val="0"/>
        <w:adjustRightInd/>
        <w:snapToGrid/>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1.年度目标完成情况</w:t>
      </w:r>
    </w:p>
    <w:p>
      <w:pPr>
        <w:keepNext w:val="0"/>
        <w:keepLines w:val="0"/>
        <w:pageBreakBefore w:val="0"/>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lang w:val="en-US" w:eastAsia="zh-CN"/>
        </w:rPr>
      </w:pPr>
      <w:r>
        <w:rPr>
          <w:rFonts w:hint="eastAsia" w:ascii="仿宋_GB2312" w:hAnsi="仿宋_GB2312" w:eastAsia="仿宋_GB2312" w:cs="仿宋_GB2312"/>
          <w:w w:val="99"/>
          <w:sz w:val="32"/>
          <w:szCs w:val="32"/>
          <w:lang w:eastAsia="zh-CN"/>
        </w:rPr>
        <w:t>经核实，县目标绩效事务中心对该单位</w:t>
      </w:r>
      <w:r>
        <w:rPr>
          <w:rFonts w:hint="eastAsia" w:ascii="仿宋_GB2312" w:hAnsi="仿宋_GB2312" w:eastAsia="仿宋_GB2312" w:cs="仿宋_GB2312"/>
          <w:w w:val="99"/>
          <w:sz w:val="32"/>
          <w:szCs w:val="32"/>
          <w:lang w:val="en-US" w:eastAsia="zh-CN"/>
        </w:rPr>
        <w:t>2020年年度考核结果为二等奖，年度目标完成情况较好。</w:t>
      </w:r>
    </w:p>
    <w:p>
      <w:pPr>
        <w:keepNext w:val="0"/>
        <w:keepLines w:val="0"/>
        <w:pageBreakBefore w:val="0"/>
        <w:kinsoku/>
        <w:wordWrap/>
        <w:overflowPunct w:val="0"/>
        <w:topLinePunct w:val="0"/>
        <w:autoSpaceDE/>
        <w:autoSpaceDN/>
        <w:bidi w:val="0"/>
        <w:adjustRightInd/>
        <w:snapToGrid/>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2.预算编制情况</w:t>
      </w:r>
    </w:p>
    <w:p>
      <w:pPr>
        <w:keepNext w:val="0"/>
        <w:keepLines w:val="0"/>
        <w:pageBreakBefore w:val="0"/>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lang w:eastAsia="zh-CN"/>
        </w:rPr>
        <w:t>该单位</w:t>
      </w:r>
      <w:r>
        <w:rPr>
          <w:rFonts w:hint="eastAsia" w:ascii="仿宋_GB2312" w:hAnsi="仿宋_GB2312" w:eastAsia="仿宋_GB2312" w:cs="仿宋_GB2312"/>
          <w:w w:val="99"/>
          <w:sz w:val="32"/>
          <w:szCs w:val="32"/>
        </w:rPr>
        <w:t>预算编制编制了年度</w:t>
      </w:r>
      <w:r>
        <w:rPr>
          <w:rFonts w:hint="eastAsia" w:ascii="仿宋_GB2312" w:hAnsi="仿宋_GB2312" w:eastAsia="仿宋_GB2312" w:cs="仿宋_GB2312"/>
          <w:w w:val="99"/>
          <w:sz w:val="32"/>
          <w:szCs w:val="32"/>
          <w:lang w:val="en-US" w:eastAsia="zh-CN"/>
        </w:rPr>
        <w:t>7大</w:t>
      </w:r>
      <w:r>
        <w:rPr>
          <w:rFonts w:hint="eastAsia" w:ascii="仿宋_GB2312" w:hAnsi="仿宋_GB2312" w:eastAsia="仿宋_GB2312" w:cs="仿宋_GB2312"/>
          <w:w w:val="99"/>
          <w:sz w:val="32"/>
          <w:szCs w:val="32"/>
        </w:rPr>
        <w:t>总体目标</w:t>
      </w:r>
      <w:r>
        <w:rPr>
          <w:rFonts w:hint="eastAsia" w:ascii="仿宋_GB2312" w:hAnsi="仿宋_GB2312" w:eastAsia="仿宋_GB2312" w:cs="仿宋_GB2312"/>
          <w:w w:val="99"/>
          <w:sz w:val="32"/>
          <w:szCs w:val="32"/>
          <w:lang w:eastAsia="zh-CN"/>
        </w:rPr>
        <w:t>任务</w:t>
      </w:r>
      <w:r>
        <w:rPr>
          <w:rFonts w:hint="eastAsia" w:ascii="仿宋_GB2312" w:hAnsi="仿宋_GB2312" w:eastAsia="仿宋_GB2312" w:cs="仿宋_GB2312"/>
          <w:w w:val="99"/>
          <w:sz w:val="32"/>
          <w:szCs w:val="32"/>
        </w:rPr>
        <w:t>，设置了数量、质量、时效、成本、经济效益、社会效益、生态效益、可持续影响、服务对象满意度</w:t>
      </w:r>
      <w:r>
        <w:rPr>
          <w:rFonts w:hint="eastAsia" w:ascii="仿宋_GB2312" w:hAnsi="仿宋_GB2312" w:eastAsia="仿宋_GB2312" w:cs="仿宋_GB2312"/>
          <w:w w:val="99"/>
          <w:sz w:val="32"/>
          <w:szCs w:val="32"/>
          <w:lang w:eastAsia="zh-CN"/>
        </w:rPr>
        <w:t>等</w:t>
      </w:r>
      <w:r>
        <w:rPr>
          <w:rFonts w:hint="eastAsia" w:ascii="仿宋_GB2312" w:hAnsi="仿宋_GB2312" w:eastAsia="仿宋_GB2312" w:cs="仿宋_GB2312"/>
          <w:w w:val="99"/>
          <w:sz w:val="32"/>
          <w:szCs w:val="32"/>
        </w:rPr>
        <w:t>指标，单位预算编制要素完整、做到了绩效指标细化、量化。</w:t>
      </w:r>
    </w:p>
    <w:p>
      <w:pPr>
        <w:keepNext w:val="0"/>
        <w:keepLines w:val="0"/>
        <w:pageBreakBefore w:val="0"/>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lang w:val="en-US" w:eastAsia="zh-CN"/>
        </w:rPr>
      </w:pPr>
      <w:r>
        <w:rPr>
          <w:rFonts w:hint="eastAsia" w:ascii="仿宋_GB2312" w:hAnsi="仿宋_GB2312" w:eastAsia="仿宋_GB2312" w:cs="仿宋_GB2312"/>
          <w:w w:val="99"/>
          <w:sz w:val="32"/>
          <w:szCs w:val="32"/>
          <w:lang w:eastAsia="zh-CN"/>
        </w:rPr>
        <w:t>20</w:t>
      </w:r>
      <w:r>
        <w:rPr>
          <w:rFonts w:hint="eastAsia" w:ascii="仿宋_GB2312" w:hAnsi="仿宋_GB2312" w:eastAsia="仿宋_GB2312" w:cs="仿宋_GB2312"/>
          <w:w w:val="99"/>
          <w:sz w:val="32"/>
          <w:szCs w:val="32"/>
          <w:lang w:val="en-US" w:eastAsia="zh-CN"/>
        </w:rPr>
        <w:t>20</w:t>
      </w:r>
      <w:r>
        <w:rPr>
          <w:rFonts w:hint="eastAsia" w:ascii="仿宋_GB2312" w:hAnsi="仿宋_GB2312" w:eastAsia="仿宋_GB2312" w:cs="仿宋_GB2312"/>
          <w:w w:val="99"/>
          <w:sz w:val="32"/>
          <w:szCs w:val="32"/>
          <w:lang w:eastAsia="zh-CN"/>
        </w:rPr>
        <w:t>年该单位根据实际情况编写预算，年初一般公共预算拨款收入</w:t>
      </w:r>
      <w:r>
        <w:rPr>
          <w:rFonts w:hint="eastAsia" w:ascii="仿宋_GB2312" w:hAnsi="仿宋_GB2312" w:eastAsia="仿宋_GB2312" w:cs="仿宋_GB2312"/>
          <w:w w:val="99"/>
          <w:sz w:val="32"/>
          <w:szCs w:val="32"/>
          <w:lang w:val="en-US" w:eastAsia="zh-CN"/>
        </w:rPr>
        <w:t>185.8</w:t>
      </w:r>
      <w:r>
        <w:rPr>
          <w:rFonts w:hint="eastAsia" w:ascii="仿宋_GB2312" w:hAnsi="仿宋_GB2312" w:eastAsia="仿宋_GB2312" w:cs="仿宋_GB2312"/>
          <w:w w:val="99"/>
          <w:sz w:val="32"/>
          <w:szCs w:val="32"/>
          <w:lang w:eastAsia="zh-CN"/>
        </w:rPr>
        <w:t>万元，其中：社会保障和就业支出</w:t>
      </w:r>
      <w:r>
        <w:rPr>
          <w:rFonts w:hint="eastAsia" w:ascii="仿宋_GB2312" w:hAnsi="仿宋_GB2312" w:eastAsia="仿宋_GB2312" w:cs="仿宋_GB2312"/>
          <w:w w:val="99"/>
          <w:sz w:val="32"/>
          <w:szCs w:val="32"/>
          <w:lang w:val="en-US" w:eastAsia="zh-CN"/>
        </w:rPr>
        <w:t>17.9</w:t>
      </w:r>
      <w:r>
        <w:rPr>
          <w:rFonts w:hint="eastAsia" w:ascii="仿宋_GB2312" w:hAnsi="仿宋_GB2312" w:eastAsia="仿宋_GB2312" w:cs="仿宋_GB2312"/>
          <w:w w:val="99"/>
          <w:sz w:val="32"/>
          <w:szCs w:val="32"/>
          <w:lang w:eastAsia="zh-CN"/>
        </w:rPr>
        <w:t>万元；卫生健康支出</w:t>
      </w:r>
      <w:r>
        <w:rPr>
          <w:rFonts w:hint="eastAsia" w:ascii="仿宋_GB2312" w:hAnsi="仿宋_GB2312" w:eastAsia="仿宋_GB2312" w:cs="仿宋_GB2312"/>
          <w:w w:val="99"/>
          <w:sz w:val="32"/>
          <w:szCs w:val="32"/>
          <w:lang w:val="en-US" w:eastAsia="zh-CN"/>
        </w:rPr>
        <w:t>9</w:t>
      </w:r>
      <w:r>
        <w:rPr>
          <w:rFonts w:hint="eastAsia" w:ascii="仿宋_GB2312" w:hAnsi="仿宋_GB2312" w:eastAsia="仿宋_GB2312" w:cs="仿宋_GB2312"/>
          <w:w w:val="99"/>
          <w:sz w:val="32"/>
          <w:szCs w:val="32"/>
          <w:lang w:eastAsia="zh-CN"/>
        </w:rPr>
        <w:t>万元；节能环保支出</w:t>
      </w:r>
      <w:r>
        <w:rPr>
          <w:rFonts w:hint="eastAsia" w:ascii="仿宋_GB2312" w:hAnsi="仿宋_GB2312" w:eastAsia="仿宋_GB2312" w:cs="仿宋_GB2312"/>
          <w:w w:val="99"/>
          <w:sz w:val="32"/>
          <w:szCs w:val="32"/>
          <w:lang w:val="en-US" w:eastAsia="zh-CN"/>
        </w:rPr>
        <w:t>31.3万元；商业服务业支出114.2万元；住房保障13.4万元。</w:t>
      </w:r>
      <w:r>
        <w:rPr>
          <w:rFonts w:hint="eastAsia" w:ascii="仿宋_GB2312" w:hAnsi="仿宋_GB2312" w:eastAsia="仿宋_GB2312" w:cs="仿宋_GB2312"/>
          <w:w w:val="99"/>
          <w:sz w:val="32"/>
          <w:szCs w:val="32"/>
          <w:lang w:eastAsia="zh-CN"/>
        </w:rPr>
        <w:t>年初预算编制基本科学准确。</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预算执行情况</w:t>
      </w:r>
    </w:p>
    <w:p>
      <w:pPr>
        <w:keepNext w:val="0"/>
        <w:keepLines w:val="0"/>
        <w:pageBreakBefore w:val="0"/>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lang w:eastAsia="zh-CN"/>
        </w:rPr>
      </w:pPr>
      <w:r>
        <w:rPr>
          <w:rFonts w:hint="eastAsia" w:ascii="仿宋_GB2312" w:hAnsi="仿宋_GB2312" w:eastAsia="仿宋_GB2312" w:cs="仿宋_GB2312"/>
          <w:w w:val="99"/>
          <w:sz w:val="32"/>
          <w:szCs w:val="32"/>
          <w:lang w:eastAsia="zh-CN"/>
        </w:rPr>
        <w:t>（1）支出控制情况</w:t>
      </w:r>
    </w:p>
    <w:p>
      <w:pPr>
        <w:keepNext w:val="0"/>
        <w:keepLines w:val="0"/>
        <w:pageBreakBefore w:val="0"/>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lang w:eastAsia="zh-CN"/>
        </w:rPr>
      </w:pPr>
      <w:r>
        <w:rPr>
          <w:rFonts w:hint="eastAsia" w:ascii="仿宋_GB2312" w:hAnsi="仿宋_GB2312" w:eastAsia="仿宋_GB2312" w:cs="仿宋_GB2312"/>
          <w:w w:val="99"/>
          <w:sz w:val="32"/>
          <w:szCs w:val="32"/>
          <w:lang w:eastAsia="zh-CN"/>
        </w:rPr>
        <w:t>该单位年初预算公业务费</w:t>
      </w:r>
      <w:r>
        <w:rPr>
          <w:rFonts w:hint="eastAsia" w:ascii="仿宋_GB2312" w:hAnsi="仿宋_GB2312" w:eastAsia="仿宋_GB2312" w:cs="仿宋_GB2312"/>
          <w:w w:val="99"/>
          <w:sz w:val="32"/>
          <w:szCs w:val="32"/>
          <w:lang w:val="en-US" w:eastAsia="zh-CN"/>
        </w:rPr>
        <w:t>14万元，其中基本业务费12.05万元，2020年</w:t>
      </w:r>
      <w:r>
        <w:rPr>
          <w:rFonts w:hint="eastAsia" w:ascii="仿宋_GB2312" w:hAnsi="仿宋_GB2312" w:eastAsia="仿宋_GB2312" w:cs="仿宋_GB2312"/>
          <w:w w:val="99"/>
          <w:sz w:val="32"/>
          <w:szCs w:val="32"/>
          <w:lang w:eastAsia="zh-CN"/>
        </w:rPr>
        <w:t>基本业务支出</w:t>
      </w:r>
      <w:r>
        <w:rPr>
          <w:rFonts w:hint="eastAsia" w:ascii="仿宋_GB2312" w:hAnsi="仿宋_GB2312" w:eastAsia="仿宋_GB2312" w:cs="仿宋_GB2312"/>
          <w:w w:val="99"/>
          <w:sz w:val="32"/>
          <w:szCs w:val="32"/>
          <w:lang w:val="en-US" w:eastAsia="zh-CN"/>
        </w:rPr>
        <w:t>6.3万元，结转5.75万元。</w:t>
      </w:r>
      <w:r>
        <w:rPr>
          <w:rFonts w:hint="eastAsia" w:ascii="仿宋_GB2312" w:hAnsi="仿宋_GB2312" w:eastAsia="仿宋_GB2312" w:cs="仿宋_GB2312"/>
          <w:w w:val="99"/>
          <w:sz w:val="32"/>
          <w:szCs w:val="32"/>
          <w:lang w:eastAsia="zh-CN"/>
        </w:rPr>
        <w:t>“三公”</w:t>
      </w:r>
      <w:bookmarkStart w:id="61" w:name="_GoBack"/>
      <w:bookmarkEnd w:id="61"/>
      <w:r>
        <w:rPr>
          <w:rFonts w:hint="eastAsia" w:ascii="仿宋_GB2312" w:hAnsi="仿宋_GB2312" w:eastAsia="仿宋_GB2312" w:cs="仿宋_GB2312"/>
          <w:w w:val="99"/>
          <w:sz w:val="32"/>
          <w:szCs w:val="32"/>
          <w:lang w:eastAsia="zh-CN"/>
        </w:rPr>
        <w:t>经费年初预算</w:t>
      </w:r>
      <w:r>
        <w:rPr>
          <w:rFonts w:hint="eastAsia" w:ascii="仿宋_GB2312" w:hAnsi="仿宋_GB2312" w:eastAsia="仿宋_GB2312" w:cs="仿宋_GB2312"/>
          <w:w w:val="99"/>
          <w:sz w:val="32"/>
          <w:szCs w:val="32"/>
          <w:lang w:val="en-US" w:eastAsia="zh-CN"/>
        </w:rPr>
        <w:t>1.95万元 ，账面支出1.94万元。</w:t>
      </w:r>
    </w:p>
    <w:p>
      <w:pPr>
        <w:keepNext w:val="0"/>
        <w:keepLines w:val="0"/>
        <w:pageBreakBefore w:val="0"/>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lang w:eastAsia="zh-CN"/>
        </w:rPr>
      </w:pPr>
      <w:r>
        <w:rPr>
          <w:rFonts w:hint="eastAsia" w:ascii="仿宋_GB2312" w:hAnsi="仿宋_GB2312" w:eastAsia="仿宋_GB2312" w:cs="仿宋_GB2312"/>
          <w:w w:val="99"/>
          <w:sz w:val="32"/>
          <w:szCs w:val="32"/>
          <w:lang w:eastAsia="zh-CN"/>
        </w:rPr>
        <w:t>（2）动态调整情况</w:t>
      </w:r>
    </w:p>
    <w:p>
      <w:pPr>
        <w:keepNext w:val="0"/>
        <w:keepLines w:val="0"/>
        <w:pageBreakBefore w:val="0"/>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rPr>
        <w:t>无部门绩效监控取消预算额。</w:t>
      </w:r>
    </w:p>
    <w:p>
      <w:pPr>
        <w:keepNext w:val="0"/>
        <w:keepLines w:val="0"/>
        <w:pageBreakBefore w:val="0"/>
        <w:widowControl w:val="0"/>
        <w:numPr>
          <w:ilvl w:val="0"/>
          <w:numId w:val="2"/>
        </w:numPr>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lang w:val="en-US" w:eastAsia="zh-CN"/>
        </w:rPr>
      </w:pPr>
      <w:r>
        <w:rPr>
          <w:rFonts w:hint="eastAsia" w:ascii="仿宋_GB2312" w:hAnsi="仿宋_GB2312" w:eastAsia="仿宋_GB2312" w:cs="仿宋_GB2312"/>
          <w:w w:val="99"/>
          <w:sz w:val="32"/>
          <w:szCs w:val="32"/>
        </w:rPr>
        <w:t>执行进度情况</w:t>
      </w:r>
    </w:p>
    <w:p>
      <w:pPr>
        <w:keepNext w:val="0"/>
        <w:keepLines w:val="0"/>
        <w:pageBreakBefore w:val="0"/>
        <w:widowControl w:val="0"/>
        <w:numPr>
          <w:ilvl w:val="0"/>
          <w:numId w:val="2"/>
        </w:numPr>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lang w:val="en-US" w:eastAsia="zh-CN"/>
        </w:rPr>
      </w:pPr>
      <w:r>
        <w:rPr>
          <w:rFonts w:hint="eastAsia" w:ascii="仿宋_GB2312" w:hAnsi="仿宋_GB2312" w:eastAsia="仿宋_GB2312" w:cs="仿宋_GB2312"/>
          <w:w w:val="99"/>
          <w:sz w:val="32"/>
          <w:szCs w:val="32"/>
        </w:rPr>
        <w:t xml:space="preserve">    </w:t>
      </w:r>
      <w:r>
        <w:rPr>
          <w:rFonts w:hint="eastAsia" w:ascii="仿宋_GB2312" w:hAnsi="仿宋_GB2312" w:eastAsia="仿宋_GB2312" w:cs="仿宋_GB2312"/>
          <w:w w:val="99"/>
          <w:sz w:val="32"/>
          <w:szCs w:val="32"/>
          <w:lang w:eastAsia="zh-CN"/>
        </w:rPr>
        <w:t>该</w:t>
      </w:r>
      <w:r>
        <w:rPr>
          <w:rFonts w:hint="eastAsia" w:ascii="仿宋_GB2312" w:hAnsi="仿宋_GB2312" w:eastAsia="仿宋_GB2312" w:cs="仿宋_GB2312"/>
          <w:w w:val="99"/>
          <w:sz w:val="32"/>
          <w:szCs w:val="32"/>
        </w:rPr>
        <w:t>单位</w:t>
      </w:r>
      <w:r>
        <w:rPr>
          <w:rFonts w:hint="eastAsia" w:ascii="仿宋_GB2312" w:hAnsi="仿宋_GB2312" w:eastAsia="仿宋_GB2312" w:cs="仿宋_GB2312"/>
          <w:w w:val="99"/>
          <w:sz w:val="32"/>
          <w:szCs w:val="32"/>
          <w:lang w:val="en-US" w:eastAsia="zh-CN"/>
        </w:rPr>
        <w:t>6-11月均完成目标任务工作量的100%，</w:t>
      </w:r>
      <w:r>
        <w:rPr>
          <w:rFonts w:hint="eastAsia" w:ascii="仿宋_GB2312" w:hAnsi="仿宋_GB2312" w:eastAsia="仿宋_GB2312" w:cs="仿宋_GB2312"/>
          <w:w w:val="99"/>
          <w:sz w:val="32"/>
          <w:szCs w:val="32"/>
        </w:rPr>
        <w:t>6月末执行进度为</w:t>
      </w:r>
      <w:r>
        <w:rPr>
          <w:rFonts w:hint="eastAsia" w:ascii="仿宋_GB2312" w:hAnsi="仿宋_GB2312" w:eastAsia="仿宋_GB2312" w:cs="仿宋_GB2312"/>
          <w:w w:val="99"/>
          <w:sz w:val="32"/>
          <w:szCs w:val="32"/>
          <w:lang w:val="en-US" w:eastAsia="zh-CN"/>
        </w:rPr>
        <w:t>77.33</w:t>
      </w:r>
      <w:r>
        <w:rPr>
          <w:rFonts w:hint="eastAsia" w:ascii="仿宋_GB2312" w:hAnsi="仿宋_GB2312" w:eastAsia="仿宋_GB2312" w:cs="仿宋_GB2312"/>
          <w:w w:val="99"/>
          <w:sz w:val="32"/>
          <w:szCs w:val="32"/>
        </w:rPr>
        <w:t>万元，占总预算收入</w:t>
      </w:r>
      <w:r>
        <w:rPr>
          <w:rFonts w:hint="eastAsia" w:ascii="仿宋_GB2312" w:hAnsi="仿宋_GB2312" w:eastAsia="仿宋_GB2312" w:cs="仿宋_GB2312"/>
          <w:color w:val="auto"/>
          <w:kern w:val="2"/>
          <w:sz w:val="32"/>
          <w:szCs w:val="32"/>
          <w:lang w:val="en-US" w:eastAsia="zh-CN" w:bidi="ar-SA"/>
        </w:rPr>
        <w:t>287.8</w:t>
      </w:r>
      <w:r>
        <w:rPr>
          <w:rFonts w:hint="eastAsia" w:ascii="仿宋_GB2312" w:hAnsi="仿宋_GB2312" w:eastAsia="仿宋_GB2312" w:cs="仿宋_GB2312"/>
          <w:w w:val="99"/>
          <w:sz w:val="32"/>
          <w:szCs w:val="32"/>
        </w:rPr>
        <w:t>万元的</w:t>
      </w:r>
      <w:r>
        <w:rPr>
          <w:rFonts w:hint="eastAsia" w:ascii="仿宋_GB2312" w:hAnsi="仿宋_GB2312" w:eastAsia="仿宋_GB2312" w:cs="仿宋_GB2312"/>
          <w:w w:val="99"/>
          <w:sz w:val="32"/>
          <w:szCs w:val="32"/>
          <w:lang w:val="en-US" w:eastAsia="zh-CN"/>
        </w:rPr>
        <w:t>26.87</w:t>
      </w:r>
      <w:r>
        <w:rPr>
          <w:rFonts w:hint="eastAsia" w:ascii="仿宋_GB2312" w:hAnsi="仿宋_GB2312" w:eastAsia="仿宋_GB2312" w:cs="仿宋_GB2312"/>
          <w:w w:val="99"/>
          <w:sz w:val="32"/>
          <w:szCs w:val="32"/>
        </w:rPr>
        <w:t>%；9月末执行进度为</w:t>
      </w:r>
      <w:r>
        <w:rPr>
          <w:rFonts w:hint="eastAsia" w:ascii="仿宋_GB2312" w:hAnsi="仿宋_GB2312" w:eastAsia="仿宋_GB2312" w:cs="仿宋_GB2312"/>
          <w:w w:val="99"/>
          <w:sz w:val="32"/>
          <w:szCs w:val="32"/>
          <w:lang w:val="en-US" w:eastAsia="zh-CN"/>
        </w:rPr>
        <w:t>153.68</w:t>
      </w:r>
      <w:r>
        <w:rPr>
          <w:rFonts w:hint="eastAsia" w:ascii="仿宋_GB2312" w:hAnsi="仿宋_GB2312" w:eastAsia="仿宋_GB2312" w:cs="仿宋_GB2312"/>
          <w:w w:val="99"/>
          <w:sz w:val="32"/>
          <w:szCs w:val="32"/>
        </w:rPr>
        <w:t>万元，占总预算收入</w:t>
      </w:r>
      <w:r>
        <w:rPr>
          <w:rFonts w:hint="eastAsia" w:ascii="仿宋_GB2312" w:hAnsi="仿宋_GB2312" w:eastAsia="仿宋_GB2312" w:cs="仿宋_GB2312"/>
          <w:w w:val="99"/>
          <w:sz w:val="32"/>
          <w:szCs w:val="32"/>
          <w:lang w:val="en-US" w:eastAsia="zh-CN"/>
        </w:rPr>
        <w:t>287.8</w:t>
      </w:r>
      <w:r>
        <w:rPr>
          <w:rFonts w:hint="eastAsia" w:ascii="仿宋_GB2312" w:hAnsi="仿宋_GB2312" w:eastAsia="仿宋_GB2312" w:cs="仿宋_GB2312"/>
          <w:w w:val="99"/>
          <w:sz w:val="32"/>
          <w:szCs w:val="32"/>
        </w:rPr>
        <w:t>万元的</w:t>
      </w:r>
      <w:r>
        <w:rPr>
          <w:rFonts w:hint="eastAsia" w:ascii="仿宋_GB2312" w:hAnsi="仿宋_GB2312" w:eastAsia="仿宋_GB2312" w:cs="仿宋_GB2312"/>
          <w:w w:val="99"/>
          <w:sz w:val="32"/>
          <w:szCs w:val="32"/>
          <w:lang w:val="en-US" w:eastAsia="zh-CN"/>
        </w:rPr>
        <w:t>53.40</w:t>
      </w:r>
      <w:r>
        <w:rPr>
          <w:rFonts w:hint="eastAsia" w:ascii="仿宋_GB2312" w:hAnsi="仿宋_GB2312" w:eastAsia="仿宋_GB2312" w:cs="仿宋_GB2312"/>
          <w:w w:val="99"/>
          <w:sz w:val="32"/>
          <w:szCs w:val="32"/>
        </w:rPr>
        <w:t>%、11月末执行进度为</w:t>
      </w:r>
      <w:r>
        <w:rPr>
          <w:rFonts w:hint="eastAsia" w:ascii="仿宋_GB2312" w:hAnsi="仿宋_GB2312" w:eastAsia="仿宋_GB2312" w:cs="仿宋_GB2312"/>
          <w:w w:val="99"/>
          <w:sz w:val="32"/>
          <w:szCs w:val="32"/>
          <w:lang w:val="en-US" w:eastAsia="zh-CN"/>
        </w:rPr>
        <w:t>176.94</w:t>
      </w:r>
      <w:r>
        <w:rPr>
          <w:rFonts w:hint="eastAsia" w:ascii="仿宋_GB2312" w:hAnsi="仿宋_GB2312" w:eastAsia="仿宋_GB2312" w:cs="仿宋_GB2312"/>
          <w:w w:val="99"/>
          <w:sz w:val="32"/>
          <w:szCs w:val="32"/>
        </w:rPr>
        <w:t>万元，占总预算收入</w:t>
      </w:r>
      <w:r>
        <w:rPr>
          <w:rFonts w:hint="eastAsia" w:ascii="仿宋_GB2312" w:hAnsi="仿宋_GB2312" w:eastAsia="仿宋_GB2312" w:cs="仿宋_GB2312"/>
          <w:w w:val="99"/>
          <w:sz w:val="32"/>
          <w:szCs w:val="32"/>
          <w:lang w:val="en-US" w:eastAsia="zh-CN"/>
        </w:rPr>
        <w:t>287.</w:t>
      </w:r>
      <w:r>
        <w:rPr>
          <w:rFonts w:hint="eastAsia" w:ascii="仿宋_GB2312" w:hAnsi="仿宋_GB2312" w:eastAsia="仿宋_GB2312" w:cs="仿宋_GB2312"/>
          <w:w w:val="99"/>
          <w:sz w:val="32"/>
          <w:szCs w:val="32"/>
        </w:rPr>
        <w:t>8的</w:t>
      </w:r>
      <w:r>
        <w:rPr>
          <w:rFonts w:hint="eastAsia" w:ascii="仿宋_GB2312" w:hAnsi="仿宋_GB2312" w:eastAsia="仿宋_GB2312" w:cs="仿宋_GB2312"/>
          <w:w w:val="99"/>
          <w:sz w:val="32"/>
          <w:szCs w:val="32"/>
          <w:lang w:val="en-US" w:eastAsia="zh-CN"/>
        </w:rPr>
        <w:t>61.48</w:t>
      </w:r>
      <w:r>
        <w:rPr>
          <w:rFonts w:hint="eastAsia" w:ascii="仿宋_GB2312" w:hAnsi="仿宋_GB2312" w:eastAsia="仿宋_GB2312" w:cs="仿宋_GB2312"/>
          <w:w w:val="99"/>
          <w:sz w:val="32"/>
          <w:szCs w:val="32"/>
        </w:rPr>
        <w:t>%。</w:t>
      </w:r>
      <w:r>
        <w:rPr>
          <w:rFonts w:hint="eastAsia" w:ascii="仿宋_GB2312" w:hAnsi="仿宋_GB2312" w:eastAsia="仿宋_GB2312" w:cs="仿宋_GB2312"/>
          <w:w w:val="99"/>
          <w:sz w:val="32"/>
          <w:szCs w:val="32"/>
          <w:lang w:eastAsia="zh-CN"/>
        </w:rPr>
        <w:t>剔除财政未审批计划原因，实际执行进度为</w:t>
      </w:r>
      <w:r>
        <w:rPr>
          <w:rFonts w:hint="eastAsia" w:ascii="仿宋_GB2312" w:hAnsi="仿宋_GB2312" w:eastAsia="仿宋_GB2312" w:cs="仿宋_GB2312"/>
          <w:w w:val="99"/>
          <w:sz w:val="32"/>
          <w:szCs w:val="32"/>
          <w:lang w:val="en-US" w:eastAsia="zh-CN"/>
        </w:rPr>
        <w:t>6月为35%，7月为65%，11月为76.5%。</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4.预算完成结果情况</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（1）预算完成情况</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rPr>
        <w:t xml:space="preserve"> </w:t>
      </w:r>
      <w:r>
        <w:rPr>
          <w:rFonts w:hint="eastAsia" w:ascii="仿宋_GB2312" w:hAnsi="仿宋_GB2312" w:eastAsia="仿宋_GB2312" w:cs="仿宋_GB2312"/>
          <w:w w:val="99"/>
          <w:sz w:val="32"/>
          <w:szCs w:val="32"/>
          <w:lang w:eastAsia="zh-CN"/>
        </w:rPr>
        <w:t>该</w:t>
      </w:r>
      <w:r>
        <w:rPr>
          <w:rFonts w:hint="eastAsia" w:ascii="仿宋_GB2312" w:hAnsi="仿宋_GB2312" w:eastAsia="仿宋_GB2312" w:cs="仿宋_GB2312"/>
          <w:w w:val="99"/>
          <w:sz w:val="32"/>
          <w:szCs w:val="32"/>
        </w:rPr>
        <w:t>单位截</w:t>
      </w:r>
      <w:r>
        <w:rPr>
          <w:rFonts w:hint="eastAsia" w:ascii="仿宋_GB2312" w:hAnsi="仿宋_GB2312" w:eastAsia="仿宋_GB2312" w:cs="仿宋_GB2312"/>
          <w:w w:val="99"/>
          <w:sz w:val="32"/>
          <w:szCs w:val="32"/>
          <w:lang w:eastAsia="zh-CN"/>
        </w:rPr>
        <w:t>至</w:t>
      </w:r>
      <w:r>
        <w:rPr>
          <w:rFonts w:hint="eastAsia" w:ascii="仿宋_GB2312" w:hAnsi="仿宋_GB2312" w:eastAsia="仿宋_GB2312" w:cs="仿宋_GB2312"/>
          <w:w w:val="99"/>
          <w:sz w:val="32"/>
          <w:szCs w:val="32"/>
        </w:rPr>
        <w:t>20</w:t>
      </w:r>
      <w:r>
        <w:rPr>
          <w:rFonts w:hint="eastAsia" w:ascii="仿宋_GB2312" w:hAnsi="仿宋_GB2312" w:eastAsia="仿宋_GB2312" w:cs="仿宋_GB2312"/>
          <w:w w:val="99"/>
          <w:sz w:val="32"/>
          <w:szCs w:val="32"/>
          <w:lang w:val="en-US" w:eastAsia="zh-CN"/>
        </w:rPr>
        <w:t>20</w:t>
      </w:r>
      <w:r>
        <w:rPr>
          <w:rFonts w:hint="eastAsia" w:ascii="仿宋_GB2312" w:hAnsi="仿宋_GB2312" w:eastAsia="仿宋_GB2312" w:cs="仿宋_GB2312"/>
          <w:w w:val="99"/>
          <w:sz w:val="32"/>
          <w:szCs w:val="32"/>
        </w:rPr>
        <w:t>年调整后预算为</w:t>
      </w:r>
      <w:r>
        <w:rPr>
          <w:rFonts w:hint="eastAsia" w:ascii="仿宋_GB2312" w:hAnsi="仿宋_GB2312" w:eastAsia="仿宋_GB2312" w:cs="仿宋_GB2312"/>
          <w:w w:val="99"/>
          <w:sz w:val="32"/>
          <w:szCs w:val="32"/>
          <w:lang w:val="en-US" w:eastAsia="zh-CN"/>
        </w:rPr>
        <w:t>475.7</w:t>
      </w:r>
      <w:r>
        <w:rPr>
          <w:rFonts w:hint="eastAsia" w:ascii="仿宋_GB2312" w:hAnsi="仿宋_GB2312" w:eastAsia="仿宋_GB2312" w:cs="仿宋_GB2312"/>
          <w:w w:val="99"/>
          <w:sz w:val="32"/>
          <w:szCs w:val="32"/>
        </w:rPr>
        <w:t>万元，12月底本单位支出为</w:t>
      </w:r>
      <w:r>
        <w:rPr>
          <w:rFonts w:hint="eastAsia" w:ascii="仿宋_GB2312" w:hAnsi="仿宋_GB2312" w:eastAsia="仿宋_GB2312" w:cs="仿宋_GB2312"/>
          <w:w w:val="99"/>
          <w:sz w:val="32"/>
          <w:szCs w:val="32"/>
          <w:lang w:val="en-US" w:eastAsia="zh-CN"/>
        </w:rPr>
        <w:t>385.6</w:t>
      </w:r>
      <w:r>
        <w:rPr>
          <w:rFonts w:hint="eastAsia" w:ascii="仿宋_GB2312" w:hAnsi="仿宋_GB2312" w:eastAsia="仿宋_GB2312" w:cs="仿宋_GB2312"/>
          <w:w w:val="99"/>
          <w:sz w:val="32"/>
          <w:szCs w:val="32"/>
        </w:rPr>
        <w:t>万元，支出进度达到</w:t>
      </w:r>
      <w:r>
        <w:rPr>
          <w:rFonts w:hint="eastAsia" w:ascii="仿宋_GB2312" w:hAnsi="仿宋_GB2312" w:eastAsia="仿宋_GB2312" w:cs="仿宋_GB2312"/>
          <w:w w:val="99"/>
          <w:sz w:val="32"/>
          <w:szCs w:val="32"/>
          <w:lang w:val="en-US" w:eastAsia="zh-CN"/>
        </w:rPr>
        <w:t>82</w:t>
      </w:r>
      <w:r>
        <w:rPr>
          <w:rFonts w:hint="eastAsia" w:ascii="仿宋_GB2312" w:hAnsi="仿宋_GB2312" w:eastAsia="仿宋_GB2312" w:cs="仿宋_GB2312"/>
          <w:w w:val="99"/>
          <w:sz w:val="32"/>
          <w:szCs w:val="32"/>
        </w:rPr>
        <w:t>%。</w:t>
      </w:r>
      <w:r>
        <w:rPr>
          <w:rFonts w:hint="eastAsia" w:ascii="仿宋_GB2312" w:hAnsi="仿宋_GB2312" w:eastAsia="仿宋_GB2312" w:cs="仿宋_GB2312"/>
          <w:w w:val="99"/>
          <w:sz w:val="32"/>
          <w:szCs w:val="32"/>
          <w:lang w:eastAsia="zh-CN"/>
        </w:rPr>
        <w:t>其中：人员经费预算是</w:t>
      </w:r>
      <w:r>
        <w:rPr>
          <w:rFonts w:hint="eastAsia" w:ascii="仿宋_GB2312" w:hAnsi="仿宋_GB2312" w:eastAsia="仿宋_GB2312" w:cs="仿宋_GB2312"/>
          <w:w w:val="99"/>
          <w:sz w:val="32"/>
          <w:szCs w:val="32"/>
          <w:lang w:val="en-US" w:eastAsia="zh-CN"/>
        </w:rPr>
        <w:t>188.2万元，完成188.2万元，占比100%；</w:t>
      </w:r>
      <w:r>
        <w:rPr>
          <w:rFonts w:hint="eastAsia" w:ascii="仿宋_GB2312" w:hAnsi="仿宋_GB2312" w:eastAsia="仿宋_GB2312" w:cs="仿宋_GB2312"/>
          <w:w w:val="99"/>
          <w:sz w:val="32"/>
          <w:szCs w:val="32"/>
        </w:rPr>
        <w:t>日常公用经费</w:t>
      </w:r>
      <w:r>
        <w:rPr>
          <w:rFonts w:hint="eastAsia" w:ascii="仿宋_GB2312" w:hAnsi="仿宋_GB2312" w:eastAsia="仿宋_GB2312" w:cs="仿宋_GB2312"/>
          <w:w w:val="99"/>
          <w:sz w:val="32"/>
          <w:szCs w:val="32"/>
          <w:lang w:eastAsia="zh-CN"/>
        </w:rPr>
        <w:t>预算是</w:t>
      </w:r>
      <w:r>
        <w:rPr>
          <w:rFonts w:hint="eastAsia" w:ascii="仿宋_GB2312" w:hAnsi="仿宋_GB2312" w:eastAsia="仿宋_GB2312" w:cs="仿宋_GB2312"/>
          <w:w w:val="99"/>
          <w:sz w:val="32"/>
          <w:szCs w:val="32"/>
          <w:lang w:val="en-US" w:eastAsia="zh-CN"/>
        </w:rPr>
        <w:t>32.2万元，完成22.3万</w:t>
      </w:r>
      <w:r>
        <w:rPr>
          <w:rFonts w:hint="eastAsia" w:ascii="仿宋_GB2312" w:hAnsi="仿宋_GB2312" w:eastAsia="仿宋_GB2312" w:cs="仿宋_GB2312"/>
          <w:w w:val="99"/>
          <w:sz w:val="32"/>
          <w:szCs w:val="32"/>
        </w:rPr>
        <w:t>元</w:t>
      </w:r>
      <w:r>
        <w:rPr>
          <w:rFonts w:hint="eastAsia" w:ascii="仿宋_GB2312" w:hAnsi="仿宋_GB2312" w:eastAsia="仿宋_GB2312" w:cs="仿宋_GB2312"/>
          <w:w w:val="99"/>
          <w:sz w:val="32"/>
          <w:szCs w:val="32"/>
          <w:lang w:val="en-US" w:eastAsia="zh-CN"/>
        </w:rPr>
        <w:t>，占比70%；项目支出预算255.3万元，完成175.1万元，占比69.5%。</w:t>
      </w:r>
      <w:r>
        <w:rPr>
          <w:rFonts w:hint="eastAsia" w:ascii="仿宋_GB2312" w:hAnsi="仿宋_GB2312" w:eastAsia="仿宋_GB2312" w:cs="仿宋_GB2312"/>
          <w:w w:val="99"/>
          <w:sz w:val="32"/>
          <w:szCs w:val="32"/>
        </w:rPr>
        <w:t>由于财政资金调度困难形成已完成项目无法支付的资金达</w:t>
      </w:r>
      <w:r>
        <w:rPr>
          <w:rFonts w:hint="eastAsia" w:ascii="仿宋_GB2312" w:hAnsi="仿宋_GB2312" w:eastAsia="仿宋_GB2312" w:cs="仿宋_GB2312"/>
          <w:w w:val="99"/>
          <w:sz w:val="32"/>
          <w:szCs w:val="32"/>
          <w:lang w:val="en-US" w:eastAsia="zh-CN"/>
        </w:rPr>
        <w:t>80.2</w:t>
      </w:r>
      <w:r>
        <w:rPr>
          <w:rFonts w:hint="eastAsia" w:ascii="仿宋_GB2312" w:hAnsi="仿宋_GB2312" w:eastAsia="仿宋_GB2312" w:cs="仿宋_GB2312"/>
          <w:w w:val="99"/>
          <w:sz w:val="32"/>
          <w:szCs w:val="32"/>
        </w:rPr>
        <w:t>万元形成结转，导致预算执行进度由100%下降为</w:t>
      </w:r>
      <w:r>
        <w:rPr>
          <w:rFonts w:hint="eastAsia" w:ascii="仿宋_GB2312" w:hAnsi="仿宋_GB2312" w:eastAsia="仿宋_GB2312" w:cs="仿宋_GB2312"/>
          <w:w w:val="99"/>
          <w:sz w:val="32"/>
          <w:szCs w:val="32"/>
          <w:lang w:val="en-US" w:eastAsia="zh-CN"/>
        </w:rPr>
        <w:t>69.5</w:t>
      </w:r>
      <w:r>
        <w:rPr>
          <w:rFonts w:hint="eastAsia" w:ascii="仿宋_GB2312" w:hAnsi="仿宋_GB2312" w:eastAsia="仿宋_GB2312" w:cs="仿宋_GB2312"/>
          <w:w w:val="99"/>
          <w:sz w:val="32"/>
          <w:szCs w:val="32"/>
        </w:rPr>
        <w:t>%，剔除</w:t>
      </w:r>
      <w:r>
        <w:rPr>
          <w:rFonts w:hint="eastAsia" w:ascii="仿宋_GB2312" w:hAnsi="仿宋_GB2312" w:eastAsia="仿宋_GB2312" w:cs="仿宋_GB2312"/>
          <w:w w:val="99"/>
          <w:sz w:val="32"/>
          <w:szCs w:val="32"/>
          <w:lang w:eastAsia="zh-CN"/>
        </w:rPr>
        <w:t>财政</w:t>
      </w:r>
      <w:r>
        <w:rPr>
          <w:rFonts w:hint="eastAsia" w:ascii="仿宋_GB2312" w:hAnsi="仿宋_GB2312" w:eastAsia="仿宋_GB2312" w:cs="仿宋_GB2312"/>
          <w:w w:val="99"/>
          <w:sz w:val="32"/>
          <w:szCs w:val="32"/>
        </w:rPr>
        <w:t>因素，预算完成100%。</w:t>
      </w:r>
    </w:p>
    <w:p>
      <w:pPr>
        <w:keepNext w:val="0"/>
        <w:keepLines w:val="0"/>
        <w:pageBreakBefore w:val="0"/>
        <w:widowControl w:val="0"/>
        <w:numPr>
          <w:ilvl w:val="0"/>
          <w:numId w:val="3"/>
        </w:numPr>
        <w:tabs>
          <w:tab w:val="left" w:pos="312"/>
        </w:tabs>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rPr>
        <w:t>违规记录情况</w:t>
      </w:r>
    </w:p>
    <w:p>
      <w:pPr>
        <w:pStyle w:val="16"/>
        <w:keepNext w:val="0"/>
        <w:keepLines w:val="0"/>
        <w:pageBreakBefore w:val="0"/>
        <w:kinsoku/>
        <w:wordWrap/>
        <w:topLinePunct w:val="0"/>
        <w:autoSpaceDE/>
        <w:autoSpaceDN/>
        <w:bidi w:val="0"/>
        <w:adjustRightInd/>
        <w:snapToGrid/>
        <w:spacing w:before="0" w:beforeLines="0" w:after="0" w:afterLines="0" w:line="576" w:lineRule="exact"/>
        <w:ind w:firstLine="632" w:firstLineChars="200"/>
        <w:jc w:val="left"/>
        <w:rPr>
          <w:rFonts w:hint="eastAsia" w:ascii="仿宋_GB2312" w:hAnsi="仿宋_GB2312" w:eastAsia="仿宋_GB2312" w:cs="仿宋_GB2312"/>
          <w:color w:val="auto"/>
          <w:w w:val="99"/>
          <w:kern w:val="2"/>
          <w:sz w:val="32"/>
          <w:szCs w:val="32"/>
          <w:lang w:val="en-US" w:eastAsia="zh-CN" w:bidi="ar-SA"/>
        </w:rPr>
      </w:pPr>
      <w:r>
        <w:rPr>
          <w:rFonts w:hint="eastAsia" w:ascii="仿宋_GB2312" w:hAnsi="仿宋_GB2312" w:eastAsia="仿宋_GB2312" w:cs="仿宋_GB2312"/>
          <w:color w:val="auto"/>
          <w:w w:val="99"/>
          <w:kern w:val="2"/>
          <w:sz w:val="32"/>
          <w:szCs w:val="32"/>
          <w:lang w:val="en-US" w:eastAsia="zh-CN" w:bidi="ar-SA"/>
        </w:rPr>
        <w:t>2020年县供销社职工姜正荣违规报销差旅费已如实退还金库（详见附件）。</w:t>
      </w:r>
    </w:p>
    <w:p>
      <w:pPr>
        <w:pStyle w:val="16"/>
        <w:keepNext w:val="0"/>
        <w:keepLines w:val="0"/>
        <w:pageBreakBefore w:val="0"/>
        <w:kinsoku/>
        <w:wordWrap/>
        <w:topLinePunct w:val="0"/>
        <w:autoSpaceDE/>
        <w:autoSpaceDN/>
        <w:bidi w:val="0"/>
        <w:adjustRightInd/>
        <w:snapToGrid/>
        <w:spacing w:before="0" w:beforeLines="0" w:after="0" w:afterLines="0" w:line="576" w:lineRule="exact"/>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项目决策情况</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Chars="100"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（1）项目决策程序</w:t>
      </w:r>
    </w:p>
    <w:p>
      <w:pPr>
        <w:keepNext w:val="0"/>
        <w:keepLines w:val="0"/>
        <w:pageBreakBefore w:val="0"/>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lang w:eastAsia="zh-CN"/>
        </w:rPr>
        <w:t>该</w:t>
      </w:r>
      <w:r>
        <w:rPr>
          <w:rFonts w:hint="eastAsia" w:ascii="仿宋_GB2312" w:hAnsi="仿宋_GB2312" w:eastAsia="仿宋_GB2312" w:cs="仿宋_GB2312"/>
          <w:w w:val="99"/>
          <w:sz w:val="32"/>
          <w:szCs w:val="32"/>
        </w:rPr>
        <w:t>单位实施的项目进行了可行性论证，内部组织构架科学合理，管理办法健全完善，项目决策</w:t>
      </w:r>
      <w:r>
        <w:rPr>
          <w:rFonts w:hint="eastAsia" w:ascii="仿宋_GB2312" w:hAnsi="仿宋_GB2312" w:eastAsia="仿宋_GB2312" w:cs="仿宋_GB2312"/>
          <w:w w:val="99"/>
          <w:sz w:val="32"/>
          <w:szCs w:val="32"/>
          <w:lang w:eastAsia="zh-CN"/>
        </w:rPr>
        <w:t>符合政府发展支持方向</w:t>
      </w:r>
      <w:r>
        <w:rPr>
          <w:rFonts w:hint="eastAsia" w:ascii="仿宋_GB2312" w:hAnsi="仿宋_GB2312" w:eastAsia="仿宋_GB2312" w:cs="仿宋_GB2312"/>
          <w:w w:val="99"/>
          <w:sz w:val="32"/>
          <w:szCs w:val="32"/>
        </w:rPr>
        <w:t>。</w:t>
      </w:r>
    </w:p>
    <w:p>
      <w:pPr>
        <w:keepNext w:val="0"/>
        <w:keepLines w:val="0"/>
        <w:pageBreakBefore w:val="0"/>
        <w:widowControl w:val="0"/>
        <w:tabs>
          <w:tab w:val="left" w:pos="312"/>
        </w:tabs>
        <w:kinsoku/>
        <w:wordWrap/>
        <w:overflowPunct w:val="0"/>
        <w:topLinePunct w:val="0"/>
        <w:autoSpaceDE/>
        <w:autoSpaceDN/>
        <w:bidi w:val="0"/>
        <w:adjustRightInd/>
        <w:snapToGrid/>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（2）项目决策规划合理性</w:t>
      </w:r>
    </w:p>
    <w:p>
      <w:pPr>
        <w:keepNext w:val="0"/>
        <w:keepLines w:val="0"/>
        <w:pageBreakBefore w:val="0"/>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rPr>
        <w:t xml:space="preserve"> </w:t>
      </w:r>
      <w:r>
        <w:rPr>
          <w:rFonts w:hint="eastAsia" w:ascii="仿宋_GB2312" w:hAnsi="仿宋_GB2312" w:eastAsia="仿宋_GB2312" w:cs="仿宋_GB2312"/>
          <w:w w:val="99"/>
          <w:sz w:val="32"/>
          <w:szCs w:val="32"/>
          <w:lang w:eastAsia="zh-CN"/>
        </w:rPr>
        <w:t>该</w:t>
      </w:r>
      <w:r>
        <w:rPr>
          <w:rFonts w:hint="eastAsia" w:ascii="仿宋_GB2312" w:hAnsi="仿宋_GB2312" w:eastAsia="仿宋_GB2312" w:cs="仿宋_GB2312"/>
          <w:w w:val="99"/>
          <w:sz w:val="32"/>
          <w:szCs w:val="32"/>
        </w:rPr>
        <w:t>单位实施的项目</w:t>
      </w:r>
      <w:r>
        <w:rPr>
          <w:rFonts w:hint="eastAsia" w:ascii="仿宋_GB2312" w:hAnsi="仿宋_GB2312" w:eastAsia="仿宋_GB2312" w:cs="仿宋_GB2312"/>
          <w:w w:val="99"/>
          <w:sz w:val="32"/>
          <w:szCs w:val="32"/>
          <w:lang w:eastAsia="zh-CN"/>
        </w:rPr>
        <w:t>含</w:t>
      </w:r>
      <w:r>
        <w:rPr>
          <w:rFonts w:hint="eastAsia" w:ascii="仿宋_GB2312" w:hAnsi="仿宋_GB2312" w:eastAsia="仿宋_GB2312" w:cs="仿宋_GB2312"/>
          <w:w w:val="99"/>
          <w:sz w:val="32"/>
          <w:szCs w:val="32"/>
        </w:rPr>
        <w:t>常</w:t>
      </w:r>
      <w:r>
        <w:rPr>
          <w:rFonts w:hint="eastAsia" w:ascii="仿宋_GB2312" w:hAnsi="仿宋_GB2312" w:eastAsia="仿宋_GB2312" w:cs="仿宋_GB2312"/>
          <w:w w:val="99"/>
          <w:sz w:val="32"/>
          <w:szCs w:val="32"/>
          <w:lang w:eastAsia="zh-CN"/>
        </w:rPr>
        <w:t>规</w:t>
      </w:r>
      <w:r>
        <w:rPr>
          <w:rFonts w:hint="eastAsia" w:ascii="仿宋_GB2312" w:hAnsi="仿宋_GB2312" w:eastAsia="仿宋_GB2312" w:cs="仿宋_GB2312"/>
          <w:w w:val="99"/>
          <w:sz w:val="32"/>
          <w:szCs w:val="32"/>
        </w:rPr>
        <w:t>性</w:t>
      </w:r>
      <w:r>
        <w:rPr>
          <w:rFonts w:hint="eastAsia" w:ascii="仿宋_GB2312" w:hAnsi="仿宋_GB2312" w:eastAsia="仿宋_GB2312" w:cs="仿宋_GB2312"/>
          <w:w w:val="99"/>
          <w:sz w:val="32"/>
          <w:szCs w:val="32"/>
          <w:lang w:eastAsia="zh-CN"/>
        </w:rPr>
        <w:t>各一次性</w:t>
      </w:r>
      <w:r>
        <w:rPr>
          <w:rFonts w:hint="eastAsia" w:ascii="仿宋_GB2312" w:hAnsi="仿宋_GB2312" w:eastAsia="仿宋_GB2312" w:cs="仿宋_GB2312"/>
          <w:w w:val="99"/>
          <w:sz w:val="32"/>
          <w:szCs w:val="32"/>
        </w:rPr>
        <w:t>项目，项目规划合理，符合</w:t>
      </w:r>
      <w:r>
        <w:rPr>
          <w:rFonts w:hint="eastAsia" w:ascii="仿宋_GB2312" w:hAnsi="仿宋_GB2312" w:eastAsia="仿宋_GB2312" w:cs="仿宋_GB2312"/>
          <w:w w:val="99"/>
          <w:sz w:val="32"/>
          <w:szCs w:val="32"/>
          <w:lang w:eastAsia="zh-CN"/>
        </w:rPr>
        <w:t>县委、县政府</w:t>
      </w:r>
      <w:r>
        <w:rPr>
          <w:rFonts w:hint="eastAsia" w:ascii="仿宋_GB2312" w:hAnsi="仿宋_GB2312" w:eastAsia="仿宋_GB2312" w:cs="仿宋_GB2312"/>
          <w:w w:val="99"/>
          <w:sz w:val="32"/>
          <w:szCs w:val="32"/>
        </w:rPr>
        <w:t>重大决策部署和宏观政策规划。</w:t>
      </w:r>
    </w:p>
    <w:p>
      <w:pPr>
        <w:keepNext w:val="0"/>
        <w:keepLines w:val="0"/>
        <w:pageBreakBefore w:val="0"/>
        <w:widowControl w:val="0"/>
        <w:tabs>
          <w:tab w:val="left" w:pos="312"/>
        </w:tabs>
        <w:kinsoku/>
        <w:wordWrap/>
        <w:overflowPunct w:val="0"/>
        <w:topLinePunct w:val="0"/>
        <w:autoSpaceDE/>
        <w:autoSpaceDN/>
        <w:bidi w:val="0"/>
        <w:adjustRightInd/>
        <w:snapToGrid/>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（3）项目决策结果符合性</w:t>
      </w:r>
    </w:p>
    <w:p>
      <w:pPr>
        <w:keepNext w:val="0"/>
        <w:keepLines w:val="0"/>
        <w:pageBreakBefore w:val="0"/>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lang w:val="en-US" w:eastAsia="zh-CN"/>
        </w:rPr>
      </w:pPr>
      <w:r>
        <w:rPr>
          <w:rFonts w:hint="eastAsia" w:ascii="仿宋_GB2312" w:hAnsi="仿宋_GB2312" w:eastAsia="仿宋_GB2312" w:cs="仿宋_GB2312"/>
          <w:w w:val="99"/>
          <w:sz w:val="32"/>
          <w:szCs w:val="32"/>
          <w:lang w:eastAsia="zh-CN"/>
        </w:rPr>
        <w:t>该部门</w:t>
      </w:r>
      <w:r>
        <w:rPr>
          <w:rFonts w:hint="eastAsia" w:ascii="仿宋_GB2312" w:hAnsi="仿宋_GB2312" w:eastAsia="仿宋_GB2312" w:cs="仿宋_GB2312"/>
          <w:w w:val="99"/>
          <w:sz w:val="32"/>
          <w:szCs w:val="32"/>
          <w:lang w:val="en-US" w:eastAsia="zh-CN"/>
        </w:rPr>
        <w:t>2020年共涉及</w:t>
      </w:r>
      <w:r>
        <w:rPr>
          <w:rFonts w:hint="eastAsia" w:ascii="仿宋_GB2312" w:hAnsi="仿宋_GB2312" w:eastAsia="仿宋_GB2312" w:cs="仿宋_GB2312"/>
          <w:w w:val="99"/>
          <w:sz w:val="32"/>
          <w:szCs w:val="32"/>
        </w:rPr>
        <w:t>项目</w:t>
      </w:r>
      <w:r>
        <w:rPr>
          <w:rFonts w:hint="eastAsia" w:ascii="仿宋_GB2312" w:hAnsi="仿宋_GB2312" w:eastAsia="仿宋_GB2312" w:cs="仿宋_GB2312"/>
          <w:w w:val="99"/>
          <w:sz w:val="32"/>
          <w:szCs w:val="32"/>
          <w:lang w:val="en-US" w:eastAsia="zh-CN"/>
        </w:rPr>
        <w:t>4个，其中</w:t>
      </w:r>
      <w:r>
        <w:rPr>
          <w:rFonts w:hint="eastAsia" w:ascii="仿宋_GB2312" w:hAnsi="仿宋_GB2312" w:eastAsia="仿宋_GB2312" w:cs="仿宋_GB2312"/>
          <w:w w:val="99"/>
          <w:sz w:val="32"/>
          <w:szCs w:val="32"/>
        </w:rPr>
        <w:t>化肥储备</w:t>
      </w:r>
      <w:r>
        <w:rPr>
          <w:rFonts w:hint="eastAsia" w:ascii="仿宋_GB2312" w:hAnsi="仿宋_GB2312" w:eastAsia="仿宋_GB2312" w:cs="仿宋_GB2312"/>
          <w:w w:val="99"/>
          <w:sz w:val="32"/>
          <w:szCs w:val="32"/>
          <w:lang w:eastAsia="zh-CN"/>
        </w:rPr>
        <w:t>项目：按时按质完成化肥储备总量60</w:t>
      </w:r>
      <w:r>
        <w:rPr>
          <w:rFonts w:hint="eastAsia" w:ascii="仿宋_GB2312" w:hAnsi="仿宋_GB2312" w:eastAsia="仿宋_GB2312" w:cs="仿宋_GB2312"/>
          <w:w w:val="99"/>
          <w:sz w:val="32"/>
          <w:szCs w:val="32"/>
          <w:lang w:val="en-US" w:eastAsia="zh-CN"/>
        </w:rPr>
        <w:t>00</w:t>
      </w:r>
      <w:r>
        <w:rPr>
          <w:rFonts w:hint="eastAsia" w:ascii="仿宋_GB2312" w:hAnsi="仿宋_GB2312" w:eastAsia="仿宋_GB2312" w:cs="仿宋_GB2312"/>
          <w:w w:val="99"/>
          <w:sz w:val="32"/>
          <w:szCs w:val="32"/>
          <w:lang w:eastAsia="zh-CN"/>
        </w:rPr>
        <w:t>吨，储备率达</w:t>
      </w:r>
      <w:r>
        <w:rPr>
          <w:rFonts w:hint="eastAsia" w:ascii="仿宋_GB2312" w:hAnsi="仿宋_GB2312" w:eastAsia="仿宋_GB2312" w:cs="仿宋_GB2312"/>
          <w:w w:val="99"/>
          <w:sz w:val="32"/>
          <w:szCs w:val="32"/>
          <w:lang w:val="en-US" w:eastAsia="zh-CN"/>
        </w:rPr>
        <w:t>100%，化肥验收合格率100%；</w:t>
      </w:r>
      <w:r>
        <w:rPr>
          <w:rFonts w:hint="eastAsia" w:ascii="仿宋_GB2312" w:hAnsi="仿宋_GB2312" w:eastAsia="仿宋_GB2312" w:cs="仿宋_GB2312"/>
          <w:w w:val="99"/>
          <w:sz w:val="32"/>
          <w:szCs w:val="32"/>
          <w:lang w:eastAsia="zh-CN"/>
        </w:rPr>
        <w:t>“四大网络”监督检查项目：化肥储备仓库检查率100%，网点抽查率≥50%；废弃农膜回收网点监督检查率达</w:t>
      </w:r>
      <w:r>
        <w:rPr>
          <w:rFonts w:hint="eastAsia" w:ascii="仿宋_GB2312" w:hAnsi="仿宋_GB2312" w:eastAsia="仿宋_GB2312" w:cs="仿宋_GB2312"/>
          <w:w w:val="99"/>
          <w:sz w:val="32"/>
          <w:szCs w:val="32"/>
          <w:lang w:val="en-US" w:eastAsia="zh-CN"/>
        </w:rPr>
        <w:t>100%，但经财政抽查部分乡镇</w:t>
      </w:r>
      <w:r>
        <w:rPr>
          <w:rFonts w:hint="eastAsia" w:ascii="仿宋_GB2312" w:hAnsi="仿宋_GB2312" w:eastAsia="仿宋_GB2312" w:cs="仿宋_GB2312"/>
          <w:w w:val="99"/>
          <w:sz w:val="32"/>
          <w:szCs w:val="32"/>
          <w:lang w:eastAsia="zh-CN"/>
        </w:rPr>
        <w:t>废弃农膜回收网点建设维持率及发挥效率较低，党组织活动项目：新建活动阵地</w:t>
      </w:r>
      <w:r>
        <w:rPr>
          <w:rFonts w:hint="eastAsia" w:ascii="仿宋_GB2312" w:hAnsi="仿宋_GB2312" w:eastAsia="仿宋_GB2312" w:cs="仿宋_GB2312"/>
          <w:w w:val="99"/>
          <w:sz w:val="32"/>
          <w:szCs w:val="32"/>
          <w:lang w:val="en-US" w:eastAsia="zh-CN"/>
        </w:rPr>
        <w:t>1个，开展党员教育培训1次，开展主题党日活动1次。</w:t>
      </w:r>
    </w:p>
    <w:p>
      <w:pPr>
        <w:keepNext w:val="0"/>
        <w:keepLines w:val="0"/>
        <w:pageBreakBefore w:val="0"/>
        <w:kinsoku/>
        <w:wordWrap/>
        <w:overflowPunct w:val="0"/>
        <w:topLinePunct w:val="0"/>
        <w:autoSpaceDE/>
        <w:autoSpaceDN/>
        <w:bidi w:val="0"/>
        <w:adjustRightInd/>
        <w:snapToGrid/>
        <w:spacing w:line="576" w:lineRule="exact"/>
        <w:ind w:firstLine="632" w:firstLineChars="200"/>
        <w:jc w:val="left"/>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rPr>
        <w:t>通过项目实施，</w:t>
      </w:r>
      <w:r>
        <w:rPr>
          <w:rFonts w:hint="eastAsia" w:ascii="仿宋_GB2312" w:hAnsi="仿宋_GB2312" w:eastAsia="仿宋_GB2312" w:cs="仿宋_GB2312"/>
          <w:w w:val="99"/>
          <w:sz w:val="32"/>
          <w:szCs w:val="32"/>
          <w:lang w:eastAsia="zh-CN"/>
        </w:rPr>
        <w:t>除</w:t>
      </w:r>
      <w:r>
        <w:rPr>
          <w:rFonts w:hint="eastAsia" w:ascii="仿宋_GB2312" w:hAnsi="仿宋_GB2312" w:eastAsia="仿宋_GB2312" w:cs="仿宋_GB2312"/>
          <w:w w:val="99"/>
          <w:sz w:val="32"/>
          <w:szCs w:val="32"/>
          <w:lang w:val="en-US" w:eastAsia="zh-CN"/>
        </w:rPr>
        <w:t>部分乡镇</w:t>
      </w:r>
      <w:r>
        <w:rPr>
          <w:rFonts w:hint="eastAsia" w:ascii="仿宋_GB2312" w:hAnsi="仿宋_GB2312" w:eastAsia="仿宋_GB2312" w:cs="仿宋_GB2312"/>
          <w:w w:val="99"/>
          <w:sz w:val="32"/>
          <w:szCs w:val="32"/>
          <w:lang w:eastAsia="zh-CN"/>
        </w:rPr>
        <w:t>废弃农膜回收网点建设维持率及发挥效率较低外，</w:t>
      </w:r>
      <w:r>
        <w:rPr>
          <w:rFonts w:hint="eastAsia" w:ascii="仿宋_GB2312" w:hAnsi="仿宋_GB2312" w:eastAsia="仿宋_GB2312" w:cs="仿宋_GB2312"/>
          <w:w w:val="99"/>
          <w:sz w:val="32"/>
          <w:szCs w:val="32"/>
          <w:lang w:val="en-US" w:eastAsia="zh-CN"/>
        </w:rPr>
        <w:t>2020年其他项目全部</w:t>
      </w:r>
      <w:r>
        <w:rPr>
          <w:rFonts w:hint="eastAsia" w:ascii="仿宋_GB2312" w:hAnsi="仿宋_GB2312" w:eastAsia="仿宋_GB2312" w:cs="仿宋_GB2312"/>
          <w:w w:val="99"/>
          <w:sz w:val="32"/>
          <w:szCs w:val="32"/>
        </w:rPr>
        <w:t>完成年初设定的任务，达到预期规划目标，项目实施结果与项目总体规划一致。</w:t>
      </w:r>
    </w:p>
    <w:p>
      <w:pPr>
        <w:keepNext w:val="0"/>
        <w:keepLines w:val="0"/>
        <w:pageBreakBefore w:val="0"/>
        <w:kinsoku/>
        <w:wordWrap/>
        <w:overflowPunct w:val="0"/>
        <w:topLinePunct w:val="0"/>
        <w:autoSpaceDE/>
        <w:autoSpaceDN/>
        <w:bidi w:val="0"/>
        <w:adjustRightInd/>
        <w:snapToGrid/>
        <w:spacing w:line="576"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6.项目实施情况</w:t>
      </w:r>
    </w:p>
    <w:p>
      <w:pPr>
        <w:keepNext w:val="0"/>
        <w:keepLines w:val="0"/>
        <w:pageBreakBefore w:val="0"/>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lang w:val="en-US" w:eastAsia="zh-CN"/>
        </w:rPr>
      </w:pPr>
      <w:r>
        <w:rPr>
          <w:rFonts w:hint="eastAsia" w:ascii="仿宋_GB2312" w:hAnsi="仿宋_GB2312" w:eastAsia="仿宋_GB2312" w:cs="仿宋_GB2312"/>
          <w:w w:val="99"/>
          <w:sz w:val="32"/>
          <w:szCs w:val="32"/>
          <w:lang w:val="en-US" w:eastAsia="zh-CN"/>
        </w:rPr>
        <w:t>一是化肥储备项目：县级化肥储备总量6000吨。其中：尿素1000吨、复合肥1000吨、碳铵1500吨、磷肥1500吨,、有机肥1000吨。按时按质完成了储备任务，通过了项目验收，达到淡储旺供的绩效要求。二是“四大网络”监督检查项目：对网点化肥储备情况抽查及储备验收；专业合作社生产、经营情况检查4次；全县日用品放心店、便民店、综合服务社等132个，预计按70%覆盖面检查，基层社全覆盖检查。三是处置收购的废弃农膜、农药瓶袋等17余吨，根除废弃农膜、农药瓶袋对环境空间及土壤的污染隐患，为粮食安全生产提供了基本保障。四是党组织活动项目：党员干部学习宣传、廉政和信念教育，开展党员集体活动，机关党组织阵地建设，缴纳残保金，党报党刊订阅。</w:t>
      </w:r>
    </w:p>
    <w:p>
      <w:pPr>
        <w:keepNext w:val="0"/>
        <w:keepLines w:val="0"/>
        <w:pageBreakBefore w:val="0"/>
        <w:kinsoku/>
        <w:wordWrap/>
        <w:overflowPunct w:val="0"/>
        <w:topLinePunct w:val="0"/>
        <w:autoSpaceDE/>
        <w:autoSpaceDN/>
        <w:bidi w:val="0"/>
        <w:adjustRightInd/>
        <w:snapToGrid/>
        <w:spacing w:line="576" w:lineRule="exact"/>
        <w:ind w:firstLine="635" w:firstLineChars="200"/>
        <w:rPr>
          <w:rFonts w:hint="eastAsia" w:ascii="仿宋_GB2312" w:hAnsi="仿宋_GB2312" w:eastAsia="仿宋_GB2312" w:cs="仿宋_GB2312"/>
          <w:b/>
          <w:bCs/>
          <w:w w:val="99"/>
          <w:sz w:val="32"/>
          <w:szCs w:val="32"/>
          <w:lang w:val="en-US" w:eastAsia="zh-CN"/>
        </w:rPr>
      </w:pPr>
      <w:r>
        <w:rPr>
          <w:rFonts w:hint="eastAsia" w:ascii="仿宋_GB2312" w:hAnsi="仿宋_GB2312" w:eastAsia="仿宋_GB2312" w:cs="仿宋_GB2312"/>
          <w:b/>
          <w:bCs/>
          <w:w w:val="99"/>
          <w:sz w:val="32"/>
          <w:szCs w:val="32"/>
          <w:lang w:val="en-US" w:eastAsia="zh-CN"/>
        </w:rPr>
        <w:t>7.绩效公开、整改情况</w:t>
      </w:r>
    </w:p>
    <w:p>
      <w:pPr>
        <w:keepNext w:val="0"/>
        <w:keepLines w:val="0"/>
        <w:pageBreakBefore w:val="0"/>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lang w:val="en-US" w:eastAsia="zh-CN"/>
        </w:rPr>
      </w:pPr>
      <w:r>
        <w:rPr>
          <w:rFonts w:hint="eastAsia" w:ascii="仿宋_GB2312" w:hAnsi="仿宋_GB2312" w:eastAsia="仿宋_GB2312" w:cs="仿宋_GB2312"/>
          <w:w w:val="99"/>
          <w:sz w:val="32"/>
          <w:szCs w:val="32"/>
          <w:lang w:val="en-US" w:eastAsia="zh-CN"/>
        </w:rPr>
        <w:t>一是该部门完成了绩效目标按要求随同预算公开，部门整体绩效自评情况及自行组织的评价情况已按要求向社会公开。二是针对绩效管理过程中提出的问题，能立即整改的已整改，后期整改的正在整改。三是并按要求在规定的时间内向财政反馈、报送相应绩效自评报告、应用结果、整改报告的情况</w:t>
      </w:r>
    </w:p>
    <w:p>
      <w:pPr>
        <w:keepNext w:val="0"/>
        <w:keepLines w:val="0"/>
        <w:pageBreakBefore w:val="0"/>
        <w:kinsoku/>
        <w:wordWrap/>
        <w:overflowPunct w:val="0"/>
        <w:topLinePunct w:val="0"/>
        <w:autoSpaceDE/>
        <w:autoSpaceDN/>
        <w:bidi w:val="0"/>
        <w:adjustRightInd/>
        <w:snapToGrid/>
        <w:spacing w:line="576" w:lineRule="exact"/>
        <w:ind w:firstLine="635" w:firstLineChars="200"/>
        <w:rPr>
          <w:rFonts w:hint="eastAsia" w:ascii="仿宋_GB2312" w:hAnsi="仿宋_GB2312" w:eastAsia="仿宋_GB2312" w:cs="仿宋_GB2312"/>
          <w:b/>
          <w:bCs/>
          <w:w w:val="99"/>
          <w:sz w:val="32"/>
          <w:szCs w:val="32"/>
          <w:lang w:val="en-US" w:eastAsia="zh-CN"/>
        </w:rPr>
      </w:pPr>
      <w:r>
        <w:rPr>
          <w:rFonts w:hint="eastAsia" w:ascii="仿宋_GB2312" w:hAnsi="仿宋_GB2312" w:eastAsia="仿宋_GB2312" w:cs="仿宋_GB2312"/>
          <w:b/>
          <w:bCs/>
          <w:w w:val="99"/>
          <w:sz w:val="32"/>
          <w:szCs w:val="32"/>
          <w:lang w:val="en-US" w:eastAsia="zh-CN"/>
        </w:rPr>
        <w:t>8.绩效管理工作开展情况</w:t>
      </w:r>
    </w:p>
    <w:p>
      <w:pPr>
        <w:keepNext w:val="0"/>
        <w:keepLines w:val="0"/>
        <w:pageBreakBefore w:val="0"/>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lang w:val="en-US" w:eastAsia="zh-CN"/>
        </w:rPr>
      </w:pPr>
      <w:r>
        <w:rPr>
          <w:rFonts w:hint="eastAsia" w:ascii="仿宋_GB2312" w:hAnsi="仿宋_GB2312" w:eastAsia="仿宋_GB2312" w:cs="仿宋_GB2312"/>
          <w:w w:val="99"/>
          <w:sz w:val="32"/>
          <w:szCs w:val="32"/>
          <w:lang w:val="en-US" w:eastAsia="zh-CN"/>
        </w:rPr>
        <w:t>一是该部门建立有各项管理制度，对2020年年度所有预算执行情况实行了运行监控及整体绩效自评。二是该单位对政府采购等项目进行了过程监督，确保项目实施绩效目标按质按量完成，达到预期目标。</w:t>
      </w:r>
    </w:p>
    <w:p>
      <w:pPr>
        <w:keepNext w:val="0"/>
        <w:keepLines w:val="0"/>
        <w:pageBreakBefore w:val="0"/>
        <w:kinsoku/>
        <w:wordWrap/>
        <w:overflowPunct w:val="0"/>
        <w:topLinePunct w:val="0"/>
        <w:autoSpaceDE/>
        <w:autoSpaceDN/>
        <w:bidi w:val="0"/>
        <w:adjustRightInd/>
        <w:snapToGrid/>
        <w:spacing w:line="576" w:lineRule="exact"/>
        <w:ind w:firstLine="632" w:firstLineChars="200"/>
        <w:rPr>
          <w:rFonts w:hint="eastAsia" w:ascii="黑体" w:hAnsi="黑体" w:eastAsia="黑体" w:cs="黑体"/>
          <w:w w:val="99"/>
          <w:sz w:val="32"/>
          <w:szCs w:val="32"/>
          <w:lang w:val="en-US" w:eastAsia="zh-CN"/>
        </w:rPr>
      </w:pPr>
      <w:r>
        <w:rPr>
          <w:rFonts w:hint="eastAsia" w:ascii="黑体" w:hAnsi="黑体" w:eastAsia="黑体" w:cs="黑体"/>
          <w:w w:val="99"/>
          <w:sz w:val="32"/>
          <w:szCs w:val="32"/>
          <w:lang w:val="en-US" w:eastAsia="zh-CN"/>
        </w:rPr>
        <w:t>四、存在的主要问题</w:t>
      </w:r>
    </w:p>
    <w:p>
      <w:pPr>
        <w:keepNext w:val="0"/>
        <w:keepLines w:val="0"/>
        <w:pageBreakBefore w:val="0"/>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lang w:val="en-US" w:eastAsia="zh-CN"/>
        </w:rPr>
      </w:pPr>
      <w:r>
        <w:rPr>
          <w:rFonts w:hint="eastAsia" w:ascii="仿宋_GB2312" w:hAnsi="仿宋_GB2312" w:eastAsia="仿宋_GB2312" w:cs="仿宋_GB2312"/>
          <w:w w:val="99"/>
          <w:sz w:val="32"/>
          <w:szCs w:val="32"/>
          <w:lang w:val="en-US" w:eastAsia="zh-CN"/>
        </w:rPr>
        <w:t>一是会计科目核算不准确，如2020年2-4月10号凭证，新冠肺炎费用科目下列支矿泉水及牛奶费用。二是账簿不健全，未设立银行存款日记账。三是存在大量现金支付。四是会计要素记录不全等问题。</w:t>
      </w:r>
    </w:p>
    <w:p>
      <w:pPr>
        <w:keepNext w:val="0"/>
        <w:keepLines w:val="0"/>
        <w:pageBreakBefore w:val="0"/>
        <w:kinsoku/>
        <w:wordWrap/>
        <w:overflowPunct w:val="0"/>
        <w:topLinePunct w:val="0"/>
        <w:autoSpaceDE/>
        <w:autoSpaceDN/>
        <w:bidi w:val="0"/>
        <w:adjustRightInd/>
        <w:snapToGrid/>
        <w:spacing w:line="576" w:lineRule="exact"/>
        <w:ind w:firstLine="632" w:firstLineChars="200"/>
        <w:rPr>
          <w:rFonts w:hint="eastAsia" w:ascii="黑体" w:hAnsi="黑体" w:eastAsia="黑体" w:cs="黑体"/>
          <w:b w:val="0"/>
          <w:bCs w:val="0"/>
          <w:w w:val="99"/>
          <w:sz w:val="32"/>
          <w:szCs w:val="32"/>
          <w:lang w:val="en-US" w:eastAsia="zh-CN"/>
        </w:rPr>
      </w:pPr>
      <w:r>
        <w:rPr>
          <w:rFonts w:hint="eastAsia" w:ascii="黑体" w:hAnsi="黑体" w:eastAsia="黑体" w:cs="黑体"/>
          <w:b w:val="0"/>
          <w:bCs w:val="0"/>
          <w:w w:val="99"/>
          <w:sz w:val="32"/>
          <w:szCs w:val="32"/>
          <w:lang w:val="en-US" w:eastAsia="zh-CN"/>
        </w:rPr>
        <w:t>五、整改措施及建议</w:t>
      </w:r>
    </w:p>
    <w:p>
      <w:pPr>
        <w:keepNext w:val="0"/>
        <w:keepLines w:val="0"/>
        <w:pageBreakBefore w:val="0"/>
        <w:kinsoku/>
        <w:wordWrap/>
        <w:overflowPunct w:val="0"/>
        <w:topLinePunct w:val="0"/>
        <w:autoSpaceDE/>
        <w:autoSpaceDN/>
        <w:bidi w:val="0"/>
        <w:adjustRightInd/>
        <w:snapToGrid/>
        <w:spacing w:line="576" w:lineRule="exact"/>
        <w:ind w:firstLine="632" w:firstLineChars="200"/>
        <w:rPr>
          <w:rFonts w:hint="eastAsia" w:ascii="仿宋_GB2312" w:hAnsi="仿宋_GB2312" w:eastAsia="仿宋_GB2312" w:cs="仿宋_GB2312"/>
          <w:w w:val="99"/>
          <w:sz w:val="32"/>
          <w:szCs w:val="32"/>
          <w:lang w:val="en-US" w:eastAsia="zh-CN"/>
        </w:rPr>
      </w:pPr>
      <w:r>
        <w:rPr>
          <w:rFonts w:hint="eastAsia" w:ascii="仿宋_GB2312" w:hAnsi="仿宋_GB2312" w:eastAsia="仿宋_GB2312" w:cs="仿宋_GB2312"/>
          <w:w w:val="99"/>
          <w:sz w:val="32"/>
          <w:szCs w:val="32"/>
          <w:lang w:val="en-US" w:eastAsia="zh-CN"/>
        </w:rPr>
        <w:t>一是建议部门会计人员加强会计基础业务学习，提升业务水平。二是坚持问题导向，针对检查的问题立行立改，并举一反三，全面自查自纠。</w:t>
      </w:r>
    </w:p>
    <w:p>
      <w:pPr>
        <w:keepNext w:val="0"/>
        <w:keepLines w:val="0"/>
        <w:pageBreakBefore w:val="0"/>
        <w:kinsoku/>
        <w:wordWrap/>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topLinePunct w:val="0"/>
        <w:autoSpaceDE/>
        <w:autoSpaceDN/>
        <w:bidi w:val="0"/>
        <w:adjustRightInd/>
        <w:snapToGrid/>
        <w:spacing w:line="576" w:lineRule="exact"/>
        <w:rPr>
          <w:rFonts w:hint="eastAsia" w:ascii="仿宋_GB2312" w:hAnsi="仿宋_GB2312" w:eastAsia="仿宋_GB2312" w:cs="仿宋_GB2312"/>
          <w:sz w:val="32"/>
          <w:szCs w:val="32"/>
        </w:rPr>
      </w:pPr>
    </w:p>
    <w:p>
      <w:pPr>
        <w:rPr>
          <w:rFonts w:hint="eastAsia" w:ascii="黑体" w:hAnsi="黑体" w:eastAsia="黑体" w:cs="黑体"/>
          <w:sz w:val="48"/>
          <w:szCs w:val="48"/>
        </w:rPr>
      </w:pPr>
      <w:r>
        <w:rPr>
          <w:rFonts w:hint="eastAsia" w:ascii="黑体" w:hAnsi="黑体" w:eastAsia="黑体" w:cs="黑体"/>
          <w:sz w:val="48"/>
          <w:szCs w:val="48"/>
        </w:rPr>
        <w:br w:type="page"/>
      </w:r>
    </w:p>
    <w:p>
      <w:pPr>
        <w:adjustRightInd w:val="0"/>
        <w:snapToGrid w:val="0"/>
        <w:spacing w:line="240" w:lineRule="atLeast"/>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旺苍县环卫事务中心部门整体支出</w:t>
      </w:r>
    </w:p>
    <w:p>
      <w:pPr>
        <w:adjustRightInd w:val="0"/>
        <w:snapToGrid w:val="0"/>
        <w:spacing w:line="240" w:lineRule="atLeast"/>
        <w:ind w:left="105" w:leftChars="50" w:firstLine="744" w:firstLineChars="103"/>
        <w:jc w:val="center"/>
        <w:rPr>
          <w:rFonts w:ascii="方正小标宋简体" w:hAnsi="华文中宋" w:eastAsia="方正小标宋简体"/>
          <w:b/>
          <w:sz w:val="72"/>
          <w:szCs w:val="72"/>
        </w:rPr>
      </w:pPr>
    </w:p>
    <w:p>
      <w:pPr>
        <w:adjustRightInd w:val="0"/>
        <w:snapToGrid w:val="0"/>
        <w:spacing w:line="240" w:lineRule="atLeast"/>
        <w:jc w:val="center"/>
        <w:rPr>
          <w:rFonts w:hint="eastAsia" w:ascii="楷体_GB2312" w:hAnsi="楷体_GB2312" w:eastAsia="楷体_GB2312" w:cs="楷体_GB2312"/>
          <w:b/>
          <w:bCs w:val="0"/>
          <w:sz w:val="96"/>
          <w:szCs w:val="96"/>
        </w:rPr>
      </w:pPr>
      <w:r>
        <w:rPr>
          <w:rFonts w:hint="eastAsia" w:ascii="楷体_GB2312" w:hAnsi="楷体_GB2312" w:eastAsia="楷体_GB2312" w:cs="楷体_GB2312"/>
          <w:b/>
          <w:bCs w:val="0"/>
          <w:sz w:val="96"/>
          <w:szCs w:val="96"/>
        </w:rPr>
        <w:t>绩</w:t>
      </w:r>
    </w:p>
    <w:p>
      <w:pPr>
        <w:adjustRightInd w:val="0"/>
        <w:snapToGrid w:val="0"/>
        <w:spacing w:line="240" w:lineRule="atLeast"/>
        <w:jc w:val="center"/>
        <w:rPr>
          <w:rFonts w:hint="eastAsia" w:ascii="楷体_GB2312" w:hAnsi="楷体_GB2312" w:eastAsia="楷体_GB2312" w:cs="楷体_GB2312"/>
          <w:b/>
          <w:bCs w:val="0"/>
          <w:sz w:val="96"/>
          <w:szCs w:val="96"/>
        </w:rPr>
      </w:pPr>
      <w:r>
        <w:rPr>
          <w:rFonts w:hint="eastAsia" w:ascii="楷体_GB2312" w:hAnsi="楷体_GB2312" w:eastAsia="楷体_GB2312" w:cs="楷体_GB2312"/>
          <w:b/>
          <w:bCs w:val="0"/>
          <w:sz w:val="96"/>
          <w:szCs w:val="96"/>
        </w:rPr>
        <w:t>效</w:t>
      </w:r>
    </w:p>
    <w:p>
      <w:pPr>
        <w:adjustRightInd w:val="0"/>
        <w:snapToGrid w:val="0"/>
        <w:spacing w:line="240" w:lineRule="atLeast"/>
        <w:jc w:val="center"/>
        <w:rPr>
          <w:rFonts w:hint="eastAsia" w:ascii="楷体_GB2312" w:hAnsi="楷体_GB2312" w:eastAsia="楷体_GB2312" w:cs="楷体_GB2312"/>
          <w:b/>
          <w:bCs w:val="0"/>
          <w:sz w:val="96"/>
          <w:szCs w:val="96"/>
        </w:rPr>
      </w:pPr>
      <w:r>
        <w:rPr>
          <w:rFonts w:hint="eastAsia" w:ascii="楷体_GB2312" w:hAnsi="楷体_GB2312" w:eastAsia="楷体_GB2312" w:cs="楷体_GB2312"/>
          <w:b/>
          <w:bCs w:val="0"/>
          <w:sz w:val="96"/>
          <w:szCs w:val="96"/>
        </w:rPr>
        <w:t>评</w:t>
      </w:r>
    </w:p>
    <w:p>
      <w:pPr>
        <w:adjustRightInd w:val="0"/>
        <w:snapToGrid w:val="0"/>
        <w:spacing w:line="240" w:lineRule="atLeast"/>
        <w:jc w:val="center"/>
        <w:rPr>
          <w:rFonts w:hint="eastAsia" w:ascii="楷体_GB2312" w:hAnsi="楷体_GB2312" w:eastAsia="楷体_GB2312" w:cs="楷体_GB2312"/>
          <w:b/>
          <w:bCs w:val="0"/>
          <w:sz w:val="96"/>
          <w:szCs w:val="96"/>
        </w:rPr>
      </w:pPr>
      <w:r>
        <w:rPr>
          <w:rFonts w:hint="eastAsia" w:ascii="楷体_GB2312" w:hAnsi="楷体_GB2312" w:eastAsia="楷体_GB2312" w:cs="楷体_GB2312"/>
          <w:b/>
          <w:bCs w:val="0"/>
          <w:sz w:val="96"/>
          <w:szCs w:val="96"/>
        </w:rPr>
        <w:t>价</w:t>
      </w:r>
    </w:p>
    <w:p>
      <w:pPr>
        <w:adjustRightInd w:val="0"/>
        <w:snapToGrid w:val="0"/>
        <w:spacing w:line="240" w:lineRule="atLeast"/>
        <w:jc w:val="center"/>
        <w:rPr>
          <w:rFonts w:hint="eastAsia" w:ascii="楷体_GB2312" w:hAnsi="楷体_GB2312" w:eastAsia="楷体_GB2312" w:cs="楷体_GB2312"/>
          <w:b/>
          <w:bCs w:val="0"/>
          <w:sz w:val="96"/>
          <w:szCs w:val="96"/>
        </w:rPr>
      </w:pPr>
      <w:r>
        <w:rPr>
          <w:rFonts w:hint="eastAsia" w:ascii="楷体_GB2312" w:hAnsi="楷体_GB2312" w:eastAsia="楷体_GB2312" w:cs="楷体_GB2312"/>
          <w:b/>
          <w:bCs w:val="0"/>
          <w:sz w:val="96"/>
          <w:szCs w:val="96"/>
        </w:rPr>
        <w:t>报</w:t>
      </w:r>
    </w:p>
    <w:p>
      <w:pPr>
        <w:adjustRightInd w:val="0"/>
        <w:snapToGrid w:val="0"/>
        <w:spacing w:line="240" w:lineRule="atLeast"/>
        <w:jc w:val="center"/>
        <w:rPr>
          <w:rFonts w:hint="eastAsia" w:ascii="楷体_GB2312" w:hAnsi="楷体_GB2312" w:eastAsia="楷体_GB2312" w:cs="楷体_GB2312"/>
          <w:b/>
          <w:bCs w:val="0"/>
          <w:sz w:val="96"/>
          <w:szCs w:val="96"/>
        </w:rPr>
      </w:pPr>
      <w:r>
        <w:rPr>
          <w:rFonts w:hint="eastAsia" w:ascii="楷体_GB2312" w:hAnsi="楷体_GB2312" w:eastAsia="楷体_GB2312" w:cs="楷体_GB2312"/>
          <w:b/>
          <w:bCs w:val="0"/>
          <w:sz w:val="96"/>
          <w:szCs w:val="96"/>
        </w:rPr>
        <w:t>告</w:t>
      </w: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adjustRightInd w:val="0"/>
        <w:snapToGrid w:val="0"/>
        <w:spacing w:line="240" w:lineRule="atLeast"/>
        <w:ind w:left="105" w:leftChars="50" w:firstLine="370" w:firstLineChars="103"/>
        <w:jc w:val="center"/>
        <w:rPr>
          <w:rFonts w:ascii="楷体" w:hAnsi="楷体" w:eastAsia="楷体" w:cs="楷体"/>
          <w:bCs/>
          <w:sz w:val="36"/>
          <w:szCs w:val="36"/>
        </w:rPr>
      </w:pPr>
    </w:p>
    <w:p>
      <w:pPr>
        <w:pStyle w:val="2"/>
        <w:spacing w:before="93"/>
      </w:pPr>
    </w:p>
    <w:p>
      <w:pPr>
        <w:tabs>
          <w:tab w:val="left" w:pos="3885"/>
        </w:tabs>
        <w:snapToGrid w:val="0"/>
        <w:spacing w:line="600" w:lineRule="atLeast"/>
        <w:ind w:firstLine="1084" w:firstLineChars="300"/>
        <w:jc w:val="left"/>
        <w:rPr>
          <w:rFonts w:ascii="楷体" w:hAnsi="楷体" w:eastAsia="楷体" w:cs="楷体"/>
          <w:b/>
          <w:sz w:val="36"/>
          <w:szCs w:val="36"/>
        </w:rPr>
      </w:pPr>
      <w:r>
        <w:rPr>
          <w:rFonts w:hint="eastAsia" w:ascii="楷体" w:hAnsi="楷体" w:eastAsia="楷体" w:cs="楷体"/>
          <w:b/>
          <w:sz w:val="36"/>
          <w:szCs w:val="36"/>
        </w:rPr>
        <w:t>评价部门：旺苍县财政局</w:t>
      </w:r>
    </w:p>
    <w:p>
      <w:pPr>
        <w:tabs>
          <w:tab w:val="left" w:pos="3885"/>
        </w:tabs>
        <w:snapToGrid w:val="0"/>
        <w:spacing w:line="600" w:lineRule="atLeast"/>
        <w:ind w:firstLine="1084" w:firstLineChars="300"/>
        <w:jc w:val="left"/>
        <w:rPr>
          <w:rFonts w:ascii="楷体" w:hAnsi="楷体" w:eastAsia="楷体" w:cs="楷体"/>
          <w:b/>
          <w:sz w:val="36"/>
          <w:szCs w:val="36"/>
        </w:rPr>
      </w:pPr>
      <w:r>
        <w:rPr>
          <w:rFonts w:hint="eastAsia" w:ascii="楷体" w:hAnsi="楷体" w:eastAsia="楷体" w:cs="楷体"/>
          <w:b/>
          <w:sz w:val="36"/>
          <w:szCs w:val="36"/>
        </w:rPr>
        <w:t>评价人员：何卫英  杨静  韩伟</w:t>
      </w:r>
    </w:p>
    <w:p>
      <w:pPr>
        <w:tabs>
          <w:tab w:val="left" w:pos="3885"/>
        </w:tabs>
        <w:snapToGrid w:val="0"/>
        <w:spacing w:line="600" w:lineRule="atLeast"/>
        <w:ind w:firstLine="1084" w:firstLineChars="300"/>
        <w:jc w:val="left"/>
        <w:rPr>
          <w:rFonts w:hint="eastAsia" w:ascii="楷体" w:hAnsi="楷体" w:eastAsia="楷体" w:cs="楷体"/>
          <w:b/>
          <w:sz w:val="36"/>
          <w:szCs w:val="36"/>
        </w:rPr>
      </w:pPr>
      <w:r>
        <w:rPr>
          <w:rFonts w:hint="eastAsia" w:ascii="楷体" w:hAnsi="楷体" w:eastAsia="楷体" w:cs="楷体"/>
          <w:b/>
          <w:sz w:val="36"/>
          <w:szCs w:val="36"/>
        </w:rPr>
        <w:t>报告时间： 2021年9月28日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sectPr>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旺苍县环卫事务中心部门整体支出</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绩效评价报告</w:t>
      </w:r>
    </w:p>
    <w:p>
      <w:pPr>
        <w:spacing w:line="560" w:lineRule="exact"/>
        <w:ind w:firstLine="643" w:firstLineChars="200"/>
        <w:rPr>
          <w:rFonts w:hint="eastAsia" w:ascii="仿宋_GB2312" w:hAnsi="仿宋_GB2312"/>
          <w:b/>
          <w:bCs/>
          <w:sz w:val="32"/>
          <w:szCs w:val="32"/>
        </w:rPr>
      </w:pPr>
    </w:p>
    <w:p>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一、部门概况</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（一）机构构成</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旺苍县环卫事务中心属于旺苍县综合行政执法局管理的公益一类事业单位，财政预算级次为一级预算，经费来源为全额拨款，2020年10月进行了环卫生产作业市场化改革，下设办公室、环卫监管股、项目管理股、征收管理股、计财股、政工人事股6个内设机构。征收管理股下设征收管理股办公室、征收管理一队、征收管理二队、征收管理三队、建筑垃圾管理办公室。</w:t>
      </w:r>
      <w:r>
        <w:rPr>
          <w:rFonts w:hint="eastAsia" w:ascii="仿宋_GB2312" w:hAnsi="仿宋_GB2312" w:eastAsia="仿宋_GB2312" w:cs="仿宋_GB2312"/>
          <w:sz w:val="32"/>
          <w:szCs w:val="32"/>
        </w:rPr>
        <w:tab/>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（二）基本职能</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相关职能分工，该中心负责编制城乡环境卫生发展规划、年度计划并组织实施；负责县城区（含嘉川片区）主次干道、桥梁、地下通道、公共广场和绿化带等公共区域清扫保洁和城乡生活垃圾的分类、收集、运输、无害化处理及综合利用等生产作业的监督管理事务；负责制定和组织实施环境卫生生产作业规范和标准，并负责实施过程中的监督管理事务；负责制定突发事件、重大自然灾害生活和建筑垃圾处理应急预案并组织实施；负责环境卫生宣传、教育、培训工作；负责乡镇环境卫生监督管理业务指导工作；负责对违反环境卫生监督管理政策法律法规行为的查处工作；负责县城区（含嘉川片区）环境卫生设施设备的规划建设和监督管理事务；负责乡镇环境卫生设施设备规划建设的技术服务和行业指导；负责制定建筑垃圾处置计划并负责建筑处置行为监督管理事务；负责从事城市生活垃圾经营性清扫、收集、运输、处置服务、建筑垃圾经营性处置服务和城市生活垃圾处置设施、场所的关闭和拆除的审核认证及监督管理事务；负责城市生活垃圾和建筑垃圾处理费用的征管工作；负责县城市生活垃圾处理厂的监督管理事务；完成上级主管部门交办的其他工作。</w:t>
      </w:r>
    </w:p>
    <w:p>
      <w:pPr>
        <w:keepNext w:val="0"/>
        <w:keepLines w:val="0"/>
        <w:pageBreakBefore w:val="0"/>
        <w:widowControl w:val="0"/>
        <w:numPr>
          <w:ilvl w:val="0"/>
          <w:numId w:val="4"/>
        </w:numPr>
        <w:kinsoku/>
        <w:wordWrap/>
        <w:overflowPunct w:val="0"/>
        <w:topLinePunct w:val="0"/>
        <w:autoSpaceDE/>
        <w:autoSpaceDN/>
        <w:bidi w:val="0"/>
        <w:adjustRightInd/>
        <w:snapToGrid/>
        <w:spacing w:line="576" w:lineRule="exact"/>
        <w:ind w:firstLine="643" w:firstLineChars="200"/>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人员结构及相关情况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2020年10月1日环卫生产作业市场化改革前，总编制97名，全部为事业编制，无参照公务员法管理的事业编制，上年末正式在编在职人员总数90人，离退休人员 53人，环卫生产作业合同工295人。</w:t>
      </w:r>
    </w:p>
    <w:p>
      <w:pPr>
        <w:keepNext w:val="0"/>
        <w:keepLines w:val="0"/>
        <w:pageBreakBefore w:val="0"/>
        <w:widowControl w:val="0"/>
        <w:shd w:val="clear" w:color="auto" w:fill="FFFFFF"/>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月1日环卫生产作业市场化改革后，县委编办核定我单位人员编制数为30名事业编制，剩余正式职工57名分流到了县综合行政执法局、县国土自然资源局、县人防办等7个单位，环卫合同工整体移交给了中标服务企业绵阳泰龙科技有限公司，年末实有在编人数30人。</w:t>
      </w:r>
    </w:p>
    <w:p>
      <w:pPr>
        <w:keepNext w:val="0"/>
        <w:keepLines w:val="0"/>
        <w:pageBreakBefore w:val="0"/>
        <w:widowControl w:val="0"/>
        <w:shd w:val="clear" w:color="auto" w:fill="FFFFFF"/>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二、部门财政资金收支情况</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（一）部门财政资金收入情况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县财政以《旺苍县财政局关于批复2020年度部门预算和绩效目标的通知》（旺财预〔2020〕10号）文件批复我单位预算资金1028.20万元，其中：人员经费841.60万元，公务经费71.40万元，环卫生产作业经费100.00万元基层党组织活动经费15.20万元。</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上年结转396.56万元，其中：人员经费36.37万元，公务经费10.2万元，生活垃圾分类项目经费226.72万元，生活垃圾处理费96.6万元，环卫生产作业经费26.67万元。</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中追加521.42万元，其中：追加目标奖等人员经费155.26万元，追减公务经费6.44万元，追加环卫合同工工资、非洲猪瘟防控等环卫生产作业经费61.24万元，追加创国卫生活垃圾设施设备采购款210万元，追加新冠肺炎防控及设施设备采购款32.82万元，追加新冠肺炎防控吸污车采购款22.98万元，追加财政评审费用0.11万元，解决以前年度环卫设施设备购置预拨指标45.45万元。</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全年合计收入1946.18万元，其中：人员经费1033.23万元，公务经费75.16万元，环卫生产作业经费187.91万元，基层党组织活动经费15.20万元，生活垃圾分类项目经费226.72万元，生活垃圾处理费96.6万元，创国卫生活垃圾设施设备采购款210万元，新冠肺炎防控及设施设备采购款32.82万元，新冠肺炎防控吸污车采购款22.98万元，财政评审费用0.11万元，解决以前年度环卫设施设备购置预拨指标45.45万元。</w:t>
      </w:r>
    </w:p>
    <w:p>
      <w:pPr>
        <w:keepNext w:val="0"/>
        <w:keepLines w:val="0"/>
        <w:pageBreakBefore w:val="0"/>
        <w:widowControl w:val="0"/>
        <w:numPr>
          <w:ilvl w:val="0"/>
          <w:numId w:val="5"/>
        </w:numPr>
        <w:kinsoku/>
        <w:wordWrap/>
        <w:overflowPunct w:val="0"/>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部门财政资金支出情况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合计支出1588.34万元，其中：人员经费1033.23万元，公务经费45.54万元，环卫生产作业经费158.20万元，基层党组织活动经费5.54万元，生活垃圾分类项目经费151.70万元，生活垃圾处理费96.6万元，新冠肺炎防控及设施设备采购款32.82万元，新冠肺炎防控吸污车采购款19.26万元，以前年度环卫设施设备购置预拨指标45.45万元。</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末结转357.84万元未支付，其中：公务经费29.62万元，环卫生产作业经费10.45万元，基层党组织活动经费9.66万元，生活垃圾分类项目经费94.28万元，创国卫生活垃圾设施设备采购款210万元，新冠肺炎防控吸污车采购款3.72万元，财政评审费用0.11万元。其中：新冠肺炎防控吸污车采购款3.72万元属于质量保证金未到期和车辆上户费未支付形成结余，其余都属于项目已完成，由于财政资金调度困难未审批用款计划导致无法支付形成结转。剔除上述因素预算执行达100%。</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三、绩效评价管理</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（一）评价结论</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预算编制目标明确、科学规范、任务细化量化，决策程序严格，各类制度健全，管理较规范，支出控制较好，全年已超额完成了年初预算制订的各项目标任务。通过项目实施，一是确保了街道干净整洁，扬尘得到有效控制，生活垃圾处理工艺、渗滤液排放及有毒有害废物处理达到了国家环保要求，提升了我县城市环境卫生质量，减少垃圾对生态环境的污染。二是确保了脱贫攻坚结对帮扶的大德镇工农村等4个村245户贫困户高质量脱贫并顺利通过国家脱贫攻坚考核验收，脱贫攻坚工作被旺苍县委、县政府评为先进单位。三是2020年完成了非税收入366万元收缴入库工作，非税收入收缴入库创历史新高。四是确保了我县新冠肺炎疫情得到有效防控，2020年我中心新冠肺炎疫情防控工作被广元市委组织部表彰为“在疫情防控一线表现突出的基层党组织”。五是确保了我县非洲猪瘟的有效防控。六是加强化了基层党组织阵地建设。七是全面完成了环卫生产作业市场化改革工作。总之通过项目实施，整体提升了我县环境搞卫生质量，改善了居民人居环境，实现了经济社会可持续发展，项目实施达到了预期目标。但也存在由于财政资金困难，部分常年性项目纳不进年初预算安排、项目不能按实施进度拨款等问题。</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通过现场整体评价，得分96.8分，评价得分表附后。</w:t>
      </w:r>
    </w:p>
    <w:p>
      <w:pPr>
        <w:spacing w:line="560" w:lineRule="exact"/>
        <w:ind w:firstLine="482" w:firstLineChars="200"/>
        <w:rPr>
          <w:rFonts w:ascii="宋体" w:hAnsi="宋体" w:cs="宋体"/>
          <w:b/>
          <w:sz w:val="24"/>
          <w:szCs w:val="24"/>
        </w:rPr>
      </w:pPr>
    </w:p>
    <w:tbl>
      <w:tblPr>
        <w:tblStyle w:val="12"/>
        <w:tblW w:w="10206" w:type="dxa"/>
        <w:jc w:val="center"/>
        <w:tblLayout w:type="fixed"/>
        <w:tblCellMar>
          <w:top w:w="0" w:type="dxa"/>
          <w:left w:w="108" w:type="dxa"/>
          <w:bottom w:w="0" w:type="dxa"/>
          <w:right w:w="108" w:type="dxa"/>
        </w:tblCellMar>
      </w:tblPr>
      <w:tblGrid>
        <w:gridCol w:w="644"/>
        <w:gridCol w:w="630"/>
        <w:gridCol w:w="686"/>
        <w:gridCol w:w="644"/>
        <w:gridCol w:w="686"/>
        <w:gridCol w:w="2239"/>
        <w:gridCol w:w="4677"/>
      </w:tblGrid>
      <w:tr>
        <w:tblPrEx>
          <w:tblCellMar>
            <w:top w:w="0" w:type="dxa"/>
            <w:left w:w="108" w:type="dxa"/>
            <w:bottom w:w="0" w:type="dxa"/>
            <w:right w:w="108" w:type="dxa"/>
          </w:tblCellMar>
        </w:tblPrEx>
        <w:trPr>
          <w:trHeight w:val="555" w:hRule="atLeast"/>
          <w:jc w:val="center"/>
        </w:trPr>
        <w:tc>
          <w:tcPr>
            <w:tcW w:w="10206" w:type="dxa"/>
            <w:gridSpan w:val="7"/>
            <w:tcBorders>
              <w:top w:val="nil"/>
              <w:left w:val="nil"/>
              <w:bottom w:val="single" w:color="000000" w:sz="4" w:space="0"/>
              <w:right w:val="nil"/>
            </w:tcBorders>
            <w:vAlign w:val="center"/>
          </w:tcPr>
          <w:p>
            <w:pPr>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30"/>
                <w:szCs w:val="30"/>
              </w:rPr>
              <w:t>旺苍县2021年部门整体支出绩效评价指标体系</w:t>
            </w:r>
          </w:p>
        </w:tc>
      </w:tr>
      <w:tr>
        <w:tblPrEx>
          <w:tblCellMar>
            <w:top w:w="0" w:type="dxa"/>
            <w:left w:w="108" w:type="dxa"/>
            <w:bottom w:w="0" w:type="dxa"/>
            <w:right w:w="108" w:type="dxa"/>
          </w:tblCellMar>
        </w:tblPrEx>
        <w:trPr>
          <w:trHeight w:val="390" w:hRule="atLeast"/>
          <w:jc w:val="center"/>
        </w:trPr>
        <w:tc>
          <w:tcPr>
            <w:tcW w:w="196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绩效指标</w:t>
            </w:r>
          </w:p>
        </w:tc>
        <w:tc>
          <w:tcPr>
            <w:tcW w:w="64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指标分值</w:t>
            </w:r>
          </w:p>
        </w:tc>
        <w:tc>
          <w:tcPr>
            <w:tcW w:w="68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指标得分</w:t>
            </w:r>
          </w:p>
        </w:tc>
        <w:tc>
          <w:tcPr>
            <w:tcW w:w="2239"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指标解释</w:t>
            </w:r>
          </w:p>
        </w:tc>
        <w:tc>
          <w:tcPr>
            <w:tcW w:w="467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计分标准</w:t>
            </w:r>
          </w:p>
        </w:tc>
      </w:tr>
      <w:tr>
        <w:tblPrEx>
          <w:tblCellMar>
            <w:top w:w="0" w:type="dxa"/>
            <w:left w:w="108" w:type="dxa"/>
            <w:bottom w:w="0" w:type="dxa"/>
            <w:right w:w="108" w:type="dxa"/>
          </w:tblCellMar>
        </w:tblPrEx>
        <w:trPr>
          <w:trHeight w:val="390"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一级指标</w:t>
            </w:r>
          </w:p>
        </w:tc>
        <w:tc>
          <w:tcPr>
            <w:tcW w:w="6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二级指标</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三级指标</w:t>
            </w:r>
          </w:p>
        </w:tc>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sz w:val="18"/>
                <w:szCs w:val="18"/>
              </w:rPr>
            </w:pPr>
          </w:p>
        </w:tc>
        <w:tc>
          <w:tcPr>
            <w:tcW w:w="223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sz w:val="18"/>
                <w:szCs w:val="18"/>
              </w:rPr>
            </w:pPr>
          </w:p>
        </w:tc>
        <w:tc>
          <w:tcPr>
            <w:tcW w:w="46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sz w:val="18"/>
                <w:szCs w:val="18"/>
              </w:rPr>
            </w:pPr>
          </w:p>
        </w:tc>
      </w:tr>
      <w:tr>
        <w:tblPrEx>
          <w:tblCellMar>
            <w:top w:w="0" w:type="dxa"/>
            <w:left w:w="108" w:type="dxa"/>
            <w:bottom w:w="0" w:type="dxa"/>
            <w:right w:w="108" w:type="dxa"/>
          </w:tblCellMar>
        </w:tblPrEx>
        <w:trPr>
          <w:trHeight w:val="675"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部门预算管理(60分)</w:t>
            </w: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预算编制（24分）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目标制定</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sz w:val="18"/>
                <w:szCs w:val="18"/>
              </w:rPr>
            </w:pPr>
            <w:r>
              <w:rPr>
                <w:rFonts w:hint="eastAsia" w:ascii="宋体" w:hAnsi="宋体" w:eastAsia="宋体" w:cs="宋体"/>
                <w:color w:val="000000"/>
                <w:kern w:val="0"/>
                <w:sz w:val="18"/>
                <w:szCs w:val="18"/>
              </w:rPr>
              <w:t>评价部门绩效目标是否要素完整、细化量化。</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1.绩效目标编制要素完整的，得4分，否则酌情扣分。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2.绩效指标细化量化的，得4分，否则酌情扣分。 </w:t>
            </w:r>
          </w:p>
        </w:tc>
      </w:tr>
      <w:tr>
        <w:tblPrEx>
          <w:tblCellMar>
            <w:top w:w="0" w:type="dxa"/>
            <w:left w:w="108" w:type="dxa"/>
            <w:bottom w:w="0" w:type="dxa"/>
            <w:right w:w="108" w:type="dxa"/>
          </w:tblCellMar>
        </w:tblPrEx>
        <w:trPr>
          <w:trHeight w:val="81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目标完成</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评价部门绩效目标实际实现程度与预期目标的偏离度。</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以项目完成数量指标为核心，评价项目实际完成情况是否达到预期绩效目标，指标得分=达到预期绩效目标的部门项目个数/纳入绩效目标管理的部门预算项目个数*8</w:t>
            </w:r>
          </w:p>
        </w:tc>
      </w:tr>
      <w:tr>
        <w:tblPrEx>
          <w:tblCellMar>
            <w:top w:w="0" w:type="dxa"/>
            <w:left w:w="108" w:type="dxa"/>
            <w:bottom w:w="0" w:type="dxa"/>
            <w:right w:w="108" w:type="dxa"/>
          </w:tblCellMar>
        </w:tblPrEx>
        <w:trPr>
          <w:trHeight w:val="133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编制准确</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评价部门年初预算编制是否科学准确。</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指标得分=1-年初预算数（一上）/（财政下达数（一下）+预算调整数）基本支出资金，预决算偏差程度在10%以内的，得5分，偏差在10%-20%之间的，得3分，偏差超过20%的，不得分。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专项资金，预决算偏差程度在10%以内的，得3分。偏差度在10%-20%之间的，得2分，偏差度超过20%的，不得分。</w:t>
            </w:r>
          </w:p>
        </w:tc>
      </w:tr>
      <w:tr>
        <w:tblPrEx>
          <w:tblCellMar>
            <w:top w:w="0" w:type="dxa"/>
            <w:left w:w="108" w:type="dxa"/>
            <w:bottom w:w="0" w:type="dxa"/>
            <w:right w:w="108" w:type="dxa"/>
          </w:tblCellMar>
        </w:tblPrEx>
        <w:trPr>
          <w:trHeight w:val="156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预算执行（20分）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支出控制</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部门公用经费及非定额公用支出控制情况。</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 xml:space="preserve">计算部门日常公用经费、项目支出中“办公费、印刷费、水费、电费、物业管理费”等科目年初预算数与决算数偏差程度 1.预决算偏差程度在10%以内的，得4分。偏差度在10%-20%之间的，得2分，偏差度超过20%的，不得分。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2.预决算偏差程度与全县平均水平进行比较，偏差度低于平均水平的，得4分，高于全县平均水平的，按照与平均水平差异扣分。</w:t>
            </w:r>
          </w:p>
        </w:tc>
      </w:tr>
      <w:tr>
        <w:tblPrEx>
          <w:tblCellMar>
            <w:top w:w="0" w:type="dxa"/>
            <w:left w:w="108" w:type="dxa"/>
            <w:bottom w:w="0" w:type="dxa"/>
            <w:right w:w="108" w:type="dxa"/>
          </w:tblCellMar>
        </w:tblPrEx>
        <w:trPr>
          <w:trHeight w:val="110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动态调整</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评价部门开展绩效运行监控后，将绩效监控结果应用到预算调整的情况。</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指标得分=部门绩效监控调整取消额÷(部门绩效监控调整取消额+预算结余注销额）*6                                                                        当部门绩效监控调整取消额与结余注销额之和为零时，得满分。</w:t>
            </w:r>
          </w:p>
        </w:tc>
      </w:tr>
      <w:tr>
        <w:tblPrEx>
          <w:tblCellMar>
            <w:top w:w="0" w:type="dxa"/>
            <w:left w:w="108" w:type="dxa"/>
            <w:bottom w:w="0" w:type="dxa"/>
            <w:right w:w="108" w:type="dxa"/>
          </w:tblCellMar>
        </w:tblPrEx>
        <w:trPr>
          <w:trHeight w:val="131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执行进度</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评价部门在6、9、11月的预算执行情况。</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部门预算执行进度在6、9、11月应达到序时进度的80%、90%、90%，即实际支出进度分别达到40%、67.5%、82.5%。                                                     6、9、11月部门预算执行进度达到量化指标的各得2分，未达到目标进度</w:t>
            </w:r>
            <w:r>
              <w:rPr>
                <w:rFonts w:hint="eastAsia" w:ascii="宋体" w:hAnsi="宋体" w:eastAsia="宋体" w:cs="宋体"/>
                <w:color w:val="000000"/>
                <w:kern w:val="0"/>
                <w:sz w:val="18"/>
                <w:szCs w:val="18"/>
                <w:lang w:eastAsia="zh-CN"/>
              </w:rPr>
              <w:t>的</w:t>
            </w:r>
            <w:r>
              <w:rPr>
                <w:rFonts w:hint="eastAsia" w:ascii="宋体" w:hAnsi="宋体" w:eastAsia="宋体" w:cs="宋体"/>
                <w:color w:val="000000"/>
                <w:kern w:val="0"/>
                <w:sz w:val="18"/>
                <w:szCs w:val="18"/>
              </w:rPr>
              <w:t xml:space="preserve">按其实际进度占目标进度的比重计算得分。                                             </w:t>
            </w:r>
          </w:p>
        </w:tc>
      </w:tr>
      <w:tr>
        <w:tblPrEx>
          <w:tblCellMar>
            <w:top w:w="0" w:type="dxa"/>
            <w:left w:w="108" w:type="dxa"/>
            <w:bottom w:w="0" w:type="dxa"/>
            <w:right w:w="108" w:type="dxa"/>
          </w:tblCellMar>
        </w:tblPrEx>
        <w:trPr>
          <w:trHeight w:val="69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完成结果（16分）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预算完成</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评价部门预算项目年终预算执行情况。</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部门预算项目12月预算执行进度达到100%的，得8分，未达100%的，按照实际进度量化计算得分。</w:t>
            </w:r>
          </w:p>
        </w:tc>
      </w:tr>
      <w:tr>
        <w:tblPrEx>
          <w:tblCellMar>
            <w:top w:w="0" w:type="dxa"/>
            <w:left w:w="108" w:type="dxa"/>
            <w:bottom w:w="0" w:type="dxa"/>
            <w:right w:w="108" w:type="dxa"/>
          </w:tblCellMar>
        </w:tblPrEx>
        <w:trPr>
          <w:trHeight w:val="81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违规记录</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根据审计监督、财政检查结果反映部门上一年度部门预算管理是否合规。</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依据上一年度审计监督、财政检查结果，出现部门预算管理方面违纪违规问题的，每个问题扣0.5分，直至扣完。</w:t>
            </w:r>
          </w:p>
        </w:tc>
      </w:tr>
      <w:tr>
        <w:tblPrEx>
          <w:tblCellMar>
            <w:top w:w="0" w:type="dxa"/>
            <w:left w:w="108" w:type="dxa"/>
            <w:bottom w:w="0" w:type="dxa"/>
            <w:right w:w="108" w:type="dxa"/>
          </w:tblCellMar>
        </w:tblPrEx>
        <w:trPr>
          <w:trHeight w:val="1130"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专项预算管理（20分）</w:t>
            </w: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项目决策（8分）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程序严密</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评价专项项目的设立是否经过严格评估论证、管理制度是否完善健全。</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1.专项项目设立时经过事前绩效评估或可行性论证的，得1.5分，否则不得分。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2.专项资金的管理办法健全完善的，得1.5分，否则酌情扣分，无管理办法的，该指标不得分。</w:t>
            </w:r>
          </w:p>
        </w:tc>
      </w:tr>
      <w:tr>
        <w:tblPrEx>
          <w:tblCellMar>
            <w:top w:w="0" w:type="dxa"/>
            <w:left w:w="108" w:type="dxa"/>
            <w:bottom w:w="0" w:type="dxa"/>
            <w:right w:w="108" w:type="dxa"/>
          </w:tblCellMar>
        </w:tblPrEx>
        <w:trPr>
          <w:trHeight w:val="158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规划合理</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评价项目规划是否符合县委、县政府重大决策部署，项目年度绩效目标与规划是否一致。</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 xml:space="preserve">1.专项项目（除一次性项目外）制定了中长期规划的，得1分，否则该三级指标整体不得分。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2.项目规划符合县委、县政府重大决策部署和宏观政策规划的，得1分。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3.项目年度绩效目标与专项中长期规划一致的，得1分，有一处不符合的扣0.2分。</w:t>
            </w:r>
          </w:p>
        </w:tc>
      </w:tr>
      <w:tr>
        <w:tblPrEx>
          <w:tblCellMar>
            <w:top w:w="0" w:type="dxa"/>
            <w:left w:w="108" w:type="dxa"/>
            <w:bottom w:w="0" w:type="dxa"/>
            <w:right w:w="108" w:type="dxa"/>
          </w:tblCellMar>
        </w:tblPrEx>
        <w:trPr>
          <w:trHeight w:val="191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结果符合</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评价项目实施结果与项目总体规划计划是否一致。</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实际完成任务量和效果达到规划预期情况的，得满分。按项目法分配的项目，以所有项目点实施完成情况与规划计划情况进行对比。按因素法分配的项目和据实据效分配的项目，将资金分配方向与规划计划支持方向进行对比。完全达到预期的得满分。未完全达到规划预期情况的，以达到预期情况的资金量占项目总金额占比计分。指标得分=项目实施实施结果符合规划的金额/项目总金额*2</w:t>
            </w:r>
          </w:p>
        </w:tc>
      </w:tr>
      <w:tr>
        <w:tblPrEx>
          <w:tblCellMar>
            <w:top w:w="0" w:type="dxa"/>
            <w:left w:w="108" w:type="dxa"/>
            <w:bottom w:w="0" w:type="dxa"/>
            <w:right w:w="108" w:type="dxa"/>
          </w:tblCellMar>
        </w:tblPrEx>
        <w:trPr>
          <w:trHeight w:val="132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项目实施（4分）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分配科学</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评价项目分配方法选择是否科学，分类评价分配程序和过程管理是否规范。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1.项目分配选取了科学的绩效分配方法，得1分；                                       2.采用因素分配法的项目，项目因素选取合理的，得1分；采用项目法分配的项目，评分标准和立项程序合理规范的，得1分；据实据效的项目，基础数据真实，测算精准的，得1分。否则，酌情扣分。</w:t>
            </w:r>
          </w:p>
        </w:tc>
      </w:tr>
      <w:tr>
        <w:tblPrEx>
          <w:tblCellMar>
            <w:top w:w="0" w:type="dxa"/>
            <w:left w:w="108" w:type="dxa"/>
            <w:bottom w:w="0" w:type="dxa"/>
            <w:right w:w="108" w:type="dxa"/>
          </w:tblCellMar>
        </w:tblPrEx>
        <w:trPr>
          <w:trHeight w:val="68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分配及时</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评价部门是否按规定时限及时分配专项预算资金。                    </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按《预算法》规定时限完成分配的考核得2分，否则不得分。                                              </w:t>
            </w:r>
          </w:p>
        </w:tc>
      </w:tr>
      <w:tr>
        <w:tblPrEx>
          <w:tblCellMar>
            <w:top w:w="0" w:type="dxa"/>
            <w:left w:w="108" w:type="dxa"/>
            <w:bottom w:w="0" w:type="dxa"/>
            <w:right w:w="108" w:type="dxa"/>
          </w:tblCellMar>
        </w:tblPrEx>
        <w:trPr>
          <w:trHeight w:val="87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完成结果（8分）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预算完成</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评价专项项目资金拨付到具体项目（人）的情况。</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专项资金实际拨付到具体项目（人）的进度达到100%的，得3分，未达到100%的，指标得分=实际拨付金额/专项项目金额*3。</w:t>
            </w:r>
          </w:p>
        </w:tc>
      </w:tr>
      <w:tr>
        <w:tblPrEx>
          <w:tblCellMar>
            <w:top w:w="0" w:type="dxa"/>
            <w:left w:w="108" w:type="dxa"/>
            <w:bottom w:w="0" w:type="dxa"/>
            <w:right w:w="108" w:type="dxa"/>
          </w:tblCellMar>
        </w:tblPrEx>
        <w:trPr>
          <w:trHeight w:val="105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实施绩效</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评价专项项目实施绩效情况。                      </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专项项目属于当年财政重点评价范围的，该项得分使用项目支出评价共性指标、特性指标和个性指标得分换算，满分6分。若部门专项项目不属于当年重点评价范围的，采用最近年度重点评价相关指标得分换算。</w:t>
            </w:r>
          </w:p>
        </w:tc>
      </w:tr>
      <w:tr>
        <w:tblPrEx>
          <w:tblCellMar>
            <w:top w:w="0" w:type="dxa"/>
            <w:left w:w="108" w:type="dxa"/>
            <w:bottom w:w="0" w:type="dxa"/>
            <w:right w:w="108" w:type="dxa"/>
          </w:tblCellMar>
        </w:tblPrEx>
        <w:trPr>
          <w:trHeight w:val="122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违规记录</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1.8</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根据审计监督、财政检查结果反映部门上一年度部门专项预算管理是否合规。</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依据上一年度审计、财政检查结果，出现专项预算管理方面违纪违规问题的，每个问题扣0.2分，直至扣完。</w:t>
            </w:r>
          </w:p>
        </w:tc>
      </w:tr>
      <w:tr>
        <w:tblPrEx>
          <w:tblCellMar>
            <w:top w:w="0" w:type="dxa"/>
            <w:left w:w="108" w:type="dxa"/>
            <w:bottom w:w="0" w:type="dxa"/>
            <w:right w:w="108" w:type="dxa"/>
          </w:tblCellMar>
        </w:tblPrEx>
        <w:trPr>
          <w:trHeight w:val="630"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绩效结果应用（20分）</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自评质量（4分）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自评准确</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评价部门整体支出自评准确率。</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部门整体支出自评得分与评价组抽查得分差异在5%以内的，不扣分；在5%-10%之间的，扣1分，在10%-20%的，扣2分，在20%以上的，扣4分。</w:t>
            </w:r>
          </w:p>
        </w:tc>
      </w:tr>
      <w:tr>
        <w:tblPrEx>
          <w:tblCellMar>
            <w:top w:w="0" w:type="dxa"/>
            <w:left w:w="108" w:type="dxa"/>
            <w:bottom w:w="0" w:type="dxa"/>
            <w:right w:w="108" w:type="dxa"/>
          </w:tblCellMar>
        </w:tblPrEx>
        <w:trPr>
          <w:trHeight w:val="65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信息公开（8分）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目标公开</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评价部门绩效目标是否按要求向社会公开。</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按要求随同预算公开的，得4分。</w:t>
            </w:r>
          </w:p>
        </w:tc>
      </w:tr>
      <w:tr>
        <w:tblPrEx>
          <w:tblCellMar>
            <w:top w:w="0" w:type="dxa"/>
            <w:left w:w="108" w:type="dxa"/>
            <w:bottom w:w="0" w:type="dxa"/>
            <w:right w:w="108" w:type="dxa"/>
          </w:tblCellMar>
        </w:tblPrEx>
        <w:trPr>
          <w:trHeight w:val="48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自评公开</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评价部门是否按要求将部门整体绩效自评情况和自行组织的评价情况向社会公开。</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按要求随同决算公开的，得4分。</w:t>
            </w:r>
          </w:p>
        </w:tc>
      </w:tr>
      <w:tr>
        <w:tblPrEx>
          <w:tblCellMar>
            <w:top w:w="0" w:type="dxa"/>
            <w:left w:w="108" w:type="dxa"/>
            <w:bottom w:w="0" w:type="dxa"/>
            <w:right w:w="108" w:type="dxa"/>
          </w:tblCellMar>
        </w:tblPrEx>
        <w:trPr>
          <w:trHeight w:val="83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整改反馈（8分）</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结果整改</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评价部门根据绩效管理结果整改问题、完善政策、改进管理的情况。</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针对绩效管理过程中（包括绩效目标核查、绩效监控核查和重点绩效评价）提出的问题，发现一处未整改的，扣1分，直至扣完。</w:t>
            </w:r>
          </w:p>
        </w:tc>
      </w:tr>
      <w:tr>
        <w:tblPrEx>
          <w:tblCellMar>
            <w:top w:w="0" w:type="dxa"/>
            <w:left w:w="108" w:type="dxa"/>
            <w:bottom w:w="0" w:type="dxa"/>
            <w:right w:w="108" w:type="dxa"/>
          </w:tblCellMar>
        </w:tblPrEx>
        <w:trPr>
          <w:trHeight w:val="86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应用反馈</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评价部门按要求及时向财政部门反馈结果应用情况。</w:t>
            </w:r>
          </w:p>
        </w:tc>
        <w:tc>
          <w:tcPr>
            <w:tcW w:w="4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部门在规定时间内向财政部门反馈、报送相应绩效自评报告、应用结果、整改报告的，得满分；未按时报送一次扣1分，扣完为止。</w:t>
            </w:r>
          </w:p>
        </w:tc>
      </w:tr>
      <w:tr>
        <w:tblPrEx>
          <w:tblCellMar>
            <w:top w:w="0" w:type="dxa"/>
            <w:left w:w="108" w:type="dxa"/>
            <w:bottom w:w="0" w:type="dxa"/>
            <w:right w:w="108" w:type="dxa"/>
          </w:tblCellMar>
        </w:tblPrEx>
        <w:trPr>
          <w:trHeight w:val="375" w:hRule="atLeast"/>
          <w:jc w:val="center"/>
        </w:trPr>
        <w:tc>
          <w:tcPr>
            <w:tcW w:w="1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总分合计</w:t>
            </w:r>
          </w:p>
        </w:tc>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100</w:t>
            </w:r>
          </w:p>
        </w:tc>
        <w:tc>
          <w:tcPr>
            <w:tcW w:w="68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96.8</w:t>
            </w:r>
          </w:p>
        </w:tc>
        <w:tc>
          <w:tcPr>
            <w:tcW w:w="223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p>
        </w:tc>
        <w:tc>
          <w:tcPr>
            <w:tcW w:w="467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8"/>
                <w:szCs w:val="18"/>
              </w:rPr>
            </w:pPr>
          </w:p>
        </w:tc>
      </w:tr>
    </w:tbl>
    <w:p>
      <w:pPr>
        <w:keepNext w:val="0"/>
        <w:keepLines w:val="0"/>
        <w:pageBreakBefore w:val="0"/>
        <w:widowControl w:val="0"/>
        <w:kinsoku/>
        <w:wordWrap/>
        <w:topLinePunct w:val="0"/>
        <w:autoSpaceDE/>
        <w:autoSpaceDN/>
        <w:bidi w:val="0"/>
        <w:adjustRightInd/>
        <w:snapToGrid/>
        <w:spacing w:line="576" w:lineRule="exact"/>
        <w:ind w:firstLine="321" w:firstLineChars="100"/>
        <w:textAlignment w:val="auto"/>
        <w:rPr>
          <w:rFonts w:hint="eastAsia" w:ascii="仿宋_GB2312" w:hAnsi="仿宋_GB2312" w:eastAsia="仿宋_GB2312" w:cs="仿宋_GB2312"/>
          <w:b/>
          <w:sz w:val="32"/>
          <w:szCs w:val="32"/>
        </w:rPr>
      </w:pPr>
    </w:p>
    <w:p>
      <w:pPr>
        <w:keepNext w:val="0"/>
        <w:keepLines w:val="0"/>
        <w:pageBreakBefore w:val="0"/>
        <w:widowControl w:val="0"/>
        <w:kinsoku/>
        <w:wordWrap/>
        <w:topLinePunct w:val="0"/>
        <w:autoSpaceDE/>
        <w:autoSpaceDN/>
        <w:bidi w:val="0"/>
        <w:adjustRightInd/>
        <w:snapToGrid/>
        <w:spacing w:line="576" w:lineRule="exact"/>
        <w:ind w:firstLine="321" w:firstLineChars="1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（二）综合管理情况</w:t>
      </w:r>
    </w:p>
    <w:p>
      <w:pPr>
        <w:keepNext w:val="0"/>
        <w:keepLines w:val="0"/>
        <w:pageBreakBefore w:val="0"/>
        <w:widowControl w:val="0"/>
        <w:kinsoku/>
        <w:wordWrap/>
        <w:overflowPunct w:val="0"/>
        <w:topLinePunct w:val="0"/>
        <w:autoSpaceDE/>
        <w:autoSpaceDN/>
        <w:bidi w:val="0"/>
        <w:adjustRightInd/>
        <w:snapToGrid/>
        <w:spacing w:line="576" w:lineRule="exact"/>
        <w:ind w:firstLine="635" w:firstLineChars="200"/>
        <w:textAlignment w:val="auto"/>
        <w:rPr>
          <w:rFonts w:hint="eastAsia" w:ascii="仿宋_GB2312" w:hAnsi="仿宋_GB2312" w:eastAsia="仿宋_GB2312" w:cs="仿宋_GB2312"/>
          <w:b/>
          <w:bCs/>
          <w:w w:val="99"/>
          <w:sz w:val="32"/>
          <w:szCs w:val="32"/>
        </w:rPr>
      </w:pPr>
      <w:r>
        <w:rPr>
          <w:rFonts w:hint="eastAsia" w:ascii="仿宋_GB2312" w:hAnsi="仿宋_GB2312" w:eastAsia="仿宋_GB2312" w:cs="仿宋_GB2312"/>
          <w:b/>
          <w:bCs/>
          <w:w w:val="99"/>
          <w:sz w:val="32"/>
          <w:szCs w:val="32"/>
        </w:rPr>
        <w:t>1.年度目标完成情况</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rPr>
        <w:t>经核实，县目标绩效事务中心对该单位2020年年度考核结果为一等奖，年度目标完成情况好。</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2.预算编制情况</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rPr>
        <w:t>该单位预算编制将年度工作主要任务细化为街道清扫保洁、扬尘治理冲街洒水、垃圾清运、环卫设施设备维修、非税收入征收、脱贫攻坚、基层党组织活动等7大任务，编制了年度总体目标，设置了数量、质量、时效、成本、经济效益、社会效益、生态效益、可持续影响、服务对象满意度9大二级指标和相适应的29个三级指标，单位预算编制要素完整、做到了绩效指标细化、量化。</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rPr>
        <w:t>2020年该单位预算一上编制基本支出909.65万元，预算下达基本支出913万元，预算追加148.82万元，追加主要为职工目标奖财政年初未纳入预算形成。预决算偏差0.37%。</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9"/>
          <w:sz w:val="32"/>
          <w:szCs w:val="32"/>
          <w:lang w:eastAsia="zh-CN"/>
        </w:rPr>
      </w:pPr>
      <w:r>
        <w:rPr>
          <w:rFonts w:hint="eastAsia" w:ascii="仿宋_GB2312" w:hAnsi="仿宋_GB2312" w:eastAsia="仿宋_GB2312" w:cs="仿宋_GB2312"/>
          <w:w w:val="99"/>
          <w:sz w:val="32"/>
          <w:szCs w:val="32"/>
        </w:rPr>
        <w:t>2020年该单位预算一上编制项目支出1768.78万元，预算下达项目支出115.2万元，预算追加372.6万元，主要是财政资金缺口大，常年必须实施的项目资金纳不进预算形成偏差。剔除财政因素，预决算偏差8.69%</w:t>
      </w:r>
      <w:r>
        <w:rPr>
          <w:rFonts w:hint="eastAsia" w:ascii="仿宋_GB2312" w:hAnsi="仿宋_GB2312" w:eastAsia="仿宋_GB2312" w:cs="仿宋_GB2312"/>
          <w:w w:val="99"/>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预算执行情况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（1）支出控制情况</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rPr>
        <w:t>该单位年初预算基本支出办公费8万元，电费2万元，无印刷费、水费、物业管理费预算，项目支出—环卫生产作业经费不能预算到明细，合计10万元，决算基本支出办公费5.76万元，水费0.03万元，电费3.61万元，合计9.4万元，偏差6.38%。</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（2）动态调整情况</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b w:val="0"/>
          <w:bCs w:val="0"/>
          <w:w w:val="99"/>
          <w:sz w:val="32"/>
          <w:szCs w:val="32"/>
        </w:rPr>
      </w:pPr>
      <w:r>
        <w:rPr>
          <w:rFonts w:hint="eastAsia" w:ascii="仿宋_GB2312" w:hAnsi="仿宋_GB2312" w:eastAsia="仿宋_GB2312" w:cs="仿宋_GB2312"/>
          <w:b w:val="0"/>
          <w:bCs w:val="0"/>
          <w:w w:val="99"/>
          <w:sz w:val="32"/>
          <w:szCs w:val="32"/>
        </w:rPr>
        <w:t>我单位无部门绩效监控取消预算额。</w:t>
      </w:r>
    </w:p>
    <w:p>
      <w:pPr>
        <w:keepNext w:val="0"/>
        <w:keepLines w:val="0"/>
        <w:pageBreakBefore w:val="0"/>
        <w:widowControl w:val="0"/>
        <w:numPr>
          <w:ilvl w:val="0"/>
          <w:numId w:val="2"/>
        </w:numPr>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99"/>
          <w:sz w:val="32"/>
          <w:szCs w:val="32"/>
        </w:rPr>
      </w:pPr>
      <w:r>
        <w:rPr>
          <w:rFonts w:hint="eastAsia" w:ascii="仿宋_GB2312" w:hAnsi="仿宋_GB2312" w:eastAsia="仿宋_GB2312" w:cs="仿宋_GB2312"/>
          <w:b w:val="0"/>
          <w:bCs w:val="0"/>
          <w:sz w:val="32"/>
          <w:szCs w:val="32"/>
        </w:rPr>
        <w:t>执行进度情况</w:t>
      </w:r>
    </w:p>
    <w:p>
      <w:pPr>
        <w:keepNext w:val="0"/>
        <w:keepLines w:val="0"/>
        <w:pageBreakBefore w:val="0"/>
        <w:widowControl w:val="0"/>
        <w:numPr>
          <w:ilvl w:val="0"/>
          <w:numId w:val="2"/>
        </w:numPr>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rPr>
        <w:t>该单位6-11月均完成目标任务工作量的100%，由于财政资金不能按工作量完成情况审批计划，导致6月末执行进度为886.61万元，占总预算收入1946.18万元的45.55%；9月末执行进度为1258.04万元，占总预算收入1946.18万元的64.64%、11月末执行进度为1359.96万元，占总预算收入1946.18的69.87%。剔除财政未审批计划原因，实际执行进度为6月为50%，7月为75%，11月为91.67%。</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4.预算完成结果情况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（1）预算完成情况</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b w:val="0"/>
          <w:bCs w:val="0"/>
          <w:w w:val="99"/>
          <w:sz w:val="32"/>
          <w:szCs w:val="32"/>
        </w:rPr>
      </w:pPr>
      <w:r>
        <w:rPr>
          <w:rFonts w:hint="eastAsia" w:ascii="仿宋_GB2312" w:hAnsi="仿宋_GB2312" w:eastAsia="仿宋_GB2312" w:cs="仿宋_GB2312"/>
          <w:b w:val="0"/>
          <w:bCs w:val="0"/>
          <w:w w:val="99"/>
          <w:sz w:val="32"/>
          <w:szCs w:val="32"/>
        </w:rPr>
        <w:t>该单位本年预算1549.62万元，上年结转396.56万元，合计1946.18万元，至12月末合计支付1588.34万元，由于财政资金调度困难形成已完成项目无法支付的资金达357.84万元形成结转，导致预算执行进度由100%下降为81.61%，剔除财政因素，预算完成100%。</w:t>
      </w:r>
    </w:p>
    <w:p>
      <w:pPr>
        <w:keepNext w:val="0"/>
        <w:keepLines w:val="0"/>
        <w:pageBreakBefore w:val="0"/>
        <w:widowControl w:val="0"/>
        <w:numPr>
          <w:ilvl w:val="0"/>
          <w:numId w:val="3"/>
        </w:numPr>
        <w:tabs>
          <w:tab w:val="left" w:pos="312"/>
        </w:tabs>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违规记录情况</w:t>
      </w:r>
    </w:p>
    <w:p>
      <w:pPr>
        <w:keepNext w:val="0"/>
        <w:keepLines w:val="0"/>
        <w:pageBreakBefore w:val="0"/>
        <w:widowControl w:val="0"/>
        <w:tabs>
          <w:tab w:val="left" w:pos="312"/>
        </w:tabs>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C00000"/>
          <w:sz w:val="32"/>
          <w:szCs w:val="32"/>
          <w:lang w:eastAsia="zh-CN"/>
        </w:rPr>
      </w:pPr>
      <w:r>
        <w:rPr>
          <w:rFonts w:hint="eastAsia" w:ascii="仿宋_GB2312" w:hAnsi="仿宋_GB2312" w:eastAsia="仿宋_GB2312" w:cs="仿宋_GB2312"/>
          <w:color w:val="000000"/>
          <w:sz w:val="32"/>
          <w:szCs w:val="32"/>
        </w:rPr>
        <w:t>2019年“三公”经费、违纪违规乱发钱物专项检查中发现存在差旅费中列支过路费、租用个人车辆加油代替租车费的问题</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项目决策情况</w:t>
      </w:r>
    </w:p>
    <w:p>
      <w:pPr>
        <w:keepNext w:val="0"/>
        <w:keepLines w:val="0"/>
        <w:pageBreakBefore w:val="0"/>
        <w:widowControl w:val="0"/>
        <w:kinsoku/>
        <w:wordWrap/>
        <w:overflowPunct w:val="0"/>
        <w:topLinePunct w:val="0"/>
        <w:autoSpaceDE/>
        <w:autoSpaceDN/>
        <w:bidi w:val="0"/>
        <w:adjustRightInd/>
        <w:snapToGrid/>
        <w:spacing w:line="576" w:lineRule="exact"/>
        <w:ind w:left="210" w:leftChars="100" w:firstLine="320" w:firstLineChars="1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（1）项目决策程序</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b w:val="0"/>
          <w:bCs w:val="0"/>
          <w:w w:val="99"/>
          <w:sz w:val="32"/>
          <w:szCs w:val="32"/>
        </w:rPr>
      </w:pPr>
      <w:r>
        <w:rPr>
          <w:rFonts w:hint="eastAsia" w:ascii="仿宋_GB2312" w:hAnsi="仿宋_GB2312" w:eastAsia="仿宋_GB2312" w:cs="仿宋_GB2312"/>
          <w:b w:val="0"/>
          <w:bCs w:val="0"/>
          <w:w w:val="99"/>
          <w:sz w:val="32"/>
          <w:szCs w:val="32"/>
        </w:rPr>
        <w:t>该单位实施的项目进行了可行性论证，内部组织构架科学合理，管理办法健全完善，项目决策科学合理。</w:t>
      </w:r>
    </w:p>
    <w:p>
      <w:pPr>
        <w:keepNext w:val="0"/>
        <w:keepLines w:val="0"/>
        <w:pageBreakBefore w:val="0"/>
        <w:widowControl w:val="0"/>
        <w:tabs>
          <w:tab w:val="left" w:pos="312"/>
        </w:tabs>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（2）项目决策规划合理性</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b w:val="0"/>
          <w:bCs w:val="0"/>
          <w:w w:val="99"/>
          <w:sz w:val="32"/>
          <w:szCs w:val="32"/>
        </w:rPr>
      </w:pPr>
      <w:r>
        <w:rPr>
          <w:rFonts w:hint="eastAsia" w:ascii="仿宋_GB2312" w:hAnsi="仿宋_GB2312" w:eastAsia="仿宋_GB2312" w:cs="仿宋_GB2312"/>
          <w:b w:val="0"/>
          <w:bCs w:val="0"/>
          <w:w w:val="99"/>
          <w:sz w:val="32"/>
          <w:szCs w:val="32"/>
        </w:rPr>
        <w:t>该单位实施的项目都是常年性项目，项目规划合理，制定了中长期规划，符合</w:t>
      </w:r>
      <w:r>
        <w:rPr>
          <w:rFonts w:hint="eastAsia" w:ascii="仿宋_GB2312" w:hAnsi="仿宋_GB2312" w:eastAsia="仿宋_GB2312" w:cs="仿宋_GB2312"/>
          <w:b w:val="0"/>
          <w:bCs w:val="0"/>
          <w:w w:val="99"/>
          <w:sz w:val="32"/>
          <w:szCs w:val="32"/>
          <w:lang w:eastAsia="zh-CN"/>
        </w:rPr>
        <w:t>县委、县政府</w:t>
      </w:r>
      <w:r>
        <w:rPr>
          <w:rFonts w:hint="eastAsia" w:ascii="仿宋_GB2312" w:hAnsi="仿宋_GB2312" w:eastAsia="仿宋_GB2312" w:cs="仿宋_GB2312"/>
          <w:b w:val="0"/>
          <w:bCs w:val="0"/>
          <w:w w:val="99"/>
          <w:sz w:val="32"/>
          <w:szCs w:val="32"/>
        </w:rPr>
        <w:t>重大决策部署和宏观政策规划。</w:t>
      </w:r>
    </w:p>
    <w:p>
      <w:pPr>
        <w:keepNext w:val="0"/>
        <w:keepLines w:val="0"/>
        <w:pageBreakBefore w:val="0"/>
        <w:widowControl w:val="0"/>
        <w:tabs>
          <w:tab w:val="left" w:pos="312"/>
        </w:tabs>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（3）项目决策结果符合性</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rPr>
        <w:t>项目计划保障了我县环境卫生管理，使我县城市环境卫生质量稳步提升，保障县城区及嘉川片区156万平方米街道清扫保洁、垃圾清运处理、环卫设施维修维护，全年累计完成清扫保洁面积5.69亿平方米，冲街洒水3.3万余方，清扫保洁覆盖率100%，完成脱贫攻坚工作，保障全年完成非税收入366万元，保障环卫中心支部党组织活动正常开展的目标任务。</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rPr>
        <w:t>通过项目实施，去年已全面完成年初设定的任务，达到预期规划目标，项目实施结果与项目总体规划一致。</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6.项目实施情况</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rPr>
        <w:t>2020年该单位投资了418.06万元购置、新建了必要的环卫设施设备，对35辆垃圾车、11座垃圾中转站、11座垃圾压缩站、22座公厕进行了日常维修保养，保障了县城区及嘉川片区156万平方米街道清扫保洁、县城区及嘉川片区、高阳、正源、双汇水源保护地及乡镇7个压缩站生活垃圾的及时清运和规范化处置，建筑弃土得到规范化处置。全年累计完成清扫保洁面积5.69亿平方米，每天对县城区“严管街”花台、果皮箱和垃圾收集箱清洗消杀1次，对城市“牛皮癣”广告清理1次，每天对主要街道实施2次洒水压尘、机械吸尘2次，全年冲街洒水3.3万余方，年无害化处理生活垃圾5.5万余吨，确保了设施设备完好率达95%以上，清扫保洁覆盖率100%。</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w w:val="99"/>
          <w:sz w:val="32"/>
          <w:szCs w:val="32"/>
        </w:rPr>
        <w:t>通过项目实施，</w:t>
      </w:r>
      <w:r>
        <w:rPr>
          <w:rFonts w:hint="eastAsia" w:ascii="仿宋_GB2312" w:hAnsi="仿宋_GB2312" w:eastAsia="仿宋_GB2312" w:cs="仿宋_GB2312"/>
          <w:b/>
          <w:bCs/>
          <w:w w:val="99"/>
          <w:sz w:val="32"/>
          <w:szCs w:val="32"/>
        </w:rPr>
        <w:t>一是</w:t>
      </w:r>
      <w:r>
        <w:rPr>
          <w:rFonts w:hint="eastAsia" w:ascii="仿宋_GB2312" w:hAnsi="仿宋_GB2312" w:eastAsia="仿宋_GB2312" w:cs="仿宋_GB2312"/>
          <w:w w:val="99"/>
          <w:sz w:val="32"/>
          <w:szCs w:val="32"/>
        </w:rPr>
        <w:t>确保了街道干净整洁，扬尘得到有效控制，生活垃圾处理工艺、渗滤液排放及有毒有害废物处理达到了国家环保要求，保障了我县环境卫生管理，使我县城市环境卫生质量稳步提升方，减少垃圾对生态环境的污染，提升我县环卫整体水平。</w:t>
      </w:r>
      <w:r>
        <w:rPr>
          <w:rFonts w:hint="eastAsia" w:ascii="仿宋_GB2312" w:hAnsi="仿宋_GB2312" w:eastAsia="仿宋_GB2312" w:cs="仿宋_GB2312"/>
          <w:b/>
          <w:bCs/>
          <w:w w:val="99"/>
          <w:sz w:val="32"/>
          <w:szCs w:val="32"/>
        </w:rPr>
        <w:t>二是</w:t>
      </w:r>
      <w:r>
        <w:rPr>
          <w:rFonts w:hint="eastAsia" w:ascii="仿宋_GB2312" w:hAnsi="仿宋_GB2312" w:eastAsia="仿宋_GB2312" w:cs="仿宋_GB2312"/>
          <w:w w:val="99"/>
          <w:sz w:val="32"/>
          <w:szCs w:val="32"/>
        </w:rPr>
        <w:t>确保了帮扶的张华镇枣林村、白水镇大埝村、大德镇工农村和江长村245户贫困户高质量脱贫并顺利通难过了国家脱贫攻坚考核验收，脱贫攻坚工作被县委表彰为先进单位。</w:t>
      </w:r>
      <w:r>
        <w:rPr>
          <w:rFonts w:hint="eastAsia" w:ascii="仿宋_GB2312" w:hAnsi="仿宋_GB2312" w:eastAsia="仿宋_GB2312" w:cs="仿宋_GB2312"/>
          <w:b/>
          <w:bCs/>
          <w:w w:val="99"/>
          <w:sz w:val="32"/>
          <w:szCs w:val="32"/>
        </w:rPr>
        <w:t>三是</w:t>
      </w:r>
      <w:r>
        <w:rPr>
          <w:rFonts w:hint="eastAsia" w:ascii="仿宋_GB2312" w:hAnsi="仿宋_GB2312" w:eastAsia="仿宋_GB2312" w:cs="仿宋_GB2312"/>
          <w:w w:val="99"/>
          <w:sz w:val="32"/>
          <w:szCs w:val="32"/>
        </w:rPr>
        <w:t>完成非税收入366万元收缴入库工作，非税收入收缴入库创历史新高。</w:t>
      </w:r>
      <w:r>
        <w:rPr>
          <w:rFonts w:hint="eastAsia" w:ascii="仿宋_GB2312" w:hAnsi="仿宋_GB2312" w:eastAsia="仿宋_GB2312" w:cs="仿宋_GB2312"/>
          <w:b/>
          <w:bCs/>
          <w:w w:val="99"/>
          <w:sz w:val="32"/>
          <w:szCs w:val="32"/>
        </w:rPr>
        <w:t>四是</w:t>
      </w:r>
      <w:r>
        <w:rPr>
          <w:rFonts w:hint="eastAsia" w:ascii="仿宋_GB2312" w:hAnsi="仿宋_GB2312" w:eastAsia="仿宋_GB2312" w:cs="仿宋_GB2312"/>
          <w:w w:val="99"/>
          <w:sz w:val="32"/>
          <w:szCs w:val="32"/>
        </w:rPr>
        <w:t>投资55.8万元购置了新冠肺炎疫情防控口罩收集桶、留观点生活污水收集车，强化了清扫保洁、消杀、口罩、生活垃圾收集等工作，确保了新冠肺炎疫情得到了有效防控，新冠肺炎疫情防控工作被广元市委组织部表彰为“在疫情防控一线表现突出的基层党组织”，一名表现突出的同志被批准火线入党。</w:t>
      </w:r>
      <w:r>
        <w:rPr>
          <w:rFonts w:hint="eastAsia" w:ascii="仿宋_GB2312" w:hAnsi="仿宋_GB2312" w:eastAsia="仿宋_GB2312" w:cs="仿宋_GB2312"/>
          <w:b/>
          <w:bCs/>
          <w:w w:val="99"/>
          <w:sz w:val="32"/>
          <w:szCs w:val="32"/>
        </w:rPr>
        <w:t>五是</w:t>
      </w:r>
      <w:r>
        <w:rPr>
          <w:rFonts w:hint="eastAsia" w:ascii="仿宋_GB2312" w:hAnsi="仿宋_GB2312" w:eastAsia="仿宋_GB2312" w:cs="仿宋_GB2312"/>
          <w:w w:val="99"/>
          <w:sz w:val="32"/>
          <w:szCs w:val="32"/>
        </w:rPr>
        <w:t>成立了餐厨剩余物专门的收集队伍对县城区及嘉川片区所有餐厨剩余物进行了收集和无害化处置，确保了非洲猪瘟的有效防控。六是加强化了基层党组织阵地建设，强化了党员学习教育，基层党组织建设得到了进一步增强。七是按照</w:t>
      </w:r>
      <w:r>
        <w:rPr>
          <w:rFonts w:hint="eastAsia" w:ascii="仿宋_GB2312" w:hAnsi="仿宋_GB2312" w:eastAsia="仿宋_GB2312" w:cs="仿宋_GB2312"/>
          <w:w w:val="99"/>
          <w:sz w:val="32"/>
          <w:szCs w:val="32"/>
          <w:lang w:eastAsia="zh-CN"/>
        </w:rPr>
        <w:t>县委、县政府</w:t>
      </w:r>
      <w:r>
        <w:rPr>
          <w:rFonts w:hint="eastAsia" w:ascii="仿宋_GB2312" w:hAnsi="仿宋_GB2312" w:eastAsia="仿宋_GB2312" w:cs="仿宋_GB2312"/>
          <w:w w:val="99"/>
          <w:sz w:val="32"/>
          <w:szCs w:val="32"/>
        </w:rPr>
        <w:t>要求全面完成了环卫生产作业市场化改革工作，295余名环卫合同工实现了整体平稳移交，环卫生产作业通过政府购买公共服务工作有序推进。总之通过项目实施，整体</w:t>
      </w:r>
      <w:r>
        <w:rPr>
          <w:rFonts w:hint="eastAsia" w:ascii="仿宋_GB2312" w:hAnsi="仿宋_GB2312" w:eastAsia="仿宋_GB2312" w:cs="仿宋_GB2312"/>
          <w:sz w:val="32"/>
          <w:szCs w:val="32"/>
        </w:rPr>
        <w:t>提升了我县环境搞卫生质量，改善了居民人居环境，实现了社会可持续发展。</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绩效公开、整改情况</w:t>
      </w:r>
    </w:p>
    <w:p>
      <w:pPr>
        <w:keepNext w:val="0"/>
        <w:keepLines w:val="0"/>
        <w:pageBreakBefore w:val="0"/>
        <w:widowControl w:val="0"/>
        <w:kinsoku/>
        <w:wordWrap/>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该部门完成了绩效目标按要求随同预算公开，部门整体绩效自评情况及自行组织的评价情况已按要求向社会公开。结果整改，针对绩效管理过程中提出的问题，有一条未整改到位</w:t>
      </w:r>
    </w:p>
    <w:p>
      <w:pPr>
        <w:keepNext w:val="0"/>
        <w:keepLines w:val="0"/>
        <w:pageBreakBefore w:val="0"/>
        <w:widowControl w:val="0"/>
        <w:kinsoku/>
        <w:wordWrap/>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绩效管理工作开展情况</w:t>
      </w:r>
    </w:p>
    <w:p>
      <w:pPr>
        <w:keepNext w:val="0"/>
        <w:keepLines w:val="0"/>
        <w:pageBreakBefore w:val="0"/>
        <w:widowControl w:val="0"/>
        <w:kinsoku/>
        <w:wordWrap/>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该单位建立了《内部控制管理手册》、《议事决策规则》、《财务管理办法》、《目标管理考核实施办法及量化评分细则》、《资产管理办法》、《项目实施及物资采购相关规定》、《机关公务卡财务管理办法》、《公务接待管理办法》、《油材料采购使用管理实施细则》、《收费票据和收费管理规定》、《差旅费管理办法》、《岗位责任制》等一系列切实可行的规章制度对项目实施进行了全过程监控，项目资金统一实行国库集中支付，严格报销审批程序，会计机构健全，配备了具备从业资格的专职会计人员，账务处理及时，会计核算规范，确保了各项目顺利实施并发挥最大效益。二是该单位对政府采购等项目进行了过程监督及年度考核等相关督导工作（见附件图片），确保项目实施绩效目标按质按量完成。</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四、存在的主要问题</w:t>
      </w:r>
    </w:p>
    <w:p>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color w:val="000000"/>
          <w:sz w:val="32"/>
          <w:szCs w:val="32"/>
        </w:rPr>
        <w:t>“三公”</w:t>
      </w:r>
      <w:r>
        <w:rPr>
          <w:rFonts w:hint="eastAsia" w:ascii="楷体_GB2312" w:hAnsi="楷体_GB2312" w:eastAsia="楷体_GB2312" w:cs="楷体_GB2312"/>
          <w:b/>
          <w:bCs/>
          <w:sz w:val="32"/>
          <w:szCs w:val="32"/>
        </w:rPr>
        <w:t>经费</w:t>
      </w:r>
    </w:p>
    <w:p>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2020年该局“三公”经费财政预算公务接待费2.6万元，</w:t>
      </w:r>
      <w:r>
        <w:rPr>
          <w:rFonts w:hint="eastAsia" w:ascii="仿宋_GB2312" w:hAnsi="仿宋_GB2312" w:eastAsia="仿宋_GB2312" w:cs="仿宋_GB2312"/>
          <w:sz w:val="32"/>
          <w:szCs w:val="32"/>
        </w:rPr>
        <w:t>因公出国（境）、公务用车均无预算。</w:t>
      </w:r>
    </w:p>
    <w:p>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color w:val="000000"/>
          <w:sz w:val="32"/>
          <w:szCs w:val="32"/>
        </w:rPr>
        <w:t>公务接待方面：</w:t>
      </w:r>
      <w:r>
        <w:rPr>
          <w:rFonts w:hint="eastAsia" w:ascii="仿宋_GB2312" w:hAnsi="仿宋_GB2312" w:eastAsia="仿宋_GB2312" w:cs="仿宋_GB2312"/>
          <w:color w:val="000000"/>
          <w:sz w:val="32"/>
          <w:szCs w:val="32"/>
        </w:rPr>
        <w:t>经查，2020年该局账面反映公务接待预算数为2.6万元，支出0.5511万元。公务接待存在三单齐全现象。</w:t>
      </w:r>
    </w:p>
    <w:p>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公务用车方面：</w:t>
      </w:r>
      <w:r>
        <w:rPr>
          <w:rFonts w:hint="eastAsia" w:ascii="仿宋_GB2312" w:hAnsi="仿宋_GB2312" w:eastAsia="仿宋_GB2312" w:cs="仿宋_GB2312"/>
          <w:color w:val="000000"/>
          <w:sz w:val="32"/>
          <w:szCs w:val="32"/>
        </w:rPr>
        <w:t>违反《旺苍县机关公务用车和管理暂行办法》相关规定，2020年1月份11号记账凭证，2月份3号记账凭证、3月份8号记账凭证、4月份17号记账凭证无预算列支脱贫攻坚帮扶工作租用私家车发生费用油料费用36782.78元。</w:t>
      </w:r>
    </w:p>
    <w:p>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因公出国方面：</w:t>
      </w:r>
      <w:r>
        <w:rPr>
          <w:rFonts w:hint="eastAsia" w:ascii="仿宋_GB2312" w:hAnsi="仿宋_GB2312" w:eastAsia="仿宋_GB2312" w:cs="仿宋_GB2312"/>
          <w:color w:val="000000"/>
          <w:sz w:val="32"/>
          <w:szCs w:val="32"/>
        </w:rPr>
        <w:t>2020年未发生因公出国相关费用。</w:t>
      </w:r>
    </w:p>
    <w:p>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（二）财经纪律违纪违规乱发钱物</w:t>
      </w:r>
    </w:p>
    <w:p>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1</w:t>
      </w:r>
      <w:r>
        <w:rPr>
          <w:rFonts w:hint="eastAsia" w:ascii="仿宋_GB2312" w:hAnsi="仿宋_GB2312" w:eastAsia="仿宋_GB2312" w:cs="仿宋_GB2312"/>
          <w:b/>
          <w:color w:val="000000"/>
          <w:sz w:val="32"/>
          <w:szCs w:val="32"/>
          <w:lang w:val="en-US" w:eastAsia="zh-CN"/>
        </w:rPr>
        <w:t>.</w:t>
      </w:r>
      <w:r>
        <w:rPr>
          <w:rFonts w:hint="eastAsia" w:ascii="仿宋_GB2312" w:hAnsi="仿宋_GB2312" w:eastAsia="仿宋_GB2312" w:cs="仿宋_GB2312"/>
          <w:b/>
          <w:color w:val="000000"/>
          <w:sz w:val="32"/>
          <w:szCs w:val="32"/>
        </w:rPr>
        <w:t>差旅费报账方面</w:t>
      </w:r>
      <w:r>
        <w:rPr>
          <w:rFonts w:hint="eastAsia" w:ascii="仿宋_GB2312" w:hAnsi="仿宋_GB2312" w:eastAsia="仿宋_GB2312" w:cs="仿宋_GB2312"/>
          <w:bCs/>
          <w:color w:val="000000"/>
          <w:sz w:val="32"/>
          <w:szCs w:val="32"/>
        </w:rPr>
        <w:t>：差旅费报销不规范，存在一事多人出差，分别报销出差补助，增加核实难度。</w:t>
      </w:r>
    </w:p>
    <w:p>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2</w:t>
      </w:r>
      <w:r>
        <w:rPr>
          <w:rFonts w:hint="eastAsia" w:ascii="仿宋_GB2312" w:hAnsi="仿宋_GB2312" w:eastAsia="仿宋_GB2312" w:cs="仿宋_GB2312"/>
          <w:b/>
          <w:color w:val="000000"/>
          <w:sz w:val="32"/>
          <w:szCs w:val="32"/>
          <w:lang w:val="en-US" w:eastAsia="zh-CN"/>
        </w:rPr>
        <w:t>.</w:t>
      </w:r>
      <w:r>
        <w:rPr>
          <w:rFonts w:hint="eastAsia" w:ascii="仿宋_GB2312" w:hAnsi="仿宋_GB2312" w:eastAsia="仿宋_GB2312" w:cs="仿宋_GB2312"/>
          <w:b/>
          <w:color w:val="000000"/>
          <w:sz w:val="32"/>
          <w:szCs w:val="32"/>
        </w:rPr>
        <w:t>会计核算方面：一是</w:t>
      </w:r>
      <w:r>
        <w:rPr>
          <w:rFonts w:hint="eastAsia" w:ascii="仿宋_GB2312" w:hAnsi="仿宋_GB2312" w:eastAsia="仿宋_GB2312" w:cs="仿宋_GB2312"/>
          <w:bCs/>
          <w:color w:val="000000"/>
          <w:sz w:val="32"/>
          <w:szCs w:val="32"/>
        </w:rPr>
        <w:t>2020年1月份2号凭证车辆维修附件未盖章，报账发票盖章不齐全。</w:t>
      </w:r>
      <w:r>
        <w:rPr>
          <w:rFonts w:hint="eastAsia" w:ascii="仿宋_GB2312" w:hAnsi="仿宋_GB2312" w:eastAsia="仿宋_GB2312" w:cs="仿宋_GB2312"/>
          <w:b/>
          <w:color w:val="000000"/>
          <w:sz w:val="32"/>
          <w:szCs w:val="32"/>
        </w:rPr>
        <w:t>二是</w:t>
      </w:r>
      <w:r>
        <w:rPr>
          <w:rFonts w:hint="eastAsia" w:ascii="仿宋_GB2312" w:hAnsi="仿宋_GB2312" w:eastAsia="仿宋_GB2312" w:cs="仿宋_GB2312"/>
          <w:bCs/>
          <w:color w:val="000000"/>
          <w:sz w:val="32"/>
          <w:szCs w:val="32"/>
        </w:rPr>
        <w:t>1月份52号记账凭证大额取现6万元。</w:t>
      </w:r>
      <w:r>
        <w:rPr>
          <w:rFonts w:hint="eastAsia" w:ascii="仿宋_GB2312" w:hAnsi="仿宋_GB2312" w:eastAsia="仿宋_GB2312" w:cs="仿宋_GB2312"/>
          <w:b/>
          <w:color w:val="000000"/>
          <w:sz w:val="32"/>
          <w:szCs w:val="32"/>
        </w:rPr>
        <w:t>三是</w:t>
      </w:r>
      <w:r>
        <w:rPr>
          <w:rFonts w:hint="eastAsia" w:ascii="仿宋_GB2312" w:hAnsi="仿宋_GB2312" w:eastAsia="仿宋_GB2312" w:cs="仿宋_GB2312"/>
          <w:bCs/>
          <w:color w:val="000000"/>
          <w:sz w:val="32"/>
          <w:szCs w:val="32"/>
        </w:rPr>
        <w:t>2020年1月份62号记账凭证临聘人员加班费附件不完整，加班事实不清楚。</w:t>
      </w:r>
    </w:p>
    <w:p>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3</w:t>
      </w:r>
      <w:r>
        <w:rPr>
          <w:rFonts w:hint="eastAsia" w:ascii="仿宋_GB2312" w:hAnsi="仿宋_GB2312" w:eastAsia="仿宋_GB2312" w:cs="仿宋_GB2312"/>
          <w:b/>
          <w:color w:val="000000"/>
          <w:sz w:val="32"/>
          <w:szCs w:val="32"/>
          <w:lang w:val="en-US" w:eastAsia="zh-CN"/>
        </w:rPr>
        <w:t>.</w:t>
      </w:r>
      <w:r>
        <w:rPr>
          <w:rFonts w:hint="eastAsia" w:ascii="仿宋_GB2312" w:hAnsi="仿宋_GB2312" w:eastAsia="仿宋_GB2312" w:cs="仿宋_GB2312"/>
          <w:b/>
          <w:color w:val="000000"/>
          <w:sz w:val="32"/>
          <w:szCs w:val="32"/>
        </w:rPr>
        <w:t>违纪违规乱发钱物：</w:t>
      </w:r>
      <w:r>
        <w:rPr>
          <w:rFonts w:hint="eastAsia" w:ascii="仿宋_GB2312" w:hAnsi="仿宋_GB2312" w:eastAsia="仿宋_GB2312" w:cs="仿宋_GB2312"/>
          <w:bCs/>
          <w:color w:val="000000"/>
          <w:sz w:val="32"/>
          <w:szCs w:val="32"/>
        </w:rPr>
        <w:t>2020年1月份、10月份发放在职人员45人、47人降温费54810元。</w:t>
      </w:r>
    </w:p>
    <w:p>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color w:val="000000"/>
          <w:sz w:val="32"/>
          <w:szCs w:val="32"/>
        </w:rPr>
      </w:pPr>
      <w:r>
        <w:rPr>
          <w:rFonts w:hint="eastAsia" w:ascii="楷体_GB2312" w:hAnsi="楷体_GB2312" w:eastAsia="楷体_GB2312" w:cs="楷体_GB2312"/>
          <w:b/>
          <w:color w:val="000000"/>
          <w:sz w:val="32"/>
          <w:szCs w:val="32"/>
        </w:rPr>
        <w:t>（三）2019年“三公”经费、违纪违规乱发钱物专项检查问题整改“回头看”</w:t>
      </w:r>
    </w:p>
    <w:p>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2019年“三公”经费、违纪违规乱发钱物专项检查中发现存在差旅费中列支过路费、租用个人车辆加油代替租车费的问题，以及列支办公会议用茶费用的问题，2021年没有发现继续租用私车用于公务现象。</w:t>
      </w:r>
    </w:p>
    <w:p>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五、整改措施及建议</w:t>
      </w:r>
    </w:p>
    <w:p>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整改措施：要根据重点评价发现的问题，举一反三，全面自查自纠，制定切实可行的整改方案，能立行立改的马上改，长期整改的要建立常态化长效机制。                          </w:t>
      </w:r>
    </w:p>
    <w:p>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相关建议：要加强会计核算严格管理，报账依据不齐全严禁入账。严格执行财务会计制度，严禁超范围发放各种人员经费</w:t>
      </w:r>
    </w:p>
    <w:p>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rPr>
          <w:rFonts w:hint="eastAsia"/>
        </w:rPr>
      </w:pPr>
      <w:r>
        <w:rPr>
          <w:rFonts w:hint="eastAsia"/>
        </w:rPr>
        <w:br w:type="page"/>
      </w:r>
    </w:p>
    <w:p>
      <w:pPr>
        <w:adjustRightInd w:val="0"/>
        <w:snapToGrid w:val="0"/>
        <w:spacing w:line="240" w:lineRule="atLeast"/>
        <w:jc w:val="center"/>
        <w:rPr>
          <w:rFonts w:hint="eastAsia" w:ascii="方正小标宋简体" w:hAnsi="华文中宋" w:eastAsia="方正小标宋简体"/>
          <w:b/>
          <w:sz w:val="48"/>
          <w:szCs w:val="48"/>
        </w:rPr>
      </w:pPr>
      <w:r>
        <w:rPr>
          <w:rFonts w:hint="eastAsia" w:ascii="方正小标宋简体" w:hAnsi="华文中宋" w:eastAsia="方正小标宋简体"/>
          <w:b/>
          <w:sz w:val="48"/>
          <w:szCs w:val="48"/>
        </w:rPr>
        <w:t>旺苍县房地产事务中心部门整体支出</w:t>
      </w:r>
    </w:p>
    <w:p>
      <w:pPr>
        <w:adjustRightInd w:val="0"/>
        <w:snapToGrid w:val="0"/>
        <w:spacing w:line="240" w:lineRule="atLeast"/>
        <w:ind w:left="105" w:leftChars="50" w:firstLine="372" w:firstLineChars="103"/>
        <w:jc w:val="center"/>
        <w:rPr>
          <w:rFonts w:hint="eastAsia" w:ascii="方正小标宋简体" w:hAnsi="华文中宋" w:eastAsia="方正小标宋简体"/>
          <w:b/>
          <w:sz w:val="36"/>
          <w:szCs w:val="36"/>
        </w:rPr>
      </w:pPr>
    </w:p>
    <w:p>
      <w:pPr>
        <w:pStyle w:val="18"/>
        <w:rPr>
          <w:rFonts w:hint="eastAsia"/>
        </w:rPr>
      </w:pPr>
    </w:p>
    <w:p>
      <w:pPr>
        <w:adjustRightInd w:val="0"/>
        <w:snapToGrid w:val="0"/>
        <w:spacing w:line="240" w:lineRule="atLeast"/>
        <w:ind w:left="105" w:leftChars="50" w:firstLine="993" w:firstLineChars="103"/>
        <w:jc w:val="center"/>
        <w:rPr>
          <w:rFonts w:hint="eastAsia" w:ascii="楷体_GB2312" w:hAnsi="华文中宋" w:eastAsia="楷体_GB2312"/>
          <w:b/>
          <w:sz w:val="96"/>
          <w:szCs w:val="96"/>
        </w:rPr>
      </w:pPr>
      <w:r>
        <w:rPr>
          <w:rFonts w:hint="eastAsia" w:ascii="楷体_GB2312" w:hAnsi="华文中宋" w:eastAsia="楷体_GB2312"/>
          <w:b/>
          <w:sz w:val="96"/>
          <w:szCs w:val="96"/>
        </w:rPr>
        <w:t>绩</w:t>
      </w:r>
    </w:p>
    <w:p>
      <w:pPr>
        <w:adjustRightInd w:val="0"/>
        <w:snapToGrid w:val="0"/>
        <w:spacing w:line="240" w:lineRule="atLeast"/>
        <w:ind w:left="105" w:leftChars="50" w:firstLine="993" w:firstLineChars="103"/>
        <w:jc w:val="center"/>
        <w:rPr>
          <w:rFonts w:hint="eastAsia" w:ascii="楷体_GB2312" w:hAnsi="华文中宋" w:eastAsia="楷体_GB2312"/>
          <w:b/>
          <w:sz w:val="96"/>
          <w:szCs w:val="96"/>
        </w:rPr>
      </w:pPr>
      <w:r>
        <w:rPr>
          <w:rFonts w:hint="eastAsia" w:ascii="楷体_GB2312" w:hAnsi="华文中宋" w:eastAsia="楷体_GB2312"/>
          <w:b/>
          <w:sz w:val="96"/>
          <w:szCs w:val="96"/>
        </w:rPr>
        <w:t>效</w:t>
      </w:r>
    </w:p>
    <w:p>
      <w:pPr>
        <w:adjustRightInd w:val="0"/>
        <w:snapToGrid w:val="0"/>
        <w:spacing w:line="240" w:lineRule="atLeast"/>
        <w:ind w:left="105" w:leftChars="50" w:firstLine="993" w:firstLineChars="103"/>
        <w:jc w:val="center"/>
        <w:rPr>
          <w:rFonts w:hint="eastAsia" w:ascii="楷体_GB2312" w:hAnsi="华文中宋" w:eastAsia="楷体_GB2312"/>
          <w:b/>
          <w:sz w:val="96"/>
          <w:szCs w:val="96"/>
        </w:rPr>
      </w:pPr>
      <w:r>
        <w:rPr>
          <w:rFonts w:hint="eastAsia" w:ascii="楷体_GB2312" w:hAnsi="华文中宋" w:eastAsia="楷体_GB2312"/>
          <w:b/>
          <w:sz w:val="96"/>
          <w:szCs w:val="96"/>
        </w:rPr>
        <w:t>评</w:t>
      </w:r>
    </w:p>
    <w:p>
      <w:pPr>
        <w:adjustRightInd w:val="0"/>
        <w:snapToGrid w:val="0"/>
        <w:spacing w:line="240" w:lineRule="atLeast"/>
        <w:ind w:left="105" w:leftChars="50" w:firstLine="993" w:firstLineChars="103"/>
        <w:jc w:val="center"/>
        <w:rPr>
          <w:rFonts w:hint="eastAsia" w:ascii="楷体_GB2312" w:hAnsi="华文中宋" w:eastAsia="楷体_GB2312"/>
          <w:b/>
          <w:sz w:val="96"/>
          <w:szCs w:val="96"/>
        </w:rPr>
      </w:pPr>
      <w:r>
        <w:rPr>
          <w:rFonts w:hint="eastAsia" w:ascii="楷体_GB2312" w:hAnsi="华文中宋" w:eastAsia="楷体_GB2312"/>
          <w:b/>
          <w:sz w:val="96"/>
          <w:szCs w:val="96"/>
        </w:rPr>
        <w:t>价</w:t>
      </w:r>
    </w:p>
    <w:p>
      <w:pPr>
        <w:adjustRightInd w:val="0"/>
        <w:snapToGrid w:val="0"/>
        <w:spacing w:line="240" w:lineRule="atLeast"/>
        <w:ind w:left="105" w:leftChars="50" w:firstLine="993" w:firstLineChars="103"/>
        <w:jc w:val="center"/>
        <w:rPr>
          <w:rFonts w:hint="eastAsia" w:ascii="楷体_GB2312" w:hAnsi="华文中宋" w:eastAsia="楷体_GB2312"/>
          <w:b/>
          <w:sz w:val="96"/>
          <w:szCs w:val="96"/>
        </w:rPr>
      </w:pPr>
      <w:r>
        <w:rPr>
          <w:rFonts w:hint="eastAsia" w:ascii="楷体_GB2312" w:hAnsi="华文中宋" w:eastAsia="楷体_GB2312"/>
          <w:b/>
          <w:sz w:val="96"/>
          <w:szCs w:val="96"/>
        </w:rPr>
        <w:t>报</w:t>
      </w:r>
    </w:p>
    <w:p>
      <w:pPr>
        <w:adjustRightInd w:val="0"/>
        <w:snapToGrid w:val="0"/>
        <w:spacing w:line="240" w:lineRule="atLeast"/>
        <w:ind w:left="105" w:leftChars="50" w:firstLine="993" w:firstLineChars="103"/>
        <w:jc w:val="center"/>
        <w:rPr>
          <w:rFonts w:hint="eastAsia" w:ascii="楷体_GB2312" w:hAnsi="华文中宋" w:eastAsia="楷体_GB2312"/>
          <w:b/>
          <w:sz w:val="96"/>
          <w:szCs w:val="96"/>
        </w:rPr>
      </w:pPr>
      <w:r>
        <w:rPr>
          <w:rFonts w:hint="eastAsia" w:ascii="楷体_GB2312" w:hAnsi="华文中宋" w:eastAsia="楷体_GB2312"/>
          <w:b/>
          <w:sz w:val="96"/>
          <w:szCs w:val="96"/>
        </w:rPr>
        <w:t>告</w:t>
      </w:r>
    </w:p>
    <w:p>
      <w:pPr>
        <w:adjustRightInd w:val="0"/>
        <w:snapToGrid w:val="0"/>
        <w:spacing w:line="240" w:lineRule="atLeast"/>
        <w:ind w:left="105" w:leftChars="50" w:firstLine="372" w:firstLineChars="103"/>
        <w:jc w:val="center"/>
        <w:rPr>
          <w:rFonts w:hint="eastAsia" w:ascii="方正小标宋简体" w:hAnsi="华文中宋" w:eastAsia="方正小标宋简体"/>
          <w:b/>
          <w:sz w:val="36"/>
          <w:szCs w:val="36"/>
        </w:rPr>
      </w:pPr>
    </w:p>
    <w:p>
      <w:pPr>
        <w:adjustRightInd w:val="0"/>
        <w:snapToGrid w:val="0"/>
        <w:spacing w:line="240" w:lineRule="atLeast"/>
        <w:ind w:left="105" w:leftChars="50" w:firstLine="370" w:firstLineChars="103"/>
        <w:jc w:val="center"/>
        <w:rPr>
          <w:rFonts w:hint="eastAsia" w:ascii="楷体" w:hAnsi="楷体" w:eastAsia="楷体" w:cs="楷体"/>
          <w:bCs/>
          <w:sz w:val="36"/>
          <w:szCs w:val="36"/>
        </w:rPr>
      </w:pPr>
    </w:p>
    <w:p>
      <w:pPr>
        <w:tabs>
          <w:tab w:val="left" w:pos="3885"/>
        </w:tabs>
        <w:snapToGrid w:val="0"/>
        <w:spacing w:line="600" w:lineRule="exact"/>
        <w:ind w:firstLine="803" w:firstLineChars="250"/>
        <w:jc w:val="left"/>
        <w:rPr>
          <w:rFonts w:hint="eastAsia" w:ascii="楷体_GB2312" w:eastAsia="楷体_GB2312"/>
          <w:b/>
          <w:sz w:val="32"/>
          <w:szCs w:val="32"/>
        </w:rPr>
      </w:pPr>
      <w:r>
        <w:rPr>
          <w:rFonts w:hint="eastAsia" w:ascii="楷体_GB2312" w:hAnsi="楷体" w:eastAsia="楷体_GB2312" w:cs="楷体"/>
          <w:b/>
          <w:sz w:val="32"/>
          <w:szCs w:val="32"/>
        </w:rPr>
        <w:t>评价部门： 旺苍县财政局</w:t>
      </w:r>
    </w:p>
    <w:p>
      <w:pPr>
        <w:tabs>
          <w:tab w:val="left" w:pos="3885"/>
        </w:tabs>
        <w:snapToGrid w:val="0"/>
        <w:spacing w:line="600" w:lineRule="exact"/>
        <w:ind w:firstLine="803" w:firstLineChars="250"/>
        <w:jc w:val="left"/>
        <w:rPr>
          <w:rFonts w:hint="eastAsia" w:ascii="楷体_GB2312" w:hAnsi="楷体" w:eastAsia="楷体_GB2312" w:cs="楷体"/>
          <w:b/>
          <w:sz w:val="32"/>
          <w:szCs w:val="32"/>
        </w:rPr>
      </w:pPr>
      <w:r>
        <w:rPr>
          <w:rFonts w:hint="eastAsia" w:ascii="楷体_GB2312" w:hAnsi="楷体" w:eastAsia="楷体_GB2312" w:cs="楷体"/>
          <w:b/>
          <w:sz w:val="32"/>
          <w:szCs w:val="32"/>
        </w:rPr>
        <w:t xml:space="preserve">评价人员： 杜俊璋、张霞、封永  </w:t>
      </w:r>
    </w:p>
    <w:p>
      <w:pPr>
        <w:tabs>
          <w:tab w:val="left" w:pos="3885"/>
        </w:tabs>
        <w:snapToGrid w:val="0"/>
        <w:spacing w:line="600" w:lineRule="exact"/>
        <w:ind w:firstLine="803" w:firstLineChars="250"/>
        <w:jc w:val="left"/>
        <w:rPr>
          <w:rFonts w:hint="eastAsia" w:ascii="楷体_GB2312" w:hAnsi="楷体" w:eastAsia="楷体_GB2312" w:cs="楷体"/>
          <w:b/>
          <w:sz w:val="32"/>
          <w:szCs w:val="32"/>
        </w:rPr>
      </w:pPr>
      <w:r>
        <w:rPr>
          <w:rFonts w:hint="eastAsia" w:ascii="楷体_GB2312" w:hAnsi="楷体" w:eastAsia="楷体_GB2312" w:cs="楷体"/>
          <w:b/>
          <w:sz w:val="32"/>
          <w:szCs w:val="32"/>
        </w:rPr>
        <w:t>报告时间： 2021年 9 月18日</w:t>
      </w:r>
    </w:p>
    <w:p>
      <w:pPr>
        <w:pStyle w:val="18"/>
        <w:rPr>
          <w:rFonts w:hint="eastAsia"/>
        </w:rPr>
      </w:pPr>
      <w:r>
        <w:rPr>
          <w:rFonts w:hint="eastAsia" w:ascii="楷体" w:hAnsi="楷体" w:eastAsia="楷体" w:cs="楷体"/>
          <w:b/>
          <w:sz w:val="36"/>
          <w:szCs w:val="36"/>
        </w:rPr>
        <w:t xml:space="preserve">    </w:t>
      </w:r>
    </w:p>
    <w:p>
      <w:pPr>
        <w:spacing w:line="576" w:lineRule="exact"/>
        <w:ind w:firstLine="640" w:firstLineChars="200"/>
        <w:rPr>
          <w:rFonts w:hint="eastAsia" w:ascii="黑体" w:hAnsi="黑体" w:eastAsia="黑体"/>
          <w:sz w:val="32"/>
          <w:szCs w:val="32"/>
        </w:rPr>
        <w:sectPr>
          <w:headerReference r:id="rId3" w:type="default"/>
          <w:footerReference r:id="rId4" w:type="default"/>
          <w:footerReference r:id="rId5" w:type="even"/>
          <w:pgSz w:w="11906" w:h="16838"/>
          <w:pgMar w:top="2098" w:right="1474" w:bottom="1985" w:left="1588" w:header="851" w:footer="1559" w:gutter="0"/>
          <w:pgNumType w:fmt="numberInDash" w:start="1"/>
          <w:cols w:space="720" w:num="1"/>
          <w:docGrid w:type="lines" w:linePitch="312" w:charSpace="0"/>
        </w:sectPr>
      </w:pP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一、部门概况</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（一）机构构成</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旺苍县房地产事务中心下属二级单位0个，其中行政单位0个，参照公务员法管理的事业单位1个。</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纳入旺苍县房地产事务中心2020年度部门决算编制范围的二级预算单位0个。</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（二）基本职能</w:t>
      </w:r>
    </w:p>
    <w:p>
      <w:pPr>
        <w:spacing w:line="576"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1.贯彻执行国家和省市有关房屋管理和住房制度改革的法律、法规、规章和政策，并对全县的贯彻执行情况进行监督检查。</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担推进住房制度改革和保障城镇低收入家庭住房的职责；负责编制全县住房保障发展规划和年度计划并监督实施；负责保障性住房项目的管理；会同有关部门做好廉租住房项目和资金安排并监督实施；加强农村住房建设管理和危房改造的职责。</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3.负责房屋所有权证、房屋共有权证、商品房预售许可证、房屋安全作业证的发放工作。</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4.负责指导全县房产交易市场管理；负责房屋安全鉴定、房地产市场评估、房地产测绘、房地产经纪、物业管理等中介服务机构和房地产开发企业（包括企业人员）的资质管理和监督工作。</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5.负责对房屋权属登记、房屋产权产籍、公有房屋、商品房预售、房地产广告、房地产转让、私有房屋、住宅小区、物业、房屋拆迁、房屋拆迁单位、异产毗连等的管理工作。</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6.负责对异产毗产连房屋纠纷和危险房屋治理纠纷的调处和裁决。</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履行全县房产行业管理职能，整顿和规范房产市场秩序，负责对违反商品房预售管理规定、房屋产权产籍管理暂行办法、房地产开发经营管理条例、房屋维修基金管理使用规定、住宅合作社管理暂行办法、城镇住宅物业管理暂行办法、公有房屋管理规定、房地产市场估价管理暂行办法、房屋租赁管理暂行办法、房地产转让管理规定、建筑装饰装修管理规定、房地产中介服务管理规定行为的处罚工作。</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8.加强全县物业管理，指导业主委员会的成立并开展工作，建立各种管理制度，组织指导物业管理招投标活动；承担县本级住房维修资金的设立，归集和监督使用；受理业主的投诉，调解物业管理纠纷。</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9.负责全县所有房屋产权产籍档案资料收集、立卷、保管、利用和编研、统计工作。</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10.承办县政府公布的有关行政审批事项。</w:t>
      </w:r>
    </w:p>
    <w:p>
      <w:pPr>
        <w:spacing w:line="576" w:lineRule="exact"/>
        <w:ind w:firstLine="640" w:firstLineChars="200"/>
        <w:rPr>
          <w:rFonts w:hint="eastAsia" w:ascii="仿宋_GB2312" w:eastAsia="仿宋_GB2312"/>
          <w:b/>
          <w:sz w:val="32"/>
          <w:szCs w:val="32"/>
        </w:rPr>
      </w:pPr>
      <w:r>
        <w:rPr>
          <w:rFonts w:hint="eastAsia" w:ascii="仿宋_GB2312" w:hAnsi="仿宋_GB2312" w:eastAsia="仿宋_GB2312" w:cs="仿宋_GB2312"/>
          <w:sz w:val="32"/>
          <w:szCs w:val="32"/>
        </w:rPr>
        <w:t>11.承办县城乡规划建设和住房保障局和县政府交办的其它事项。</w:t>
      </w:r>
    </w:p>
    <w:p>
      <w:pPr>
        <w:spacing w:line="576" w:lineRule="exact"/>
        <w:ind w:firstLine="643" w:firstLineChars="200"/>
        <w:rPr>
          <w:rFonts w:hint="eastAsia" w:ascii="楷体_GB2312" w:eastAsia="楷体_GB2312"/>
          <w:sz w:val="32"/>
          <w:szCs w:val="32"/>
        </w:rPr>
      </w:pPr>
      <w:r>
        <w:rPr>
          <w:rFonts w:hint="eastAsia" w:ascii="楷体_GB2312" w:eastAsia="楷体_GB2312"/>
          <w:b/>
          <w:sz w:val="32"/>
          <w:szCs w:val="32"/>
        </w:rPr>
        <w:t>（三）人员结构及相关情况</w:t>
      </w:r>
    </w:p>
    <w:p>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旺苍县房地产事务中心截</w:t>
      </w:r>
      <w:r>
        <w:rPr>
          <w:rFonts w:hint="eastAsia" w:ascii="仿宋_GB2312" w:eastAsia="仿宋_GB2312"/>
          <w:sz w:val="32"/>
          <w:szCs w:val="32"/>
          <w:lang w:eastAsia="zh-CN"/>
        </w:rPr>
        <w:t>至</w:t>
      </w:r>
      <w:r>
        <w:rPr>
          <w:rFonts w:hint="eastAsia" w:ascii="仿宋_GB2312" w:eastAsia="仿宋_GB2312"/>
          <w:sz w:val="32"/>
          <w:szCs w:val="32"/>
        </w:rPr>
        <w:t>2020年12月31日</w:t>
      </w:r>
      <w:r>
        <w:rPr>
          <w:rFonts w:hint="eastAsia" w:ascii="仿宋_GB2312" w:hAnsi="微软雅黑" w:eastAsia="仿宋_GB2312" w:cs="宋体"/>
          <w:color w:val="333333"/>
          <w:kern w:val="0"/>
          <w:sz w:val="32"/>
          <w:szCs w:val="32"/>
        </w:rPr>
        <w:t>总编制24名，其中行政编制0名，机关工勤编制8名，事业编制16名（其中：参照公务员法管理的事业编制16名）。在职人员总数21人，其中：公务员0人，机关工勤人员5人，事业人员16人（其中：参照公务员法管理的事业人员16人）。退休人员15人。人员变化主要是该单位2020年退休1人。</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二、部门财政资金收支情况</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（一）部门决策情况</w:t>
      </w:r>
    </w:p>
    <w:p>
      <w:pPr>
        <w:spacing w:line="576" w:lineRule="exact"/>
        <w:ind w:firstLine="643" w:firstLineChars="200"/>
        <w:rPr>
          <w:rFonts w:hint="eastAsia" w:ascii="仿宋_GB2312" w:hAnsi="楷体" w:eastAsia="仿宋_GB2312"/>
          <w:b/>
          <w:sz w:val="32"/>
          <w:szCs w:val="32"/>
        </w:rPr>
      </w:pPr>
      <w:r>
        <w:rPr>
          <w:rFonts w:hint="eastAsia" w:ascii="仿宋_GB2312" w:hAnsi="楷体" w:eastAsia="仿宋_GB2312" w:cs="楷体"/>
          <w:b/>
          <w:sz w:val="32"/>
          <w:szCs w:val="32"/>
        </w:rPr>
        <w:t>1.</w:t>
      </w:r>
      <w:r>
        <w:rPr>
          <w:rFonts w:hint="eastAsia" w:ascii="仿宋_GB2312" w:hAnsi="楷体" w:eastAsia="仿宋_GB2312"/>
          <w:b/>
          <w:sz w:val="32"/>
          <w:szCs w:val="32"/>
        </w:rPr>
        <w:t>加强监管，房地产开发取得成效</w:t>
      </w:r>
    </w:p>
    <w:p>
      <w:pPr>
        <w:spacing w:line="576" w:lineRule="exact"/>
        <w:ind w:firstLine="640" w:firstLineChars="200"/>
        <w:rPr>
          <w:rFonts w:hint="eastAsia" w:ascii="仿宋_GB2312" w:hAnsi="仿宋" w:eastAsia="仿宋_GB2312" w:cs="仿宋"/>
          <w:sz w:val="32"/>
          <w:szCs w:val="32"/>
        </w:rPr>
      </w:pPr>
      <w:r>
        <w:rPr>
          <w:rFonts w:hint="eastAsia" w:ascii="仿宋_GB2312" w:hAnsi="仿宋_GB2312" w:eastAsia="仿宋_GB2312" w:cs="仿宋_GB2312"/>
          <w:sz w:val="32"/>
          <w:szCs w:val="32"/>
        </w:rPr>
        <w:t>2020年全面加强房地产市场风险防控和商品房预售监管，严格执行开发项目备案和合同备案制度，建立健全专门预售资金监管账户，强化了对房产开发项目和楼盘的预售监管，促进了房地产市场健康有序发展。</w:t>
      </w:r>
      <w:r>
        <w:rPr>
          <w:rFonts w:hint="eastAsia" w:ascii="仿宋_GB2312" w:hAnsi="仿宋" w:eastAsia="仿宋_GB2312" w:cs="仿宋"/>
          <w:sz w:val="32"/>
          <w:szCs w:val="32"/>
        </w:rPr>
        <w:t>2020年新增房地产开发楼盘7个：分别是红星美凯龙、公园一号（二期）、上城华府(二期)、西城市场、凤凰市场、东河廊桥、孙家坝城市综合体，新增开发建筑面积8.23万平方米，新增房地产开发投资4.8亿元。2020年完成商品房销售面积8万平方米，其中，销售商品住房602套，6.7万平方米，销售营业用房1.3万平方米，销售金额3.3亿元。</w:t>
      </w:r>
      <w:r>
        <w:rPr>
          <w:rFonts w:hint="eastAsia" w:ascii="仿宋_GB2312" w:hAnsi="仿宋" w:eastAsia="仿宋_GB2312"/>
          <w:sz w:val="32"/>
          <w:szCs w:val="32"/>
        </w:rPr>
        <w:t>全年</w:t>
      </w:r>
      <w:r>
        <w:rPr>
          <w:rFonts w:hint="eastAsia" w:ascii="仿宋_GB2312" w:hAnsi="仿宋" w:eastAsia="仿宋_GB2312" w:cs="仿宋"/>
          <w:sz w:val="32"/>
          <w:szCs w:val="32"/>
        </w:rPr>
        <w:t xml:space="preserve">归集小区专项维修资金400万元。2020年，办理房屋交易网上签约1029件，其中，办理一、二手房网签972套，房屋交易面积9.44万平方米，交易申报金额2.166亿元；办理营业用房、车库28幢，交易面积7187平方米，交易申报金额1.087亿元。 </w:t>
      </w:r>
    </w:p>
    <w:p>
      <w:pPr>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楷体_GB2312" w:eastAsia="仿宋_GB2312" w:cs="楷体_GB2312"/>
          <w:b/>
          <w:bCs/>
          <w:sz w:val="32"/>
          <w:szCs w:val="32"/>
        </w:rPr>
        <w:t>强化指导</w:t>
      </w:r>
      <w:r>
        <w:rPr>
          <w:rFonts w:hint="eastAsia" w:ascii="仿宋_GB2312" w:hAnsi="楷体_GB2312" w:eastAsia="仿宋_GB2312" w:cs="楷体_GB2312"/>
          <w:b/>
          <w:bCs/>
          <w:color w:val="000000"/>
          <w:sz w:val="32"/>
          <w:szCs w:val="32"/>
        </w:rPr>
        <w:t>，小区物业管理日趋规范</w:t>
      </w:r>
    </w:p>
    <w:p>
      <w:pPr>
        <w:spacing w:line="576"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2020年，结合创国卫和门前“双包”工作，</w:t>
      </w:r>
      <w:r>
        <w:rPr>
          <w:rFonts w:hint="eastAsia" w:ascii="仿宋_GB2312" w:hAnsi="仿宋" w:eastAsia="仿宋_GB2312" w:cs="仿宋"/>
          <w:sz w:val="32"/>
          <w:szCs w:val="32"/>
        </w:rPr>
        <w:t>一是组织物业小区开展卫生环境专项整治，治理和整治小区牛皮癣1000余处，规范小区停车位30处，清理楼道乱堆乱放350余处，疏通消防通道15处，规范和取缔自行车、摩托车乱停放300余辆；二是加强了对13个物业小区高层建筑二次供水的监管，建立健全了监测记录和值班台账；三是实行每月对各物业小区创国卫工作开展情况进行一次暗访检查考评，并上墙公示暗访检查情况，实行动态管理。对问题严重、拒不整改或整改不力的物业企业实行约谈或勒令停业整顿，并按照物业管理法律法规严格处罚，国家卫生县城创建工作扎实有序开展，并取得显著成效；四是</w:t>
      </w:r>
      <w:r>
        <w:rPr>
          <w:rFonts w:hint="eastAsia" w:ascii="仿宋_GB2312" w:hAnsi="仿宋_GB2312" w:eastAsia="仿宋_GB2312" w:cs="仿宋_GB2312"/>
          <w:sz w:val="32"/>
          <w:szCs w:val="32"/>
        </w:rPr>
        <w:t>开展了物业领域不稳定因素和乱象排查工作，建立了物业领域乱象专项整治工作方案，积极化解了物业领域不稳定因素；五是</w:t>
      </w:r>
      <w:r>
        <w:rPr>
          <w:rFonts w:hint="eastAsia" w:ascii="仿宋_GB2312" w:eastAsia="仿宋_GB2312"/>
          <w:sz w:val="32"/>
          <w:szCs w:val="32"/>
        </w:rPr>
        <w:t>加大对物业服务企业的监管力度，提高了物业服务企业的管理水平，加强了物业管理全过程的监管，定期对业主委员会的工作进行了检查，对不作为、不按法律法规办事的业主委员会按相关法律法规依法予以了处理，促进了全县物业管理服务规范化、制度化。</w:t>
      </w:r>
    </w:p>
    <w:p>
      <w:pPr>
        <w:spacing w:line="576" w:lineRule="exact"/>
        <w:ind w:firstLine="643" w:firstLineChars="200"/>
        <w:rPr>
          <w:rFonts w:hint="eastAsia" w:ascii="仿宋_GB2312" w:hAnsi="方正小标宋简体" w:eastAsia="仿宋_GB2312" w:cs="方正小标宋简体"/>
          <w:b/>
          <w:bCs/>
          <w:sz w:val="32"/>
          <w:szCs w:val="32"/>
        </w:rPr>
      </w:pPr>
      <w:r>
        <w:rPr>
          <w:rFonts w:hint="eastAsia" w:ascii="仿宋_GB2312" w:hAnsi="仿宋" w:eastAsia="仿宋_GB2312"/>
          <w:b/>
          <w:bCs/>
          <w:sz w:val="32"/>
          <w:szCs w:val="32"/>
        </w:rPr>
        <w:t>3.</w:t>
      </w:r>
      <w:r>
        <w:rPr>
          <w:rFonts w:hint="eastAsia" w:ascii="仿宋_GB2312" w:hAnsi="楷体" w:eastAsia="仿宋_GB2312" w:cs="楷体"/>
          <w:b/>
          <w:bCs/>
          <w:color w:val="000000"/>
          <w:sz w:val="32"/>
          <w:szCs w:val="32"/>
        </w:rPr>
        <w:t>很抓进度，老旧小区改造全面开工建设</w:t>
      </w:r>
    </w:p>
    <w:p>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2020年老旧小区改造项目涉及旺苍县县城区十个社区， 144个老旧小区，改造总建筑面积779400平米，8961户31363人，投入资金1.6亿元元。前期通过调查摸底、分类梳理情况、掌握基础数据及管理维护信息底数、电梯加装以及平安智慧小区建设等情况，逐一建立台账，已完成用地、规划、环评、设计、预算、财评等各项工作，截</w:t>
      </w:r>
      <w:r>
        <w:rPr>
          <w:rFonts w:hint="eastAsia" w:ascii="仿宋_GB2312" w:hAnsi="仿宋" w:eastAsia="仿宋_GB2312" w:cs="仿宋"/>
          <w:sz w:val="32"/>
          <w:szCs w:val="32"/>
          <w:lang w:eastAsia="zh-CN"/>
        </w:rPr>
        <w:t>至</w:t>
      </w:r>
      <w:r>
        <w:rPr>
          <w:rFonts w:hint="eastAsia" w:ascii="仿宋_GB2312" w:hAnsi="仿宋" w:eastAsia="仿宋_GB2312" w:cs="仿宋"/>
          <w:sz w:val="32"/>
          <w:szCs w:val="32"/>
        </w:rPr>
        <w:t>目前，144个老旧小区改造已全部开工建设，开工率达100%，已有35个小区完成改造任务。</w:t>
      </w:r>
    </w:p>
    <w:p>
      <w:pPr>
        <w:spacing w:line="576" w:lineRule="exact"/>
        <w:ind w:firstLine="643" w:firstLineChars="200"/>
        <w:rPr>
          <w:rFonts w:hint="eastAsia" w:ascii="仿宋_GB2312" w:hAnsi="楷体" w:eastAsia="仿宋_GB2312" w:cs="楷体"/>
          <w:b/>
          <w:bCs/>
          <w:sz w:val="32"/>
          <w:szCs w:val="32"/>
        </w:rPr>
      </w:pPr>
      <w:r>
        <w:rPr>
          <w:rFonts w:hint="eastAsia" w:ascii="仿宋_GB2312" w:hAnsi="楷体" w:eastAsia="仿宋_GB2312" w:cs="楷体"/>
          <w:b/>
          <w:bCs/>
          <w:sz w:val="32"/>
          <w:szCs w:val="32"/>
        </w:rPr>
        <w:t>4.</w:t>
      </w:r>
      <w:r>
        <w:rPr>
          <w:rFonts w:hint="eastAsia" w:ascii="仿宋_GB2312" w:hAnsi="楷体_GB2312" w:eastAsia="仿宋_GB2312" w:cs="楷体_GB2312"/>
          <w:b/>
          <w:bCs/>
          <w:color w:val="000000"/>
          <w:sz w:val="32"/>
          <w:szCs w:val="32"/>
        </w:rPr>
        <w:t>攻坚克难</w:t>
      </w:r>
      <w:r>
        <w:rPr>
          <w:rFonts w:hint="eastAsia" w:ascii="仿宋_GB2312" w:hAnsi="楷体" w:eastAsia="仿宋_GB2312" w:cs="楷体"/>
          <w:b/>
          <w:bCs/>
          <w:color w:val="000000"/>
          <w:sz w:val="32"/>
          <w:szCs w:val="32"/>
        </w:rPr>
        <w:t>，民生工程顺利实施</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cs="仿宋"/>
          <w:sz w:val="32"/>
          <w:szCs w:val="32"/>
        </w:rPr>
        <w:t>启动东河镇洪江市场片区棚户区改造建设项目，拆迁安置棚户区600户，新建安置房550套69850平方米，计划总投资5.25亿元；启动建设东河镇马家梁社区邓家河片区棚户区改造项目，已完成50户拆迁安置户，建设总面积16533.62</w:t>
      </w:r>
      <w:r>
        <w:rPr>
          <w:rFonts w:hint="eastAsia" w:ascii="仿宋_GB2312" w:hAnsi="仿宋" w:eastAsia="仿宋" w:cs="仿宋"/>
          <w:sz w:val="32"/>
          <w:szCs w:val="32"/>
        </w:rPr>
        <w:t>㎡</w:t>
      </w:r>
      <w:r>
        <w:rPr>
          <w:rFonts w:hint="eastAsia" w:ascii="仿宋_GB2312" w:hAnsi="仿宋" w:eastAsia="仿宋_GB2312" w:cs="仿宋"/>
          <w:sz w:val="32"/>
          <w:szCs w:val="32"/>
        </w:rPr>
        <w:t>，用地面积3556.73</w:t>
      </w:r>
      <w:r>
        <w:rPr>
          <w:rFonts w:hint="eastAsia" w:ascii="仿宋_GB2312" w:hAnsi="仿宋" w:eastAsia="仿宋" w:cs="仿宋"/>
          <w:sz w:val="32"/>
          <w:szCs w:val="32"/>
        </w:rPr>
        <w:t>㎡</w:t>
      </w:r>
      <w:r>
        <w:rPr>
          <w:rFonts w:hint="eastAsia" w:ascii="仿宋_GB2312" w:hAnsi="仿宋" w:eastAsia="仿宋_GB2312" w:cs="仿宋"/>
          <w:sz w:val="32"/>
          <w:szCs w:val="32"/>
        </w:rPr>
        <w:t>，计划总投资3000万元，持续推进原教育局片区棚户区改造工作。</w:t>
      </w:r>
      <w:r>
        <w:rPr>
          <w:rFonts w:hint="eastAsia" w:ascii="仿宋_GB2312" w:hAnsi="仿宋_GB2312" w:eastAsia="仿宋_GB2312" w:cs="仿宋_GB2312"/>
          <w:sz w:val="32"/>
          <w:szCs w:val="32"/>
        </w:rPr>
        <w:t xml:space="preserve"> </w:t>
      </w:r>
    </w:p>
    <w:p>
      <w:pPr>
        <w:spacing w:line="576" w:lineRule="exact"/>
        <w:ind w:firstLine="560" w:firstLineChars="200"/>
        <w:rPr>
          <w:rFonts w:hint="eastAsia" w:ascii="仿宋_GB2312" w:hAnsi="仿宋" w:eastAsia="仿宋_GB2312" w:cs="仿宋"/>
          <w:color w:val="000000"/>
          <w:spacing w:val="-20"/>
          <w:kern w:val="0"/>
          <w:sz w:val="32"/>
          <w:szCs w:val="32"/>
        </w:rPr>
      </w:pPr>
      <w:r>
        <w:rPr>
          <w:rFonts w:hint="eastAsia" w:ascii="仿宋_GB2312" w:hAnsi="仿宋" w:eastAsia="仿宋_GB2312" w:cs="仿宋"/>
          <w:color w:val="000000"/>
          <w:spacing w:val="-20"/>
          <w:kern w:val="0"/>
          <w:sz w:val="32"/>
          <w:szCs w:val="32"/>
        </w:rPr>
        <w:t>全年固定资产投资入库完成2000万元，向上争取资金6857万元；</w:t>
      </w:r>
      <w:r>
        <w:rPr>
          <w:rFonts w:hint="eastAsia" w:ascii="仿宋_GB2312" w:hAnsi="仿宋" w:eastAsia="仿宋_GB2312" w:cs="仿宋"/>
          <w:sz w:val="32"/>
          <w:szCs w:val="32"/>
        </w:rPr>
        <w:t>全年审核及发放住房租赁补贴1500户，发放资金158万元，全年完成</w:t>
      </w:r>
      <w:r>
        <w:rPr>
          <w:rFonts w:hint="eastAsia" w:ascii="仿宋_GB2312" w:hAnsi="仿宋" w:eastAsia="仿宋_GB2312" w:cs="仿宋"/>
          <w:color w:val="000000"/>
          <w:spacing w:val="-20"/>
          <w:kern w:val="0"/>
          <w:sz w:val="32"/>
          <w:szCs w:val="32"/>
        </w:rPr>
        <w:t>非税收入300万元。</w:t>
      </w:r>
    </w:p>
    <w:p>
      <w:pPr>
        <w:tabs>
          <w:tab w:val="left" w:pos="411"/>
        </w:tabs>
        <w:spacing w:line="576" w:lineRule="exact"/>
        <w:ind w:firstLine="643" w:firstLineChars="200"/>
        <w:rPr>
          <w:rFonts w:hint="eastAsia" w:ascii="仿宋_GB2312" w:hAnsi="楷体" w:eastAsia="仿宋_GB2312" w:cs="楷体"/>
          <w:b/>
          <w:bCs/>
          <w:sz w:val="32"/>
          <w:szCs w:val="32"/>
        </w:rPr>
      </w:pPr>
      <w:r>
        <w:rPr>
          <w:rFonts w:hint="eastAsia" w:ascii="仿宋_GB2312" w:hAnsi="仿宋" w:eastAsia="仿宋_GB2312"/>
          <w:b/>
          <w:bCs/>
          <w:sz w:val="32"/>
          <w:szCs w:val="32"/>
        </w:rPr>
        <w:t>5.</w:t>
      </w:r>
      <w:r>
        <w:rPr>
          <w:rFonts w:hint="eastAsia" w:ascii="仿宋_GB2312" w:hAnsi="楷体" w:eastAsia="仿宋_GB2312" w:cs="楷体"/>
          <w:b/>
          <w:bCs/>
          <w:color w:val="000000"/>
          <w:sz w:val="32"/>
          <w:szCs w:val="32"/>
        </w:rPr>
        <w:t>重点防控，积极</w:t>
      </w:r>
      <w:r>
        <w:rPr>
          <w:rFonts w:hint="eastAsia" w:ascii="仿宋_GB2312" w:hAnsi="楷体" w:eastAsia="仿宋_GB2312" w:cs="楷体"/>
          <w:b/>
          <w:bCs/>
          <w:sz w:val="32"/>
          <w:szCs w:val="32"/>
        </w:rPr>
        <w:t>化解各类风险</w:t>
      </w:r>
    </w:p>
    <w:p>
      <w:pPr>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2020年，认真贯彻落实国务院和省市消防安全电视电话会议精神，结合“五一”、“国庆”、“春节”等重要节日，狠抓消防安全隐患排查治理，根据省市住建行业管理部门要求，深入开展了“安全生产月”活动，扎实开展了2020年夏季高层建筑消防安全和今冬明春既有房屋火灾防控隐患排查工作，消除了各类消防安全隐患，坚决预防和遏制了火灾事故的发生，确保了人民群众的生命财产安全，有效预防和遏制了重特大消防隐患和火灾事故的发生。采取“属地管理，综合治理”的原则，有效开展了维稳和信访工作，全年共调处物业和房产纠纷50余件，解决群众网上信访102件。认真开展了住房保障和房地产领域恶意拖欠农民工工资专项行动，积极完成了中央环保督</w:t>
      </w:r>
      <w:r>
        <w:rPr>
          <w:rFonts w:hint="eastAsia" w:ascii="仿宋_GB2312" w:hAnsi="仿宋" w:eastAsia="仿宋_GB2312"/>
          <w:sz w:val="32"/>
          <w:szCs w:val="32"/>
          <w:lang w:eastAsia="zh-CN"/>
        </w:rPr>
        <w:t>察</w:t>
      </w:r>
      <w:r>
        <w:rPr>
          <w:rFonts w:hint="eastAsia" w:ascii="仿宋_GB2312" w:hAnsi="仿宋" w:eastAsia="仿宋_GB2312"/>
          <w:sz w:val="32"/>
          <w:szCs w:val="32"/>
        </w:rPr>
        <w:t>反馈问题整改、城乡环境综合治理、改革创新、优化营商环境、依法行政等各项工作。</w:t>
      </w:r>
    </w:p>
    <w:p>
      <w:pPr>
        <w:spacing w:line="576" w:lineRule="exact"/>
        <w:ind w:firstLine="643" w:firstLineChars="200"/>
        <w:rPr>
          <w:rFonts w:hint="eastAsia" w:ascii="仿宋_GB2312" w:hAnsi="仿宋" w:eastAsia="仿宋_GB2312"/>
          <w:b/>
          <w:bCs/>
          <w:sz w:val="32"/>
          <w:szCs w:val="32"/>
        </w:rPr>
      </w:pPr>
      <w:r>
        <w:rPr>
          <w:rFonts w:hint="eastAsia" w:ascii="仿宋_GB2312" w:hAnsi="楷体" w:eastAsia="仿宋_GB2312" w:cs="楷体"/>
          <w:b/>
          <w:bCs/>
          <w:sz w:val="32"/>
          <w:szCs w:val="32"/>
        </w:rPr>
        <w:t>6.公平公正，公租房管理进一步优化</w:t>
      </w:r>
    </w:p>
    <w:p>
      <w:pPr>
        <w:spacing w:line="576" w:lineRule="exact"/>
        <w:rPr>
          <w:rFonts w:hint="eastAsia" w:ascii="仿宋_GB2312" w:hAnsi="仿宋" w:eastAsia="仿宋_GB2312"/>
          <w:sz w:val="32"/>
          <w:szCs w:val="32"/>
        </w:rPr>
      </w:pPr>
      <w:r>
        <w:rPr>
          <w:rFonts w:hint="eastAsia" w:ascii="仿宋_GB2312" w:hAnsi="仿宋" w:eastAsia="仿宋_GB2312" w:cs="仿宋"/>
          <w:sz w:val="32"/>
          <w:szCs w:val="32"/>
        </w:rPr>
        <w:t xml:space="preserve">    </w:t>
      </w:r>
      <w:r>
        <w:rPr>
          <w:rFonts w:hint="eastAsia" w:ascii="仿宋_GB2312" w:hAnsi="仿宋" w:eastAsia="仿宋_GB2312"/>
          <w:sz w:val="32"/>
          <w:szCs w:val="32"/>
        </w:rPr>
        <w:t>进一步加强了公租房管理水平，强化了租住资格审查和清理，推行了公租房人脸识别智慧管理系统，</w:t>
      </w:r>
      <w:r>
        <w:rPr>
          <w:rFonts w:hint="eastAsia" w:ascii="仿宋_GB2312" w:hAnsi="仿宋" w:eastAsia="仿宋_GB2312" w:cs="仿宋"/>
          <w:sz w:val="32"/>
          <w:szCs w:val="32"/>
        </w:rPr>
        <w:t>对2456户公租房租住户住房情况及新购房情况进行排查，对不符合条件的予以清退，</w:t>
      </w:r>
      <w:r>
        <w:rPr>
          <w:rFonts w:hint="eastAsia" w:ascii="仿宋_GB2312" w:hAnsi="仿宋" w:eastAsia="仿宋_GB2312"/>
          <w:sz w:val="32"/>
          <w:szCs w:val="32"/>
        </w:rPr>
        <w:t>有效解决了公租房部分租住人员转租、转住、骗租公租房的现象，提高了公租房租住管理的透明度和公平公正。</w:t>
      </w:r>
    </w:p>
    <w:p>
      <w:pPr>
        <w:spacing w:line="576" w:lineRule="exact"/>
        <w:ind w:firstLine="643" w:firstLineChars="200"/>
        <w:rPr>
          <w:rFonts w:hint="eastAsia" w:ascii="仿宋_GB2312" w:hAnsi="楷体" w:eastAsia="仿宋_GB2312" w:cs="楷体"/>
          <w:b/>
          <w:bCs/>
          <w:sz w:val="32"/>
          <w:szCs w:val="32"/>
        </w:rPr>
      </w:pPr>
      <w:r>
        <w:rPr>
          <w:rFonts w:hint="eastAsia" w:ascii="仿宋_GB2312" w:hAnsi="楷体" w:eastAsia="仿宋_GB2312" w:cs="楷体"/>
          <w:b/>
          <w:bCs/>
          <w:sz w:val="32"/>
          <w:szCs w:val="32"/>
        </w:rPr>
        <w:t>7.</w:t>
      </w:r>
      <w:r>
        <w:rPr>
          <w:rFonts w:hint="eastAsia" w:ascii="仿宋_GB2312" w:hAnsi="楷体_GB2312" w:eastAsia="仿宋_GB2312" w:cs="楷体_GB2312"/>
          <w:b/>
          <w:bCs/>
          <w:color w:val="000000"/>
          <w:sz w:val="32"/>
          <w:szCs w:val="32"/>
        </w:rPr>
        <w:t>真帮实扶，决战决胜脱贫攻坚</w:t>
      </w:r>
    </w:p>
    <w:p>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进一步强化了驻村帮扶工作，明确了脱产驻村工作队职责和纪律，保障了脱产驻村工作队经费，认真开展了省市督查反馈问题的整改工作，顺利通过脱贫攻坚省级交叉检查验收工作，按照上级要求完成了年度脱贫攻坚各项工作任务。</w:t>
      </w:r>
    </w:p>
    <w:p>
      <w:pPr>
        <w:spacing w:line="576" w:lineRule="exact"/>
        <w:ind w:right="420" w:firstLine="643" w:firstLineChars="200"/>
        <w:jc w:val="left"/>
        <w:rPr>
          <w:rFonts w:hint="eastAsia" w:ascii="仿宋_GB2312" w:hAnsi="楷体_GB2312" w:eastAsia="仿宋_GB2312" w:cs="楷体_GB2312"/>
          <w:b/>
          <w:bCs/>
          <w:sz w:val="32"/>
          <w:szCs w:val="32"/>
        </w:rPr>
      </w:pPr>
      <w:r>
        <w:rPr>
          <w:rFonts w:hint="eastAsia" w:ascii="仿宋_GB2312" w:hAnsi="楷体" w:eastAsia="仿宋_GB2312" w:cs="楷体"/>
          <w:b/>
          <w:bCs/>
          <w:sz w:val="32"/>
          <w:szCs w:val="32"/>
        </w:rPr>
        <w:t>8.</w:t>
      </w:r>
      <w:r>
        <w:rPr>
          <w:rFonts w:hint="eastAsia" w:ascii="仿宋_GB2312" w:hAnsi="楷体_GB2312" w:eastAsia="仿宋_GB2312" w:cs="楷体_GB2312"/>
          <w:b/>
          <w:bCs/>
          <w:sz w:val="32"/>
          <w:szCs w:val="32"/>
        </w:rPr>
        <w:t>增强实效，档案社会化效益显著提高</w:t>
      </w:r>
    </w:p>
    <w:p>
      <w:pPr>
        <w:spacing w:line="576"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房产档案的最终目的是为群众提供服务，县房地产事务中心坚持把档案的开发利用作为档案室的一项重要任务，积极开展档案利用，热情周到为利用档案单位和个人提供方便。通过规范的档案资料索引及计算机系统管理，为档案的快速利用做好了充分保障。一年来，</w:t>
      </w:r>
      <w:r>
        <w:rPr>
          <w:rFonts w:hint="eastAsia" w:ascii="仿宋_GB2312" w:hAnsi="仿宋" w:eastAsia="仿宋_GB2312" w:cs="仿宋"/>
          <w:sz w:val="32"/>
          <w:szCs w:val="32"/>
        </w:rPr>
        <w:t>出具房屋查询证明书1400份，为证务大厅房地产事务中心办证窗口提供档案查阅450卷，为全国各地司法部门查询房产档案130余卷，为市房管处提供领导干部有无住房登记查询90人次,配合不动产登记中心完成了部分房屋的产权注销登记,配合川北监狱查询核实职工是否享受福利分房180户。</w:t>
      </w:r>
      <w:r>
        <w:rPr>
          <w:rFonts w:hint="eastAsia" w:ascii="仿宋_GB2312" w:hAnsi="仿宋" w:eastAsia="仿宋_GB2312" w:cs="仿宋"/>
          <w:bCs/>
          <w:sz w:val="32"/>
          <w:szCs w:val="32"/>
        </w:rPr>
        <w:t xml:space="preserve"> </w:t>
      </w:r>
    </w:p>
    <w:p>
      <w:pPr>
        <w:widowControl/>
        <w:spacing w:line="576" w:lineRule="exact"/>
        <w:ind w:firstLine="643" w:firstLineChars="200"/>
        <w:jc w:val="left"/>
        <w:rPr>
          <w:rFonts w:hint="eastAsia" w:ascii="仿宋_GB2312" w:hAnsi="仿宋_GB2312" w:eastAsia="仿宋_GB2312" w:cs="仿宋_GB2312"/>
          <w:sz w:val="32"/>
          <w:szCs w:val="32"/>
        </w:rPr>
      </w:pPr>
      <w:r>
        <w:rPr>
          <w:rFonts w:hint="eastAsia" w:ascii="仿宋_GB2312" w:hAnsi="楷体" w:eastAsia="仿宋_GB2312" w:cs="楷体"/>
          <w:b/>
          <w:bCs/>
          <w:sz w:val="32"/>
          <w:szCs w:val="32"/>
        </w:rPr>
        <w:t>9.</w:t>
      </w:r>
      <w:r>
        <w:rPr>
          <w:rFonts w:hint="eastAsia" w:ascii="仿宋_GB2312" w:hAnsi="楷体_GB2312" w:eastAsia="仿宋_GB2312" w:cs="楷体_GB2312"/>
          <w:b/>
          <w:bCs/>
          <w:color w:val="000000"/>
          <w:sz w:val="32"/>
          <w:szCs w:val="32"/>
        </w:rPr>
        <w:t>夯实基础，扎实推进“从严治党”。</w:t>
      </w:r>
      <w:r>
        <w:rPr>
          <w:rFonts w:hint="eastAsia" w:ascii="仿宋_GB2312" w:hAnsi="仿宋" w:eastAsia="仿宋_GB2312"/>
          <w:sz w:val="32"/>
          <w:szCs w:val="32"/>
        </w:rPr>
        <w:t xml:space="preserve"> </w:t>
      </w:r>
      <w:r>
        <w:rPr>
          <w:rFonts w:hint="eastAsia" w:ascii="仿宋_GB2312" w:hAnsi="仿宋" w:eastAsia="仿宋_GB2312" w:cs="仿宋"/>
          <w:kern w:val="0"/>
          <w:sz w:val="32"/>
          <w:szCs w:val="32"/>
        </w:rPr>
        <w:t>党支部坚持以习近平新时代中国特色社会主义思想为指导，深入学习党的十九大及十九届五中全会精神，以“五化”强基为基础，持续推进党支部班子建设规范化、组织生活常态化、党员管理科学化、工作保障持续化、作用发挥突出化为目标，强化党支部政治理论学习，丰富党员活动内容，认真坚持“三会一课”和主题党日活动，充分发挥党支部的战斗堡垒作用，党的建设得到进一步加强。</w:t>
      </w:r>
      <w:r>
        <w:rPr>
          <w:rFonts w:hint="eastAsia" w:ascii="仿宋_GB2312" w:hAnsi="仿宋" w:eastAsia="仿宋_GB2312"/>
          <w:sz w:val="32"/>
          <w:szCs w:val="32"/>
        </w:rPr>
        <w:t>扎实开展了</w:t>
      </w:r>
      <w:r>
        <w:rPr>
          <w:rFonts w:hint="eastAsia" w:ascii="仿宋_GB2312" w:hAnsi="仿宋" w:eastAsia="仿宋_GB2312" w:cs="仿宋"/>
          <w:sz w:val="32"/>
          <w:szCs w:val="32"/>
        </w:rPr>
        <w:t>意识形态工作，广泛开展了</w:t>
      </w:r>
      <w:r>
        <w:rPr>
          <w:rFonts w:hint="eastAsia" w:ascii="仿宋_GB2312" w:hAnsi="仿宋_GB2312" w:eastAsia="仿宋_GB2312" w:cs="仿宋_GB2312"/>
          <w:sz w:val="32"/>
          <w:szCs w:val="32"/>
        </w:rPr>
        <w:t>宣传思想、精神</w:t>
      </w:r>
      <w:r>
        <w:rPr>
          <w:rFonts w:hint="eastAsia" w:ascii="仿宋_GB2312" w:hAnsi="仿宋_GB2312" w:eastAsia="仿宋_GB2312" w:cs="仿宋_GB2312"/>
          <w:sz w:val="32"/>
          <w:szCs w:val="32"/>
          <w:lang w:eastAsia="zh-CN"/>
        </w:rPr>
        <w:t>文明</w:t>
      </w:r>
      <w:r>
        <w:rPr>
          <w:rFonts w:hint="eastAsia" w:ascii="仿宋_GB2312" w:hAnsi="仿宋_GB2312" w:eastAsia="仿宋_GB2312" w:cs="仿宋_GB2312"/>
          <w:sz w:val="32"/>
          <w:szCs w:val="32"/>
        </w:rPr>
        <w:t>和网络信访办理等工作，扎实推进学习型机关建设，增强了党员干部思想政治素质和业务水平，牢固树立“为民务实清廉”的良好形象，切实加强精神文明创建工作，积极创建省级文明单位。</w:t>
      </w:r>
    </w:p>
    <w:p>
      <w:pPr>
        <w:spacing w:line="576" w:lineRule="exact"/>
        <w:ind w:firstLine="643" w:firstLineChars="200"/>
        <w:rPr>
          <w:rFonts w:hint="eastAsia" w:ascii="仿宋_GB2312" w:hAnsi="仿宋" w:eastAsia="仿宋_GB2312"/>
          <w:sz w:val="32"/>
          <w:szCs w:val="32"/>
        </w:rPr>
      </w:pPr>
      <w:r>
        <w:rPr>
          <w:rFonts w:hint="eastAsia" w:ascii="仿宋_GB2312" w:hAnsi="楷体" w:eastAsia="仿宋_GB2312" w:cs="楷体"/>
          <w:b/>
          <w:bCs/>
          <w:sz w:val="32"/>
          <w:szCs w:val="32"/>
        </w:rPr>
        <w:t>10.</w:t>
      </w:r>
      <w:r>
        <w:rPr>
          <w:rFonts w:hint="eastAsia" w:ascii="仿宋_GB2312" w:hAnsi="楷体_GB2312" w:eastAsia="仿宋_GB2312" w:cs="楷体_GB2312"/>
          <w:b/>
          <w:bCs/>
          <w:color w:val="000000"/>
          <w:sz w:val="32"/>
          <w:szCs w:val="32"/>
        </w:rPr>
        <w:t>压实责任，党风廉政建设纵深发展。</w:t>
      </w:r>
      <w:r>
        <w:rPr>
          <w:rFonts w:hint="eastAsia" w:ascii="仿宋_GB2312" w:hAnsi="楷体_GB2312" w:eastAsia="仿宋_GB2312" w:cs="楷体_GB2312"/>
          <w:color w:val="000000"/>
          <w:sz w:val="32"/>
          <w:szCs w:val="32"/>
        </w:rPr>
        <w:t>一是</w:t>
      </w:r>
      <w:r>
        <w:rPr>
          <w:rFonts w:hint="eastAsia" w:ascii="仿宋_GB2312" w:hAnsi="仿宋" w:eastAsia="仿宋_GB2312"/>
          <w:sz w:val="32"/>
          <w:szCs w:val="32"/>
        </w:rPr>
        <w:t>压实“两个责任”，扎实抓好党风廉政建设。进一步明晰责任边界，切实担负起党风廉政建设和反腐败工作的主体责任，建立健全横到边纵到底的党风廉政建设和反腐败工作机制，层层签订了党风廉政建设和反腐败工作目标责任告知书、廉洁自律承诺书和拒收送红包礼金承诺书，坚持用纪律管住大多数，始终把纪律挺在最前沿，充分发挥纪检组“派”的权威和“驻”的优势，落实季度例会研究部署和半年总结汇报工作制度，强化纪检组执纪监督检查职能，扎实推进党风廉政建设。</w:t>
      </w:r>
      <w:r>
        <w:rPr>
          <w:rFonts w:hint="eastAsia" w:ascii="仿宋_GB2312" w:hAnsi="仿宋" w:eastAsia="仿宋_GB2312"/>
          <w:b/>
          <w:bCs/>
          <w:sz w:val="32"/>
          <w:szCs w:val="32"/>
        </w:rPr>
        <w:t>二是</w:t>
      </w:r>
      <w:r>
        <w:rPr>
          <w:rFonts w:hint="eastAsia" w:ascii="仿宋_GB2312" w:hAnsi="仿宋" w:eastAsia="仿宋_GB2312"/>
          <w:sz w:val="32"/>
          <w:szCs w:val="32"/>
        </w:rPr>
        <w:t>健全防范机制，筑牢预防腐败思想防线。坚持抓好“三早”预警、风险防控、廉政教育“三大机制”建设，推行权力运行与监督同步同轨同向机制，突出围绕重点股室和岗位、节假请客送礼、婚丧嫁娶以及子女升学等重点抓好防控，继续强化警示教育，组织党员干部观看警示教育片，重温入党誓词，举行廉政宣誓，狠抓廉洁细胞建设，深入开展廉政示范单位、廉洁股室、廉洁家庭创评活动，强力推进机关、企业、家德家风等廉政文化建设，积极开展了廉政文化进工地、进项目、进小区、进电梯楼道等活动，大力弘扬“勤廉双优”先进典型，狠抓反腐倡廉宣传教育，奏响反腐倡廉最强音。</w:t>
      </w:r>
      <w:r>
        <w:rPr>
          <w:rFonts w:hint="eastAsia" w:ascii="仿宋_GB2312" w:hAnsi="仿宋" w:eastAsia="仿宋_GB2312"/>
          <w:b/>
          <w:bCs/>
          <w:sz w:val="32"/>
          <w:szCs w:val="32"/>
        </w:rPr>
        <w:t>三是</w:t>
      </w:r>
      <w:r>
        <w:rPr>
          <w:rFonts w:hint="eastAsia" w:ascii="仿宋_GB2312" w:hAnsi="仿宋" w:eastAsia="仿宋_GB2312"/>
          <w:sz w:val="32"/>
          <w:szCs w:val="32"/>
        </w:rPr>
        <w:t>整治“四风”，不断优化经济发展环境。局党组坚持把整治群众身边不正之风和微腐败问题作为纪律审查的重点，紧盯年节假期和重要岗位，扭住重要环节和聚焦民生的股室，强化正风肃纪专项督查，狠抓突出问题专项治理，</w:t>
      </w:r>
      <w:r>
        <w:rPr>
          <w:rFonts w:hint="eastAsia" w:ascii="仿宋_GB2312" w:hAnsi="仿宋" w:eastAsia="仿宋_GB2312"/>
          <w:sz w:val="32"/>
          <w:szCs w:val="32"/>
          <w:lang w:eastAsia="zh-CN"/>
        </w:rPr>
        <w:t>驰而不息</w:t>
      </w:r>
      <w:r>
        <w:rPr>
          <w:rFonts w:hint="eastAsia" w:ascii="仿宋_GB2312" w:hAnsi="仿宋" w:eastAsia="仿宋_GB2312"/>
          <w:sz w:val="32"/>
          <w:szCs w:val="32"/>
        </w:rPr>
        <w:t>地整治“为官不为”、“庸懒散浮拖”、“吃拿卡要”、“懒政怠政”和“不作为、选择性作为、太极式作为、功利性乱作为”等问题，深入开展了“三服务”效能公开承诺、政风行风民主测评、“百企千村万人”评效能和“两个最不满意”查找等活动，进一步优化办事流程，坚决纠改违规收费问题，减少办事流程，主动上门服务化解房屋产权纠纷矛盾。</w:t>
      </w:r>
    </w:p>
    <w:p>
      <w:pPr>
        <w:spacing w:line="576" w:lineRule="exact"/>
        <w:ind w:firstLine="643" w:firstLineChars="200"/>
        <w:rPr>
          <w:rFonts w:hint="eastAsia" w:ascii="仿宋_GB2312" w:hAnsi="仿宋_GB2312" w:eastAsia="仿宋_GB2312" w:cs="仿宋_GB2312"/>
          <w:b/>
          <w:bCs/>
          <w:sz w:val="32"/>
          <w:szCs w:val="32"/>
        </w:rPr>
      </w:pPr>
      <w:r>
        <w:rPr>
          <w:rFonts w:hint="eastAsia" w:ascii="仿宋_GB2312" w:hAnsi="楷体" w:eastAsia="仿宋_GB2312" w:cs="楷体"/>
          <w:b/>
          <w:bCs/>
          <w:sz w:val="32"/>
          <w:szCs w:val="32"/>
        </w:rPr>
        <w:t>11.综合治理，依法治县顺利推进。</w:t>
      </w:r>
      <w:r>
        <w:rPr>
          <w:rFonts w:hint="eastAsia" w:ascii="仿宋_GB2312" w:hAnsi="仿宋_GB2312" w:eastAsia="仿宋_GB2312" w:cs="仿宋_GB2312"/>
          <w:sz w:val="32"/>
          <w:szCs w:val="32"/>
        </w:rPr>
        <w:t>强化组织领导，明确目标责任，将依法治县工作贯穿于工作各个环节，做到同安排、同部署、有落实、同检查、同考核，认真学习贯彻相关会议文件精神抓落实。强化普法宣传，营造法治氛围，抓领导干部法制教育，制定了领导干部年度学法计划，完善了机关会前学法制度。抓法制宣传，构建全民参与的法治创建氛围，结合房地产事务中心业务，多次深入小广场、统筹城乡试点村、帮扶村开展法律政策宣传服务，引导人民群众自觉投身“法治旺苍”建设。抓内设机构宣传教育，牢固树立“谁执法谁普法”的工作思路，明确了管理股、住保办、房管窗口等相关股室是依法治县宣传工作的主体，牢固树立依法行政、依法办事、依法普法理念，强力推进法治文化建设。依法履行了行政监管职责，全年无行政行为被撤销、变更、确认违法、责令纠正等现象。建立健全了依法行政领导体制机制，建立并落实了学法制度，开展了以行政处罚、行政许可行为和行政规范性文件制定备案情况为重点的执法监督检查。</w:t>
      </w:r>
    </w:p>
    <w:p>
      <w:pPr>
        <w:widowControl/>
        <w:spacing w:line="576" w:lineRule="exact"/>
        <w:ind w:firstLine="641"/>
        <w:jc w:val="left"/>
        <w:rPr>
          <w:rFonts w:hint="eastAsia" w:ascii="仿宋_GB2312" w:eastAsia="仿宋_GB2312"/>
          <w:b/>
          <w:sz w:val="32"/>
          <w:szCs w:val="32"/>
        </w:rPr>
      </w:pPr>
      <w:r>
        <w:rPr>
          <w:rFonts w:hint="eastAsia" w:ascii="仿宋_GB2312" w:hAnsi="楷体" w:eastAsia="仿宋_GB2312" w:cs="楷体"/>
          <w:b/>
          <w:bCs/>
          <w:sz w:val="32"/>
          <w:szCs w:val="32"/>
        </w:rPr>
        <w:t>12.统筹兼顾，其它工作圆满完成。</w:t>
      </w:r>
      <w:r>
        <w:rPr>
          <w:rFonts w:hint="eastAsia" w:ascii="仿宋_GB2312" w:hAnsi="仿宋" w:eastAsia="仿宋_GB2312" w:cs="仿宋"/>
          <w:sz w:val="32"/>
          <w:szCs w:val="32"/>
        </w:rPr>
        <w:t>按照县委县政府的指示精神和相关部门的要求，</w:t>
      </w:r>
      <w:r>
        <w:rPr>
          <w:rFonts w:hint="eastAsia" w:ascii="仿宋_GB2312" w:hAnsi="仿宋_GB2312" w:eastAsia="仿宋_GB2312" w:cs="仿宋_GB2312"/>
          <w:sz w:val="32"/>
          <w:szCs w:val="32"/>
        </w:rPr>
        <w:t>扎实开展了意识形态、统战、群团、卫生、文化体育、防邪、保密、审计、工会、网络信息、科技创新、人口普查、人事、机构编制、行权录入、政务公开、财政绩效评估、协税护税、应急管理、低碳发展、社区治理等各项工作任务圆满完成。</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（二）部门财政资金收入情况</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2020年，单位财政拨款总收入为8,937.05万元，其中一般公共预算财政拨款8,560.89万元，政府性基金预算财政拨款376.16万元。</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（三）部门财政资金支出情况</w:t>
      </w:r>
    </w:p>
    <w:p>
      <w:pPr>
        <w:spacing w:line="576" w:lineRule="exact"/>
        <w:ind w:firstLine="640" w:firstLineChars="200"/>
        <w:rPr>
          <w:rFonts w:hint="eastAsia" w:ascii="仿宋_GB2312" w:eastAsia="仿宋_GB2312"/>
          <w:b/>
          <w:sz w:val="32"/>
          <w:szCs w:val="32"/>
        </w:rPr>
      </w:pPr>
      <w:r>
        <w:rPr>
          <w:rFonts w:hint="eastAsia" w:ascii="仿宋_GB2312" w:eastAsia="仿宋_GB2312"/>
          <w:color w:val="000000"/>
          <w:sz w:val="32"/>
          <w:szCs w:val="32"/>
        </w:rPr>
        <w:t>2020年，单位财政拨款总支出为2,959.26万元，其中基本支出305.49万元，项目支出2,653.77万元。</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三、评价结论和绩效分析</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（一）评价结论</w:t>
      </w:r>
    </w:p>
    <w:p>
      <w:pPr>
        <w:spacing w:line="576"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按要求对2020年部门整体支出开展绩效评价，从评价情况来看，2020年单位较好履行单位职责，完成了单位年度目标任务，该单位财政资金收支管理较为规范，财经纪律财务制度执行情况较好。项目编制了绩效目标，年终执行完毕后，对项目开展了绩效目标完成情况梳理填报。从评价情况来看，各项工作按项目要求有序推进，资金使用规范高效，社会服务满意度高并达到预期效果；根据《2020年度旺苍县部门支出绩效评价指标体系》规定的内容，</w:t>
      </w:r>
      <w:r>
        <w:rPr>
          <w:rFonts w:hint="eastAsia" w:ascii="仿宋_GB2312" w:eastAsia="仿宋_GB2312"/>
          <w:sz w:val="32"/>
          <w:szCs w:val="32"/>
        </w:rPr>
        <w:t>部门整体支出绩效评价得分76.5分。</w:t>
      </w:r>
    </w:p>
    <w:p>
      <w:pPr>
        <w:spacing w:line="576" w:lineRule="exact"/>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pPr>
    </w:p>
    <w:tbl>
      <w:tblPr>
        <w:tblStyle w:val="12"/>
        <w:tblW w:w="9010" w:type="dxa"/>
        <w:tblInd w:w="0" w:type="dxa"/>
        <w:tblLayout w:type="fixed"/>
        <w:tblCellMar>
          <w:top w:w="15" w:type="dxa"/>
          <w:left w:w="15" w:type="dxa"/>
          <w:bottom w:w="15" w:type="dxa"/>
          <w:right w:w="15" w:type="dxa"/>
        </w:tblCellMar>
      </w:tblPr>
      <w:tblGrid>
        <w:gridCol w:w="974"/>
        <w:gridCol w:w="1079"/>
        <w:gridCol w:w="975"/>
        <w:gridCol w:w="629"/>
        <w:gridCol w:w="614"/>
        <w:gridCol w:w="4739"/>
      </w:tblGrid>
      <w:tr>
        <w:tblPrEx>
          <w:tblCellMar>
            <w:top w:w="15" w:type="dxa"/>
            <w:left w:w="15" w:type="dxa"/>
            <w:bottom w:w="15" w:type="dxa"/>
            <w:right w:w="15" w:type="dxa"/>
          </w:tblCellMar>
        </w:tblPrEx>
        <w:trPr>
          <w:trHeight w:val="555" w:hRule="atLeast"/>
        </w:trPr>
        <w:tc>
          <w:tcPr>
            <w:tcW w:w="9010" w:type="dxa"/>
            <w:gridSpan w:val="6"/>
            <w:tcBorders>
              <w:bottom w:val="single" w:color="000000" w:sz="4" w:space="0"/>
            </w:tcBorders>
            <w:noWrap w:val="0"/>
            <w:vAlign w:val="center"/>
          </w:tcPr>
          <w:p>
            <w:pPr>
              <w:widowControl/>
              <w:jc w:val="center"/>
              <w:textAlignment w:val="center"/>
              <w:rPr>
                <w:rFonts w:ascii="方正小标宋简体" w:hAnsi="方正小标宋简体" w:eastAsia="方正小标宋简体" w:cs="方正小标宋简体"/>
                <w:b/>
                <w:color w:val="000000"/>
                <w:sz w:val="36"/>
                <w:szCs w:val="36"/>
              </w:rPr>
            </w:pPr>
            <w:r>
              <w:br w:type="page"/>
            </w:r>
            <w:r>
              <w:rPr>
                <w:rFonts w:ascii="方正小标宋简体" w:hAnsi="方正小标宋简体" w:eastAsia="方正小标宋简体" w:cs="方正小标宋简体"/>
                <w:b/>
                <w:color w:val="000000"/>
                <w:kern w:val="0"/>
                <w:sz w:val="36"/>
                <w:szCs w:val="36"/>
                <w:lang w:bidi="ar"/>
              </w:rPr>
              <w:t>旺苍县202</w:t>
            </w:r>
            <w:r>
              <w:rPr>
                <w:rFonts w:hint="eastAsia" w:ascii="方正小标宋简体" w:hAnsi="方正小标宋简体" w:eastAsia="方正小标宋简体" w:cs="方正小标宋简体"/>
                <w:b/>
                <w:color w:val="000000"/>
                <w:kern w:val="0"/>
                <w:sz w:val="36"/>
                <w:szCs w:val="36"/>
                <w:lang w:bidi="ar"/>
              </w:rPr>
              <w:t>0</w:t>
            </w:r>
            <w:r>
              <w:rPr>
                <w:rFonts w:ascii="方正小标宋简体" w:hAnsi="方正小标宋简体" w:eastAsia="方正小标宋简体" w:cs="方正小标宋简体"/>
                <w:b/>
                <w:color w:val="000000"/>
                <w:kern w:val="0"/>
                <w:sz w:val="36"/>
                <w:szCs w:val="36"/>
                <w:lang w:bidi="ar"/>
              </w:rPr>
              <w:t>年部门整体支出绩效评价指标体系</w:t>
            </w:r>
          </w:p>
        </w:tc>
      </w:tr>
      <w:tr>
        <w:tblPrEx>
          <w:tblCellMar>
            <w:top w:w="15" w:type="dxa"/>
            <w:left w:w="15" w:type="dxa"/>
            <w:bottom w:w="15" w:type="dxa"/>
            <w:right w:w="15" w:type="dxa"/>
          </w:tblCellMar>
        </w:tblPrEx>
        <w:trPr>
          <w:trHeight w:val="390" w:hRule="atLeast"/>
        </w:trPr>
        <w:tc>
          <w:tcPr>
            <w:tcW w:w="30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绩效指标</w:t>
            </w:r>
          </w:p>
        </w:tc>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指标分值</w:t>
            </w:r>
          </w:p>
        </w:tc>
        <w:tc>
          <w:tcPr>
            <w:tcW w:w="6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指标得分</w:t>
            </w:r>
          </w:p>
        </w:tc>
        <w:tc>
          <w:tcPr>
            <w:tcW w:w="47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指标解释</w:t>
            </w:r>
          </w:p>
        </w:tc>
      </w:tr>
      <w:tr>
        <w:tblPrEx>
          <w:tblCellMar>
            <w:top w:w="15" w:type="dxa"/>
            <w:left w:w="15" w:type="dxa"/>
            <w:bottom w:w="15" w:type="dxa"/>
            <w:right w:w="15" w:type="dxa"/>
          </w:tblCellMar>
        </w:tblPrEx>
        <w:trPr>
          <w:trHeight w:val="390" w:hRule="atLeast"/>
        </w:trPr>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一级指标</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二级指标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三级指标</w:t>
            </w:r>
          </w:p>
        </w:tc>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4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r>
      <w:tr>
        <w:trPr>
          <w:trHeight w:val="270" w:hRule="atLeast"/>
        </w:trPr>
        <w:tc>
          <w:tcPr>
            <w:tcW w:w="9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部门预算管理（60分）</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预算编制（24分）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目标制定</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评价部门绩效目标是否要素完整、细化量化。</w:t>
            </w:r>
          </w:p>
        </w:tc>
      </w:tr>
      <w:tr>
        <w:tblPrEx>
          <w:tblCellMar>
            <w:top w:w="15" w:type="dxa"/>
            <w:left w:w="15" w:type="dxa"/>
            <w:bottom w:w="15" w:type="dxa"/>
            <w:right w:w="15" w:type="dxa"/>
          </w:tblCellMar>
        </w:tblPrEx>
        <w:trPr>
          <w:trHeight w:val="203"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目标完成</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评价部门绩效目标实际实现程度与预期目标的偏离度。</w:t>
            </w:r>
          </w:p>
        </w:tc>
      </w:tr>
      <w:tr>
        <w:tblPrEx>
          <w:tblCellMar>
            <w:top w:w="15" w:type="dxa"/>
            <w:left w:w="15" w:type="dxa"/>
            <w:bottom w:w="15" w:type="dxa"/>
            <w:right w:w="15" w:type="dxa"/>
          </w:tblCellMar>
        </w:tblPrEx>
        <w:trPr>
          <w:trHeight w:val="278"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编制准确</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评价部门年初预算编制是否科学准确。</w:t>
            </w:r>
          </w:p>
        </w:tc>
      </w:tr>
      <w:tr>
        <w:tblPrEx>
          <w:tblCellMar>
            <w:top w:w="15" w:type="dxa"/>
            <w:left w:w="15" w:type="dxa"/>
            <w:bottom w:w="15" w:type="dxa"/>
            <w:right w:w="15" w:type="dxa"/>
          </w:tblCellMar>
        </w:tblPrEx>
        <w:trPr>
          <w:trHeight w:val="355"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预算执行（20分）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支出控制</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部门公用经费及非定额公用支出控制情况。</w:t>
            </w:r>
          </w:p>
        </w:tc>
      </w:tr>
      <w:tr>
        <w:tblPrEx>
          <w:tblCellMar>
            <w:top w:w="15" w:type="dxa"/>
            <w:left w:w="15" w:type="dxa"/>
            <w:bottom w:w="15" w:type="dxa"/>
            <w:right w:w="15" w:type="dxa"/>
          </w:tblCellMar>
        </w:tblPrEx>
        <w:trPr>
          <w:trHeight w:val="389"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动态调整</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评价部门开展绩效运行监控后，将绩效监控结果应用到预算调整的情况。</w:t>
            </w:r>
          </w:p>
        </w:tc>
      </w:tr>
      <w:tr>
        <w:tblPrEx>
          <w:tblCellMar>
            <w:top w:w="15" w:type="dxa"/>
            <w:left w:w="15" w:type="dxa"/>
            <w:bottom w:w="15" w:type="dxa"/>
            <w:right w:w="15" w:type="dxa"/>
          </w:tblCellMar>
        </w:tblPrEx>
        <w:trPr>
          <w:trHeight w:val="285"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执行进度</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评价部门在6、9、11月的预算执行情况。</w:t>
            </w:r>
          </w:p>
        </w:tc>
      </w:tr>
      <w:tr>
        <w:tblPrEx>
          <w:tblCellMar>
            <w:top w:w="15" w:type="dxa"/>
            <w:left w:w="15" w:type="dxa"/>
            <w:bottom w:w="15" w:type="dxa"/>
            <w:right w:w="15" w:type="dxa"/>
          </w:tblCellMar>
        </w:tblPrEx>
        <w:trPr>
          <w:trHeight w:val="219"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完成结果（16分）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预算完成</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评价部门预算项目年终预算执行情况。</w:t>
            </w:r>
          </w:p>
        </w:tc>
      </w:tr>
      <w:tr>
        <w:tblPrEx>
          <w:tblCellMar>
            <w:top w:w="15" w:type="dxa"/>
            <w:left w:w="15" w:type="dxa"/>
            <w:bottom w:w="15" w:type="dxa"/>
            <w:right w:w="15" w:type="dxa"/>
          </w:tblCellMar>
        </w:tblPrEx>
        <w:trPr>
          <w:trHeight w:val="281"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违规记录</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根据审计监督、财政检查结果反映部门上一年度部门预算管理是否合规。</w:t>
            </w:r>
          </w:p>
        </w:tc>
      </w:tr>
      <w:tr>
        <w:tblPrEx>
          <w:tblCellMar>
            <w:top w:w="15" w:type="dxa"/>
            <w:left w:w="15" w:type="dxa"/>
            <w:bottom w:w="15" w:type="dxa"/>
            <w:right w:w="15" w:type="dxa"/>
          </w:tblCellMar>
        </w:tblPrEx>
        <w:trPr>
          <w:trHeight w:val="191" w:hRule="atLeast"/>
        </w:trPr>
        <w:tc>
          <w:tcPr>
            <w:tcW w:w="9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专项预算管理（20分）</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项目决策</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程序严密</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评价专项项目的设立是否经过严格评估论证、管理制度是否完善健全。</w:t>
            </w:r>
          </w:p>
        </w:tc>
      </w:tr>
      <w:tr>
        <w:tblPrEx>
          <w:tblCellMar>
            <w:top w:w="15" w:type="dxa"/>
            <w:left w:w="15" w:type="dxa"/>
            <w:bottom w:w="15" w:type="dxa"/>
            <w:right w:w="15" w:type="dxa"/>
          </w:tblCellMar>
        </w:tblPrEx>
        <w:trPr>
          <w:trHeight w:val="55"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规划合理</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评价项目规划是否符合县委、县政府重大决策部署，项目年度绩效目标与规划是否一致。</w:t>
            </w:r>
          </w:p>
        </w:tc>
      </w:tr>
      <w:tr>
        <w:tblPrEx>
          <w:tblCellMar>
            <w:top w:w="15" w:type="dxa"/>
            <w:left w:w="15" w:type="dxa"/>
            <w:bottom w:w="15" w:type="dxa"/>
            <w:right w:w="15" w:type="dxa"/>
          </w:tblCellMar>
        </w:tblPrEx>
        <w:trPr>
          <w:trHeight w:val="294"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结果符合</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评价项目实施结果与项目总体规划计划是否一致。</w:t>
            </w:r>
          </w:p>
        </w:tc>
      </w:tr>
      <w:tr>
        <w:tblPrEx>
          <w:tblCellMar>
            <w:top w:w="15" w:type="dxa"/>
            <w:left w:w="15" w:type="dxa"/>
            <w:bottom w:w="15" w:type="dxa"/>
            <w:right w:w="15" w:type="dxa"/>
          </w:tblCellMar>
        </w:tblPrEx>
        <w:trPr>
          <w:trHeight w:val="73"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项目实施</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分配科学</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评价项目分配方法选择是否科学，分类评价分配程序和过程管理是否规范。</w:t>
            </w:r>
          </w:p>
        </w:tc>
      </w:tr>
      <w:tr>
        <w:tblPrEx>
          <w:tblCellMar>
            <w:top w:w="15" w:type="dxa"/>
            <w:left w:w="15" w:type="dxa"/>
            <w:bottom w:w="15" w:type="dxa"/>
            <w:right w:w="15" w:type="dxa"/>
          </w:tblCellMar>
        </w:tblPrEx>
        <w:trPr>
          <w:trHeight w:val="330"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分配及时</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评价部门是否按规定时限及时分配专项预算资金。                    </w:t>
            </w:r>
          </w:p>
        </w:tc>
      </w:tr>
      <w:tr>
        <w:tblPrEx>
          <w:tblCellMar>
            <w:top w:w="15" w:type="dxa"/>
            <w:left w:w="15" w:type="dxa"/>
            <w:bottom w:w="15" w:type="dxa"/>
            <w:right w:w="15" w:type="dxa"/>
          </w:tblCellMar>
        </w:tblPrEx>
        <w:trPr>
          <w:trHeight w:val="55"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完成结果</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预算完成</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评价专项项目资金拨付到具体项目（人）的情况。</w:t>
            </w:r>
          </w:p>
        </w:tc>
      </w:tr>
      <w:tr>
        <w:tblPrEx>
          <w:tblCellMar>
            <w:top w:w="15" w:type="dxa"/>
            <w:left w:w="15" w:type="dxa"/>
            <w:bottom w:w="15" w:type="dxa"/>
            <w:right w:w="15" w:type="dxa"/>
          </w:tblCellMar>
        </w:tblPrEx>
        <w:trPr>
          <w:trHeight w:val="55"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实施绩效</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评价专项项目实施绩效情况。                      </w:t>
            </w:r>
          </w:p>
        </w:tc>
      </w:tr>
      <w:tr>
        <w:tblPrEx>
          <w:tblCellMar>
            <w:top w:w="15" w:type="dxa"/>
            <w:left w:w="15" w:type="dxa"/>
            <w:bottom w:w="15" w:type="dxa"/>
            <w:right w:w="15" w:type="dxa"/>
          </w:tblCellMar>
        </w:tblPrEx>
        <w:trPr>
          <w:trHeight w:val="55"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违规记录</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根据审计监督、财政检查结果反映部门上一年度部门专项预算管理是否合规。</w:t>
            </w:r>
          </w:p>
        </w:tc>
      </w:tr>
      <w:tr>
        <w:tblPrEx>
          <w:tblCellMar>
            <w:top w:w="15" w:type="dxa"/>
            <w:left w:w="15" w:type="dxa"/>
            <w:bottom w:w="15" w:type="dxa"/>
            <w:right w:w="15" w:type="dxa"/>
          </w:tblCellMar>
        </w:tblPrEx>
        <w:trPr>
          <w:trHeight w:val="55" w:hRule="atLeast"/>
        </w:trPr>
        <w:tc>
          <w:tcPr>
            <w:tcW w:w="9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绩效结果应用（20分）</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自评质量</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自评准确</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评价部门整体支出自评准确率。</w:t>
            </w:r>
          </w:p>
        </w:tc>
      </w:tr>
      <w:tr>
        <w:tblPrEx>
          <w:tblCellMar>
            <w:top w:w="15" w:type="dxa"/>
            <w:left w:w="15" w:type="dxa"/>
            <w:bottom w:w="15" w:type="dxa"/>
            <w:right w:w="15" w:type="dxa"/>
          </w:tblCellMar>
        </w:tblPrEx>
        <w:trPr>
          <w:trHeight w:val="390"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信息公开</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目标公开</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评价部门绩效目标是否按要求向社会公开。</w:t>
            </w:r>
          </w:p>
        </w:tc>
      </w:tr>
      <w:tr>
        <w:tblPrEx>
          <w:tblCellMar>
            <w:top w:w="15" w:type="dxa"/>
            <w:left w:w="15" w:type="dxa"/>
            <w:bottom w:w="15" w:type="dxa"/>
            <w:right w:w="15" w:type="dxa"/>
          </w:tblCellMar>
        </w:tblPrEx>
        <w:trPr>
          <w:trHeight w:val="480"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自评公开</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评价部门是否按要求将部门整体绩效自评情况和自行组织的评价情况向社会公开。</w:t>
            </w:r>
          </w:p>
        </w:tc>
      </w:tr>
      <w:tr>
        <w:tblPrEx>
          <w:tblCellMar>
            <w:top w:w="15" w:type="dxa"/>
            <w:left w:w="15" w:type="dxa"/>
            <w:bottom w:w="15" w:type="dxa"/>
            <w:right w:w="15" w:type="dxa"/>
          </w:tblCellMar>
        </w:tblPrEx>
        <w:trPr>
          <w:trHeight w:val="525"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整改反馈</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结果整改</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评价部门根据绩效管理结果整改问题、完善政策、改进管理的情况。</w:t>
            </w:r>
          </w:p>
        </w:tc>
      </w:tr>
      <w:tr>
        <w:tblPrEx>
          <w:tblCellMar>
            <w:top w:w="15" w:type="dxa"/>
            <w:left w:w="15" w:type="dxa"/>
            <w:bottom w:w="15" w:type="dxa"/>
            <w:right w:w="15" w:type="dxa"/>
          </w:tblCellMar>
        </w:tblPrEx>
        <w:trPr>
          <w:trHeight w:val="495"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应用反馈</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评价部门按要求及时向财政部门反馈结果应用情况。</w:t>
            </w:r>
          </w:p>
        </w:tc>
      </w:tr>
      <w:tr>
        <w:tblPrEx>
          <w:tblCellMar>
            <w:top w:w="15" w:type="dxa"/>
            <w:left w:w="15" w:type="dxa"/>
            <w:bottom w:w="15" w:type="dxa"/>
            <w:right w:w="15" w:type="dxa"/>
          </w:tblCellMar>
        </w:tblPrEx>
        <w:trPr>
          <w:trHeight w:val="375" w:hRule="atLeast"/>
        </w:trPr>
        <w:tc>
          <w:tcPr>
            <w:tcW w:w="30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总分合计</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100</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76.5</w:t>
            </w:r>
          </w:p>
        </w:tc>
        <w:tc>
          <w:tcPr>
            <w:tcW w:w="473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18"/>
                <w:szCs w:val="18"/>
              </w:rPr>
            </w:pPr>
          </w:p>
        </w:tc>
      </w:tr>
    </w:tbl>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（二）绩效分析</w:t>
      </w:r>
    </w:p>
    <w:p>
      <w:pPr>
        <w:spacing w:line="576" w:lineRule="exact"/>
        <w:ind w:firstLine="643" w:firstLineChars="200"/>
        <w:rPr>
          <w:rFonts w:hint="eastAsia" w:ascii="仿宋_GB2312" w:eastAsia="仿宋_GB2312"/>
          <w:b/>
          <w:sz w:val="32"/>
          <w:szCs w:val="32"/>
        </w:rPr>
      </w:pPr>
      <w:r>
        <w:rPr>
          <w:rFonts w:hint="eastAsia" w:ascii="仿宋_GB2312" w:eastAsia="仿宋_GB2312"/>
          <w:b/>
          <w:sz w:val="32"/>
          <w:szCs w:val="32"/>
        </w:rPr>
        <w:t>1.部门预算管理情况分析</w:t>
      </w:r>
    </w:p>
    <w:p>
      <w:pPr>
        <w:spacing w:line="576" w:lineRule="exact"/>
        <w:ind w:firstLine="643" w:firstLineChars="200"/>
        <w:rPr>
          <w:rFonts w:hint="eastAsia" w:ascii="仿宋_GB2312" w:hAnsi="仿宋_GB2312" w:eastAsia="仿宋_GB2312" w:cs="仿宋_GB2312"/>
          <w:sz w:val="32"/>
          <w:szCs w:val="32"/>
        </w:rPr>
      </w:pPr>
      <w:r>
        <w:rPr>
          <w:rFonts w:hint="eastAsia" w:ascii="仿宋_GB2312" w:eastAsia="仿宋_GB2312"/>
          <w:b/>
          <w:bCs/>
          <w:sz w:val="32"/>
          <w:szCs w:val="32"/>
        </w:rPr>
        <w:t>（1）目标制定。</w:t>
      </w:r>
      <w:r>
        <w:rPr>
          <w:rFonts w:hint="eastAsia" w:ascii="仿宋_GB2312" w:eastAsia="仿宋_GB2312"/>
          <w:sz w:val="32"/>
          <w:szCs w:val="32"/>
        </w:rPr>
        <w:t>2020年部门预算严格按要求，按时、按项目按质量要求完成了部门预算工作任务。</w:t>
      </w:r>
      <w:r>
        <w:rPr>
          <w:rFonts w:hint="eastAsia" w:ascii="仿宋_GB2312" w:hAnsi="仿宋_GB2312" w:eastAsia="仿宋_GB2312" w:cs="仿宋_GB2312"/>
          <w:sz w:val="32"/>
          <w:szCs w:val="32"/>
        </w:rPr>
        <w:t>部门预算编制准确、规范、完整无漏项，基础信息和科目使用准确，项目名称、绩效指标、项目内容等说明符合规定，单位编制、人员情况与供养人员横向联网系统数据一致。</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该指标满分8分，</w:t>
      </w:r>
      <w:r>
        <w:rPr>
          <w:rFonts w:hint="eastAsia" w:ascii="仿宋_GB2312" w:eastAsia="仿宋_GB2312"/>
          <w:sz w:val="32"/>
          <w:szCs w:val="32"/>
        </w:rPr>
        <w:t>根据指标评价标准和公式计算，</w:t>
      </w:r>
      <w:r>
        <w:rPr>
          <w:rFonts w:hint="eastAsia" w:ascii="仿宋_GB2312" w:hAnsi="仿宋_GB2312" w:eastAsia="仿宋_GB2312" w:cs="仿宋_GB2312"/>
          <w:sz w:val="32"/>
          <w:szCs w:val="32"/>
        </w:rPr>
        <w:t>得分8分。</w:t>
      </w:r>
    </w:p>
    <w:p>
      <w:pPr>
        <w:spacing w:line="576" w:lineRule="exact"/>
        <w:ind w:firstLine="643" w:firstLineChars="200"/>
        <w:rPr>
          <w:rFonts w:hint="eastAsia" w:ascii="仿宋_GB2312" w:eastAsia="仿宋_GB2312"/>
          <w:b/>
          <w:bCs/>
          <w:sz w:val="32"/>
          <w:szCs w:val="32"/>
        </w:rPr>
      </w:pPr>
      <w:r>
        <w:rPr>
          <w:rFonts w:hint="eastAsia" w:ascii="仿宋_GB2312" w:eastAsia="仿宋_GB2312"/>
          <w:b/>
          <w:bCs/>
          <w:sz w:val="32"/>
          <w:szCs w:val="32"/>
        </w:rPr>
        <w:t>（2）目标完成。</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2020年，县房地产事务中心共设置部门项目绩效目标4个，均全部完成。</w:t>
      </w:r>
    </w:p>
    <w:p>
      <w:pPr>
        <w:spacing w:line="576"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旺苍县房地产事务中心在2020年度部门共实施“2020年公共租赁住房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、“2020年老旧小区改造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、“党组织活动”、扫黑除恶等项目。其完成结果情况如下：</w:t>
      </w:r>
    </w:p>
    <w:p>
      <w:pPr>
        <w:spacing w:line="576"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A、保障性住房建设项目绩效目标完成情况。项目全年预算数8万元，执行数为8万元，完成预算的100%。</w:t>
      </w:r>
      <w:r>
        <w:rPr>
          <w:rFonts w:hint="eastAsia" w:ascii="仿宋" w:hAnsi="仿宋" w:eastAsia="仿宋" w:cs="仿宋"/>
          <w:sz w:val="32"/>
          <w:szCs w:val="32"/>
        </w:rPr>
        <w:t>启动东河镇洪江市场片区棚户区改造建设项目，拆迁安置棚户区600户，新建安置房550套69850平方米，计划总投资5.25亿元；启动建设东河镇马家梁社区邓家河片区棚户区改造项目，已完成50户拆迁安置户，建设总面积16533.62㎡，用地面积3556.73㎡，计划总投资3000万元，持续推进原教育局片区棚户区改造工作。</w:t>
      </w:r>
      <w:r>
        <w:rPr>
          <w:rFonts w:hint="eastAsia" w:ascii="仿宋_GB2312" w:hAnsi="仿宋_GB2312" w:eastAsia="仿宋_GB2312" w:cs="仿宋_GB2312"/>
          <w:sz w:val="32"/>
          <w:szCs w:val="32"/>
        </w:rPr>
        <w:t xml:space="preserve"> </w:t>
      </w:r>
    </w:p>
    <w:p>
      <w:pPr>
        <w:spacing w:line="576" w:lineRule="exact"/>
        <w:ind w:firstLine="560" w:firstLineChars="200"/>
        <w:rPr>
          <w:rFonts w:ascii="仿宋_GB2312" w:hAnsi="仿宋_GB2312" w:eastAsia="仿宋_GB2312" w:cs="仿宋_GB2312"/>
          <w:sz w:val="32"/>
          <w:szCs w:val="32"/>
        </w:rPr>
      </w:pPr>
      <w:r>
        <w:rPr>
          <w:rFonts w:hint="eastAsia" w:ascii="仿宋" w:hAnsi="仿宋" w:eastAsia="仿宋" w:cs="仿宋"/>
          <w:color w:val="000000"/>
          <w:spacing w:val="-20"/>
          <w:kern w:val="0"/>
          <w:sz w:val="32"/>
          <w:szCs w:val="32"/>
        </w:rPr>
        <w:t>全年固定资产投资入库完成2000万元，向上争取资金6857万元；</w:t>
      </w:r>
      <w:r>
        <w:rPr>
          <w:rFonts w:hint="eastAsia" w:ascii="仿宋" w:hAnsi="仿宋" w:eastAsia="仿宋" w:cs="仿宋"/>
          <w:sz w:val="32"/>
          <w:szCs w:val="32"/>
        </w:rPr>
        <w:t>全年审核及发放住房租赁补贴1500户，发放资金158万元，全年完成</w:t>
      </w:r>
      <w:r>
        <w:rPr>
          <w:rFonts w:hint="eastAsia" w:ascii="仿宋" w:hAnsi="仿宋" w:eastAsia="仿宋" w:cs="仿宋"/>
          <w:color w:val="000000"/>
          <w:spacing w:val="-20"/>
          <w:kern w:val="0"/>
          <w:sz w:val="32"/>
          <w:szCs w:val="32"/>
        </w:rPr>
        <w:t>非税收入336.68万元。</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B、2020年老旧小区改造完成情况</w:t>
      </w:r>
      <w:r>
        <w:rPr>
          <w:rFonts w:ascii="仿宋" w:hAnsi="仿宋" w:eastAsia="仿宋" w:cs="仿宋"/>
          <w:sz w:val="32"/>
          <w:szCs w:val="32"/>
        </w:rPr>
        <w:t>2020</w:t>
      </w:r>
      <w:r>
        <w:rPr>
          <w:rFonts w:hint="eastAsia" w:ascii="仿宋" w:hAnsi="仿宋" w:eastAsia="仿宋" w:cs="仿宋"/>
          <w:sz w:val="32"/>
          <w:szCs w:val="32"/>
        </w:rPr>
        <w:t>年老旧小区改造项目涉及旺苍县县城区十个社区，</w:t>
      </w:r>
      <w:r>
        <w:rPr>
          <w:rFonts w:ascii="仿宋" w:hAnsi="仿宋" w:eastAsia="仿宋" w:cs="仿宋"/>
          <w:sz w:val="32"/>
          <w:szCs w:val="32"/>
        </w:rPr>
        <w:t xml:space="preserve"> 144</w:t>
      </w:r>
      <w:r>
        <w:rPr>
          <w:rFonts w:hint="eastAsia" w:ascii="仿宋" w:hAnsi="仿宋" w:eastAsia="仿宋" w:cs="仿宋"/>
          <w:sz w:val="32"/>
          <w:szCs w:val="32"/>
        </w:rPr>
        <w:t>个老旧小区，改造总建筑面积</w:t>
      </w:r>
      <w:r>
        <w:rPr>
          <w:rFonts w:ascii="仿宋" w:hAnsi="仿宋" w:eastAsia="仿宋" w:cs="仿宋"/>
          <w:sz w:val="32"/>
          <w:szCs w:val="32"/>
        </w:rPr>
        <w:t>779400</w:t>
      </w:r>
      <w:r>
        <w:rPr>
          <w:rFonts w:hint="eastAsia" w:ascii="仿宋" w:hAnsi="仿宋" w:eastAsia="仿宋" w:cs="仿宋"/>
          <w:sz w:val="32"/>
          <w:szCs w:val="32"/>
        </w:rPr>
        <w:t>平米，</w:t>
      </w:r>
      <w:r>
        <w:rPr>
          <w:rFonts w:ascii="仿宋" w:hAnsi="仿宋" w:eastAsia="仿宋" w:cs="仿宋"/>
          <w:sz w:val="32"/>
          <w:szCs w:val="32"/>
        </w:rPr>
        <w:t>8961</w:t>
      </w:r>
      <w:r>
        <w:rPr>
          <w:rFonts w:hint="eastAsia" w:ascii="仿宋" w:hAnsi="仿宋" w:eastAsia="仿宋" w:cs="仿宋"/>
          <w:sz w:val="32"/>
          <w:szCs w:val="32"/>
        </w:rPr>
        <w:t>户</w:t>
      </w:r>
      <w:r>
        <w:rPr>
          <w:rFonts w:ascii="仿宋" w:hAnsi="仿宋" w:eastAsia="仿宋" w:cs="仿宋"/>
          <w:sz w:val="32"/>
          <w:szCs w:val="32"/>
        </w:rPr>
        <w:t>31363</w:t>
      </w:r>
      <w:r>
        <w:rPr>
          <w:rFonts w:hint="eastAsia" w:ascii="仿宋" w:hAnsi="仿宋" w:eastAsia="仿宋" w:cs="仿宋"/>
          <w:sz w:val="32"/>
          <w:szCs w:val="32"/>
        </w:rPr>
        <w:t>人，投入资金1.6亿元元。前期通过调查摸底、分类梳理情况、掌握基础数据及管理维护信息底数、电梯加装以及平安智慧小区建设等情况，逐一建立台账，已完成用地、规划、环评、设计、预算、财评等各项工作，截</w:t>
      </w:r>
      <w:r>
        <w:rPr>
          <w:rFonts w:hint="eastAsia" w:ascii="仿宋" w:hAnsi="仿宋" w:eastAsia="仿宋" w:cs="仿宋"/>
          <w:sz w:val="32"/>
          <w:szCs w:val="32"/>
          <w:lang w:eastAsia="zh-CN"/>
        </w:rPr>
        <w:t>至</w:t>
      </w:r>
      <w:r>
        <w:rPr>
          <w:rFonts w:hint="eastAsia" w:ascii="仿宋" w:hAnsi="仿宋" w:eastAsia="仿宋" w:cs="仿宋"/>
          <w:sz w:val="32"/>
          <w:szCs w:val="32"/>
        </w:rPr>
        <w:t>目前，144个老旧小区改造已全部开工建设，开工率达100</w:t>
      </w:r>
      <w:r>
        <w:rPr>
          <w:rFonts w:ascii="仿宋" w:hAnsi="仿宋" w:eastAsia="仿宋" w:cs="仿宋"/>
          <w:sz w:val="32"/>
          <w:szCs w:val="32"/>
        </w:rPr>
        <w:t>%</w:t>
      </w:r>
      <w:r>
        <w:rPr>
          <w:rFonts w:hint="eastAsia" w:ascii="仿宋" w:hAnsi="仿宋" w:eastAsia="仿宋" w:cs="仿宋"/>
          <w:sz w:val="32"/>
          <w:szCs w:val="32"/>
        </w:rPr>
        <w:t>，已有35个小区完成改造任务。</w:t>
      </w:r>
    </w:p>
    <w:p>
      <w:pPr>
        <w:widowControl/>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C、党组织活动（含纪检监察工作经费）项目绩效目标完成情况综述。项目全年预算数3.9万元，执行数为3.9万元，完成预算的100%。通过项目实施，</w:t>
      </w:r>
      <w:r>
        <w:rPr>
          <w:rFonts w:hint="eastAsia" w:ascii="仿宋" w:hAnsi="仿宋" w:eastAsia="仿宋" w:cs="仿宋"/>
          <w:kern w:val="0"/>
          <w:sz w:val="32"/>
          <w:szCs w:val="32"/>
        </w:rPr>
        <w:t>党支部坚持以习近平新时代中国特色社会主义思想为指导，深入学习党的十九大及十九届五中全会精神，以“五化”强基为基础，持续推进党支部班子建设规范化、组织生活常态化、党员管理科学化、工作保障持续化、作用发挥突出化为目标，强化党支部政治理论学习，丰富党员活动内容，认真坚持“三会一课”和主题党日活动，充分发挥党支部的战斗堡垒作用，党的建设得到进一步加强。</w:t>
      </w:r>
      <w:r>
        <w:rPr>
          <w:rFonts w:hint="eastAsia" w:ascii="仿宋" w:hAnsi="仿宋" w:eastAsia="仿宋"/>
          <w:sz w:val="32"/>
          <w:szCs w:val="32"/>
        </w:rPr>
        <w:t>扎实开展了</w:t>
      </w:r>
      <w:r>
        <w:rPr>
          <w:rFonts w:hint="eastAsia" w:ascii="仿宋" w:hAnsi="仿宋" w:eastAsia="仿宋" w:cs="仿宋"/>
          <w:sz w:val="32"/>
          <w:szCs w:val="32"/>
        </w:rPr>
        <w:t>意识形态工作，广泛开展了</w:t>
      </w:r>
      <w:r>
        <w:rPr>
          <w:rFonts w:hint="eastAsia" w:ascii="仿宋_GB2312" w:hAnsi="仿宋_GB2312" w:eastAsia="仿宋_GB2312" w:cs="仿宋_GB2312"/>
          <w:sz w:val="32"/>
          <w:szCs w:val="32"/>
        </w:rPr>
        <w:t>宣传思想、精神</w:t>
      </w:r>
      <w:r>
        <w:rPr>
          <w:rFonts w:hint="eastAsia" w:ascii="仿宋_GB2312" w:hAnsi="仿宋_GB2312" w:eastAsia="仿宋_GB2312" w:cs="仿宋_GB2312"/>
          <w:sz w:val="32"/>
          <w:szCs w:val="32"/>
          <w:lang w:eastAsia="zh-CN"/>
        </w:rPr>
        <w:t>文明</w:t>
      </w:r>
      <w:r>
        <w:rPr>
          <w:rFonts w:hint="eastAsia" w:ascii="仿宋_GB2312" w:hAnsi="仿宋_GB2312" w:eastAsia="仿宋_GB2312" w:cs="仿宋_GB2312"/>
          <w:sz w:val="32"/>
          <w:szCs w:val="32"/>
        </w:rPr>
        <w:t>和网络信访办理等工作，扎实推进学习型机关建设，增强了党员干部思想政治素质和业务水平，牢固树立“为民务实清廉”的良好形象，切实加强精神文明创建工作，积极创建省级文明单位。</w:t>
      </w:r>
    </w:p>
    <w:p>
      <w:pPr>
        <w:spacing w:line="576" w:lineRule="exact"/>
        <w:ind w:firstLine="640" w:firstLineChars="200"/>
        <w:rPr>
          <w:rFonts w:hint="eastAsia"/>
        </w:rPr>
      </w:pPr>
      <w:r>
        <w:rPr>
          <w:rFonts w:hint="eastAsia" w:ascii="仿宋" w:hAnsi="仿宋" w:eastAsia="仿宋"/>
          <w:sz w:val="32"/>
          <w:szCs w:val="32"/>
        </w:rPr>
        <w:t>D、扫黑除恶</w:t>
      </w:r>
      <w:r>
        <w:rPr>
          <w:rFonts w:hint="eastAsia" w:ascii="仿宋_GB2312" w:hAnsi="仿宋_GB2312" w:eastAsia="仿宋_GB2312" w:cs="仿宋_GB2312"/>
          <w:sz w:val="32"/>
          <w:szCs w:val="32"/>
        </w:rPr>
        <w:t>项目绩效目标完成情况综述。</w:t>
      </w:r>
      <w:r>
        <w:rPr>
          <w:rFonts w:hint="eastAsia" w:ascii="仿宋" w:hAnsi="仿宋" w:eastAsia="仿宋"/>
          <w:sz w:val="32"/>
          <w:szCs w:val="32"/>
        </w:rPr>
        <w:t xml:space="preserve"> </w:t>
      </w:r>
      <w:r>
        <w:rPr>
          <w:rFonts w:hint="eastAsia" w:ascii="仿宋_GB2312" w:hAnsi="仿宋_GB2312" w:eastAsia="仿宋_GB2312" w:cs="仿宋_GB2312"/>
          <w:sz w:val="32"/>
          <w:szCs w:val="32"/>
        </w:rPr>
        <w:t>项目全年预算数1万元，执行数为1万元，完成预算的100%</w:t>
      </w:r>
      <w:r>
        <w:rPr>
          <w:rFonts w:hint="eastAsia" w:ascii="仿宋" w:hAnsi="仿宋" w:eastAsia="仿宋"/>
          <w:sz w:val="32"/>
          <w:szCs w:val="32"/>
        </w:rPr>
        <w:t xml:space="preserve"> .</w:t>
      </w:r>
      <w:r>
        <w:rPr>
          <w:rFonts w:hint="eastAsia" w:ascii="仿宋" w:hAnsi="仿宋" w:eastAsia="仿宋" w:cs="仿宋"/>
          <w:sz w:val="32"/>
          <w:szCs w:val="32"/>
        </w:rPr>
        <w:t>严格按照省委、市委、县委的安排部署，把扫黑除恶工作纳入工作的重中之重来抓，成立了扫黑除恶专项斗争领导小组，大力开展了住房保障和房地产领域涉黑涉恶涉乱线索摸排工作，建立了线索摸排台账和整改方案，针对问题，立行立改，反馈的问题得到整改落实，扫黑除恶专项斗争取得初步成效。</w:t>
      </w:r>
      <w:r>
        <w:rPr>
          <w:rFonts w:hint="eastAsia"/>
        </w:rPr>
        <w:t xml:space="preserve">  </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该指标分值标准8分，根据指标评价标准和公式计算，综合参考2020年综合目标绩效考评结果，得分7分</w:t>
      </w:r>
    </w:p>
    <w:p>
      <w:pPr>
        <w:pStyle w:val="2"/>
        <w:spacing w:after="0" w:line="576" w:lineRule="exact"/>
        <w:ind w:firstLine="640" w:firstLineChars="200"/>
        <w:rPr>
          <w:rFonts w:ascii="楷体" w:hAnsi="楷体" w:eastAsia="楷体" w:cs="楷体"/>
        </w:rPr>
      </w:pPr>
      <w:r>
        <w:rPr>
          <w:rFonts w:hint="eastAsia" w:ascii="楷体" w:hAnsi="楷体" w:eastAsia="楷体" w:cs="楷体"/>
          <w:sz w:val="32"/>
          <w:szCs w:val="32"/>
        </w:rPr>
        <w:t>（3）编制准确</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旺苍县房地产事务中心部门年初预算数为</w:t>
      </w:r>
      <w:r>
        <w:rPr>
          <w:rFonts w:ascii="仿宋_GB2312" w:eastAsia="仿宋_GB2312"/>
          <w:sz w:val="32"/>
          <w:szCs w:val="32"/>
        </w:rPr>
        <w:t> </w:t>
      </w:r>
      <w:r>
        <w:rPr>
          <w:rFonts w:hint="eastAsia" w:ascii="仿宋_GB2312" w:eastAsia="仿宋_GB2312"/>
          <w:sz w:val="32"/>
          <w:szCs w:val="32"/>
        </w:rPr>
        <w:t>8,937.05万元，预算调整数为8,937.05万元，依据指标体系计分标准：指标得分=1-年初预算数（一上）/（财政下达数（一下）+预算调整数）基本支出资金，预决算偏差程度为0。</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该指标分值标准8分，根据指标评价标准和公式计算，参考2020年综合目标绩效考评结果，得分8分。</w:t>
      </w:r>
    </w:p>
    <w:p>
      <w:pPr>
        <w:spacing w:line="576" w:lineRule="exact"/>
        <w:ind w:firstLine="643" w:firstLineChars="200"/>
        <w:rPr>
          <w:rFonts w:hint="eastAsia" w:ascii="仿宋_GB2312" w:eastAsia="仿宋_GB2312"/>
          <w:b/>
          <w:sz w:val="32"/>
          <w:szCs w:val="32"/>
        </w:rPr>
      </w:pPr>
      <w:r>
        <w:rPr>
          <w:rFonts w:hint="eastAsia" w:ascii="仿宋_GB2312" w:eastAsia="仿宋_GB2312"/>
          <w:b/>
          <w:sz w:val="32"/>
          <w:szCs w:val="32"/>
        </w:rPr>
        <w:t>2.专项预算管理情况分析</w:t>
      </w:r>
    </w:p>
    <w:p>
      <w:pPr>
        <w:tabs>
          <w:tab w:val="left" w:pos="268"/>
        </w:tabs>
        <w:spacing w:line="576" w:lineRule="exact"/>
        <w:ind w:firstLine="640" w:firstLineChars="200"/>
        <w:rPr>
          <w:rFonts w:ascii="仿宋_GB2312" w:eastAsia="仿宋_GB2312"/>
          <w:sz w:val="32"/>
          <w:szCs w:val="32"/>
        </w:rPr>
      </w:pPr>
      <w:r>
        <w:rPr>
          <w:rFonts w:hint="eastAsia" w:ascii="楷体" w:hAnsi="楷体" w:eastAsia="楷体" w:cs="楷体"/>
          <w:sz w:val="32"/>
          <w:szCs w:val="32"/>
        </w:rPr>
        <w:t>（1）支出控制</w:t>
      </w:r>
    </w:p>
    <w:p>
      <w:pPr>
        <w:spacing w:line="576" w:lineRule="exact"/>
        <w:ind w:firstLine="640" w:firstLineChars="200"/>
        <w:rPr>
          <w:rFonts w:hint="eastAsia" w:ascii="仿宋_GB2312" w:eastAsia="仿宋_GB2312"/>
          <w:sz w:val="32"/>
          <w:szCs w:val="32"/>
        </w:rPr>
      </w:pPr>
      <w:r>
        <w:rPr>
          <w:rFonts w:ascii="仿宋_GB2312" w:eastAsia="仿宋_GB2312"/>
          <w:sz w:val="32"/>
          <w:szCs w:val="32"/>
        </w:rPr>
        <w:t>2020年，部门公用经费及非定额公用支出预算金额为</w:t>
      </w:r>
      <w:r>
        <w:rPr>
          <w:rFonts w:hint="eastAsia" w:ascii="仿宋_GB2312" w:eastAsia="仿宋_GB2312"/>
          <w:sz w:val="32"/>
          <w:szCs w:val="32"/>
        </w:rPr>
        <w:t>277.48</w:t>
      </w:r>
      <w:r>
        <w:rPr>
          <w:rFonts w:ascii="仿宋_GB2312" w:eastAsia="仿宋_GB2312"/>
          <w:sz w:val="32"/>
          <w:szCs w:val="32"/>
        </w:rPr>
        <w:t>万元，其中：日常公用经费预算数</w:t>
      </w:r>
      <w:r>
        <w:rPr>
          <w:rFonts w:ascii="仿宋_GB2312" w:eastAsia="仿宋_GB2312"/>
          <w:color w:val="000000"/>
          <w:sz w:val="32"/>
          <w:szCs w:val="32"/>
        </w:rPr>
        <w:t> </w:t>
      </w:r>
      <w:r>
        <w:rPr>
          <w:rFonts w:hint="eastAsia" w:ascii="仿宋_GB2312" w:eastAsia="仿宋_GB2312"/>
          <w:color w:val="000000"/>
          <w:sz w:val="32"/>
          <w:szCs w:val="32"/>
        </w:rPr>
        <w:t>41.76</w:t>
      </w:r>
      <w:r>
        <w:rPr>
          <w:rFonts w:ascii="仿宋_GB2312" w:eastAsia="仿宋_GB2312"/>
          <w:sz w:val="32"/>
          <w:szCs w:val="32"/>
        </w:rPr>
        <w:t>万元，项目支出中办公费、印刷费、水费、电费、物业管理费预算数分别为</w:t>
      </w:r>
      <w:r>
        <w:rPr>
          <w:rFonts w:ascii="仿宋_GB2312" w:eastAsia="仿宋_GB2312"/>
          <w:color w:val="000000"/>
          <w:sz w:val="32"/>
          <w:szCs w:val="32"/>
        </w:rPr>
        <w:t> </w:t>
      </w:r>
      <w:r>
        <w:rPr>
          <w:rFonts w:hint="eastAsia" w:ascii="仿宋_GB2312" w:eastAsia="仿宋_GB2312"/>
          <w:color w:val="000000"/>
          <w:sz w:val="32"/>
          <w:szCs w:val="32"/>
        </w:rPr>
        <w:t>0</w:t>
      </w:r>
      <w:r>
        <w:rPr>
          <w:rFonts w:ascii="仿宋_GB2312" w:eastAsia="仿宋_GB2312"/>
          <w:color w:val="000000"/>
          <w:sz w:val="32"/>
          <w:szCs w:val="32"/>
        </w:rPr>
        <w:t>万元、</w:t>
      </w:r>
      <w:r>
        <w:rPr>
          <w:rFonts w:hint="eastAsia" w:ascii="仿宋_GB2312" w:eastAsia="仿宋_GB2312"/>
          <w:color w:val="000000"/>
          <w:sz w:val="32"/>
          <w:szCs w:val="32"/>
        </w:rPr>
        <w:t>0</w:t>
      </w:r>
      <w:r>
        <w:rPr>
          <w:rFonts w:ascii="仿宋_GB2312" w:eastAsia="仿宋_GB2312"/>
          <w:color w:val="000000"/>
          <w:sz w:val="32"/>
          <w:szCs w:val="32"/>
        </w:rPr>
        <w:t>万元、</w:t>
      </w:r>
      <w:r>
        <w:rPr>
          <w:rFonts w:hint="eastAsia" w:ascii="仿宋_GB2312" w:eastAsia="仿宋_GB2312"/>
          <w:color w:val="000000"/>
          <w:sz w:val="32"/>
          <w:szCs w:val="32"/>
        </w:rPr>
        <w:t>0</w:t>
      </w:r>
      <w:r>
        <w:rPr>
          <w:rFonts w:ascii="仿宋_GB2312" w:eastAsia="仿宋_GB2312"/>
          <w:color w:val="000000"/>
          <w:sz w:val="32"/>
          <w:szCs w:val="32"/>
        </w:rPr>
        <w:t>万元、</w:t>
      </w:r>
      <w:r>
        <w:rPr>
          <w:rFonts w:hint="eastAsia" w:ascii="仿宋_GB2312" w:eastAsia="仿宋_GB2312"/>
          <w:color w:val="000000"/>
          <w:sz w:val="32"/>
          <w:szCs w:val="32"/>
        </w:rPr>
        <w:t>0</w:t>
      </w:r>
      <w:r>
        <w:rPr>
          <w:rFonts w:ascii="仿宋_GB2312" w:eastAsia="仿宋_GB2312"/>
          <w:color w:val="000000"/>
          <w:sz w:val="32"/>
          <w:szCs w:val="32"/>
        </w:rPr>
        <w:t>万元、0万元。决算金额为</w:t>
      </w:r>
      <w:r>
        <w:rPr>
          <w:rFonts w:hint="eastAsia" w:ascii="仿宋_GB2312" w:eastAsia="仿宋_GB2312"/>
          <w:color w:val="000000"/>
          <w:sz w:val="32"/>
          <w:szCs w:val="32"/>
        </w:rPr>
        <w:t>305.49</w:t>
      </w:r>
      <w:r>
        <w:rPr>
          <w:rFonts w:ascii="仿宋_GB2312" w:eastAsia="仿宋_GB2312"/>
          <w:color w:val="000000"/>
          <w:sz w:val="32"/>
          <w:szCs w:val="32"/>
        </w:rPr>
        <w:t>万</w:t>
      </w:r>
      <w:r>
        <w:rPr>
          <w:rFonts w:ascii="仿宋_GB2312" w:eastAsia="仿宋_GB2312"/>
          <w:sz w:val="32"/>
          <w:szCs w:val="32"/>
        </w:rPr>
        <w:t>元，其中：日常公用经费决算数</w:t>
      </w:r>
      <w:r>
        <w:rPr>
          <w:rFonts w:hint="eastAsia" w:ascii="仿宋_GB2312" w:eastAsia="仿宋_GB2312"/>
          <w:sz w:val="32"/>
          <w:szCs w:val="32"/>
        </w:rPr>
        <w:t>29.34</w:t>
      </w:r>
      <w:r>
        <w:rPr>
          <w:rFonts w:ascii="仿宋_GB2312" w:eastAsia="仿宋_GB2312"/>
          <w:sz w:val="32"/>
          <w:szCs w:val="32"/>
        </w:rPr>
        <w:t> 万元，项目支出中办公费、印刷费、水费、电费、物业管理费预算数分别为6.</w:t>
      </w:r>
      <w:r>
        <w:rPr>
          <w:rFonts w:hint="eastAsia" w:ascii="仿宋_GB2312" w:eastAsia="仿宋_GB2312"/>
          <w:sz w:val="32"/>
          <w:szCs w:val="32"/>
        </w:rPr>
        <w:t>57</w:t>
      </w:r>
      <w:r>
        <w:rPr>
          <w:rFonts w:ascii="仿宋_GB2312" w:eastAsia="仿宋_GB2312"/>
          <w:sz w:val="32"/>
          <w:szCs w:val="32"/>
        </w:rPr>
        <w:t>万元、 </w:t>
      </w:r>
      <w:r>
        <w:rPr>
          <w:rFonts w:hint="eastAsia" w:ascii="仿宋_GB2312" w:eastAsia="仿宋_GB2312"/>
          <w:sz w:val="32"/>
          <w:szCs w:val="32"/>
        </w:rPr>
        <w:t>2</w:t>
      </w:r>
      <w:r>
        <w:rPr>
          <w:rFonts w:ascii="仿宋_GB2312" w:eastAsia="仿宋_GB2312"/>
          <w:sz w:val="32"/>
          <w:szCs w:val="32"/>
        </w:rPr>
        <w:t>万元、</w:t>
      </w:r>
      <w:r>
        <w:rPr>
          <w:rFonts w:hint="eastAsia" w:ascii="仿宋_GB2312" w:eastAsia="仿宋_GB2312"/>
          <w:sz w:val="32"/>
          <w:szCs w:val="32"/>
        </w:rPr>
        <w:t>0</w:t>
      </w:r>
      <w:r>
        <w:rPr>
          <w:rFonts w:ascii="仿宋_GB2312" w:eastAsia="仿宋_GB2312"/>
          <w:sz w:val="32"/>
          <w:szCs w:val="32"/>
        </w:rPr>
        <w:t>万元、</w:t>
      </w:r>
      <w:r>
        <w:rPr>
          <w:rFonts w:hint="eastAsia" w:ascii="仿宋_GB2312" w:eastAsia="仿宋_GB2312"/>
          <w:sz w:val="32"/>
          <w:szCs w:val="32"/>
        </w:rPr>
        <w:t>0</w:t>
      </w:r>
      <w:r>
        <w:rPr>
          <w:rFonts w:ascii="仿宋_GB2312" w:eastAsia="仿宋_GB2312"/>
          <w:sz w:val="32"/>
          <w:szCs w:val="32"/>
        </w:rPr>
        <w:t>万元、0万元。</w:t>
      </w:r>
    </w:p>
    <w:p>
      <w:pPr>
        <w:pStyle w:val="19"/>
        <w:rPr>
          <w:rFonts w:hint="eastAsia"/>
        </w:rPr>
      </w:pPr>
      <w:r>
        <w:rPr>
          <w:rFonts w:hint="eastAsia"/>
        </w:rPr>
        <w:t>2020</w:t>
      </w:r>
      <w:r>
        <w:t>年</w:t>
      </w:r>
      <w:r>
        <w:rPr>
          <w:rFonts w:hint="eastAsia"/>
        </w:rPr>
        <w:t>旺苍县房地产事务中心部门公用经费及非定额公用支出预决算情况表</w:t>
      </w:r>
    </w:p>
    <w:p>
      <w:pPr>
        <w:pStyle w:val="19"/>
      </w:pPr>
      <w:r>
        <w:rPr>
          <w:rFonts w:hint="eastAsia"/>
        </w:rPr>
        <w:t xml:space="preserve">                                                      单位</w:t>
      </w:r>
      <w:r>
        <w:t>：万元</w:t>
      </w:r>
    </w:p>
    <w:tbl>
      <w:tblPr>
        <w:tblStyle w:val="12"/>
        <w:tblpPr w:leftFromText="180" w:rightFromText="180" w:vertAnchor="text" w:horzAnchor="margin" w:tblpY="115"/>
        <w:tblOverlap w:val="never"/>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243"/>
        <w:gridCol w:w="1121"/>
        <w:gridCol w:w="1121"/>
        <w:gridCol w:w="1121"/>
        <w:gridCol w:w="1121"/>
        <w:gridCol w:w="1123"/>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trPr>
        <w:tc>
          <w:tcPr>
            <w:tcW w:w="987" w:type="dxa"/>
            <w:vMerge w:val="restart"/>
            <w:noWrap w:val="0"/>
            <w:vAlign w:val="center"/>
          </w:tcPr>
          <w:p>
            <w:pPr>
              <w:pStyle w:val="20"/>
              <w:rPr>
                <w:color w:val="auto"/>
              </w:rPr>
            </w:pPr>
          </w:p>
        </w:tc>
        <w:tc>
          <w:tcPr>
            <w:tcW w:w="1243" w:type="dxa"/>
            <w:vMerge w:val="restart"/>
            <w:noWrap w:val="0"/>
            <w:vAlign w:val="center"/>
          </w:tcPr>
          <w:p>
            <w:pPr>
              <w:pStyle w:val="20"/>
              <w:rPr>
                <w:b/>
                <w:color w:val="auto"/>
                <w:lang w:val="en-US"/>
              </w:rPr>
            </w:pPr>
            <w:r>
              <w:rPr>
                <w:rFonts w:hint="eastAsia"/>
                <w:b/>
                <w:color w:val="auto"/>
                <w:lang w:val="en-US"/>
              </w:rPr>
              <w:t>日常公用经费</w:t>
            </w:r>
          </w:p>
        </w:tc>
        <w:tc>
          <w:tcPr>
            <w:tcW w:w="5607" w:type="dxa"/>
            <w:gridSpan w:val="5"/>
            <w:noWrap w:val="0"/>
            <w:vAlign w:val="center"/>
          </w:tcPr>
          <w:p>
            <w:pPr>
              <w:pStyle w:val="20"/>
              <w:rPr>
                <w:b/>
                <w:color w:val="auto"/>
                <w:lang w:val="en-US"/>
              </w:rPr>
            </w:pPr>
            <w:r>
              <w:rPr>
                <w:rFonts w:hint="eastAsia"/>
                <w:b/>
                <w:color w:val="auto"/>
                <w:lang w:val="en-US"/>
              </w:rPr>
              <w:t>非定额公用支出</w:t>
            </w:r>
          </w:p>
        </w:tc>
        <w:tc>
          <w:tcPr>
            <w:tcW w:w="1181" w:type="dxa"/>
            <w:vMerge w:val="restart"/>
            <w:noWrap w:val="0"/>
            <w:vAlign w:val="center"/>
          </w:tcPr>
          <w:p>
            <w:pPr>
              <w:pStyle w:val="20"/>
              <w:rPr>
                <w:b/>
                <w:color w:val="auto"/>
                <w:lang w:val="en-US"/>
              </w:rPr>
            </w:pPr>
            <w:r>
              <w:rPr>
                <w:rFonts w:hint="eastAsia"/>
                <w:b/>
                <w:color w:val="auto"/>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87" w:type="dxa"/>
            <w:vMerge w:val="continue"/>
            <w:noWrap w:val="0"/>
            <w:vAlign w:val="center"/>
          </w:tcPr>
          <w:p>
            <w:pPr>
              <w:pStyle w:val="20"/>
              <w:rPr>
                <w:color w:val="auto"/>
              </w:rPr>
            </w:pPr>
          </w:p>
        </w:tc>
        <w:tc>
          <w:tcPr>
            <w:tcW w:w="1243" w:type="dxa"/>
            <w:vMerge w:val="continue"/>
            <w:noWrap w:val="0"/>
            <w:vAlign w:val="center"/>
          </w:tcPr>
          <w:p>
            <w:pPr>
              <w:pStyle w:val="20"/>
              <w:rPr>
                <w:color w:val="auto"/>
                <w:lang w:val="en-US"/>
              </w:rPr>
            </w:pPr>
          </w:p>
        </w:tc>
        <w:tc>
          <w:tcPr>
            <w:tcW w:w="1121" w:type="dxa"/>
            <w:noWrap w:val="0"/>
            <w:vAlign w:val="center"/>
          </w:tcPr>
          <w:p>
            <w:pPr>
              <w:pStyle w:val="20"/>
              <w:rPr>
                <w:b/>
                <w:color w:val="auto"/>
                <w:lang w:val="en-US"/>
              </w:rPr>
            </w:pPr>
            <w:r>
              <w:rPr>
                <w:rFonts w:hint="eastAsia"/>
                <w:b/>
                <w:color w:val="auto"/>
                <w:lang w:val="en-US"/>
              </w:rPr>
              <w:t>办公费</w:t>
            </w:r>
          </w:p>
        </w:tc>
        <w:tc>
          <w:tcPr>
            <w:tcW w:w="1121" w:type="dxa"/>
            <w:noWrap w:val="0"/>
            <w:vAlign w:val="center"/>
          </w:tcPr>
          <w:p>
            <w:pPr>
              <w:pStyle w:val="20"/>
              <w:rPr>
                <w:b/>
                <w:color w:val="auto"/>
                <w:lang w:val="en-US"/>
              </w:rPr>
            </w:pPr>
            <w:r>
              <w:rPr>
                <w:rFonts w:hint="eastAsia"/>
                <w:b/>
                <w:color w:val="auto"/>
                <w:lang w:val="en-US"/>
              </w:rPr>
              <w:t>印刷费</w:t>
            </w:r>
          </w:p>
        </w:tc>
        <w:tc>
          <w:tcPr>
            <w:tcW w:w="1121" w:type="dxa"/>
            <w:noWrap w:val="0"/>
            <w:vAlign w:val="center"/>
          </w:tcPr>
          <w:p>
            <w:pPr>
              <w:pStyle w:val="20"/>
              <w:rPr>
                <w:b/>
                <w:color w:val="auto"/>
                <w:lang w:val="en-US"/>
              </w:rPr>
            </w:pPr>
            <w:r>
              <w:rPr>
                <w:rFonts w:hint="eastAsia"/>
                <w:b/>
                <w:color w:val="auto"/>
                <w:lang w:val="en-US"/>
              </w:rPr>
              <w:t>水费</w:t>
            </w:r>
          </w:p>
        </w:tc>
        <w:tc>
          <w:tcPr>
            <w:tcW w:w="1121" w:type="dxa"/>
            <w:noWrap w:val="0"/>
            <w:vAlign w:val="center"/>
          </w:tcPr>
          <w:p>
            <w:pPr>
              <w:pStyle w:val="20"/>
              <w:rPr>
                <w:b/>
                <w:color w:val="auto"/>
                <w:lang w:val="en-US"/>
              </w:rPr>
            </w:pPr>
            <w:r>
              <w:rPr>
                <w:rFonts w:hint="eastAsia"/>
                <w:b/>
                <w:color w:val="auto"/>
                <w:lang w:val="en-US"/>
              </w:rPr>
              <w:t>电费</w:t>
            </w:r>
          </w:p>
        </w:tc>
        <w:tc>
          <w:tcPr>
            <w:tcW w:w="1123" w:type="dxa"/>
            <w:noWrap w:val="0"/>
            <w:vAlign w:val="center"/>
          </w:tcPr>
          <w:p>
            <w:pPr>
              <w:pStyle w:val="20"/>
              <w:rPr>
                <w:rFonts w:hint="eastAsia"/>
                <w:b/>
                <w:color w:val="auto"/>
                <w:lang w:val="en-US"/>
              </w:rPr>
            </w:pPr>
            <w:r>
              <w:rPr>
                <w:rFonts w:hint="eastAsia"/>
                <w:b/>
                <w:color w:val="auto"/>
                <w:lang w:val="en-US"/>
              </w:rPr>
              <w:t>物业</w:t>
            </w:r>
          </w:p>
          <w:p>
            <w:pPr>
              <w:pStyle w:val="20"/>
              <w:rPr>
                <w:b/>
                <w:color w:val="auto"/>
                <w:lang w:val="en-US"/>
              </w:rPr>
            </w:pPr>
            <w:r>
              <w:rPr>
                <w:rFonts w:hint="eastAsia"/>
                <w:b/>
                <w:color w:val="auto"/>
                <w:lang w:val="en-US"/>
              </w:rPr>
              <w:t>管理费</w:t>
            </w:r>
          </w:p>
        </w:tc>
        <w:tc>
          <w:tcPr>
            <w:tcW w:w="1181" w:type="dxa"/>
            <w:vMerge w:val="continue"/>
            <w:noWrap w:val="0"/>
            <w:vAlign w:val="center"/>
          </w:tcPr>
          <w:p>
            <w:pPr>
              <w:pStyle w:val="20"/>
              <w:rPr>
                <w:b/>
                <w:color w:va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87" w:type="dxa"/>
            <w:noWrap w:val="0"/>
            <w:vAlign w:val="center"/>
          </w:tcPr>
          <w:p>
            <w:pPr>
              <w:pStyle w:val="20"/>
              <w:rPr>
                <w:color w:val="auto"/>
                <w:lang w:val="en-US"/>
              </w:rPr>
            </w:pPr>
            <w:r>
              <w:rPr>
                <w:rFonts w:hint="eastAsia"/>
                <w:b/>
                <w:bCs w:val="0"/>
                <w:color w:val="auto"/>
                <w:lang w:val="en-US"/>
              </w:rPr>
              <w:t>预算数</w:t>
            </w:r>
          </w:p>
        </w:tc>
        <w:tc>
          <w:tcPr>
            <w:tcW w:w="1243" w:type="dxa"/>
            <w:noWrap w:val="0"/>
            <w:vAlign w:val="center"/>
          </w:tcPr>
          <w:p>
            <w:pPr>
              <w:pStyle w:val="20"/>
              <w:rPr>
                <w:color w:val="auto"/>
                <w:lang w:val="en-US"/>
              </w:rPr>
            </w:pPr>
            <w:r>
              <w:rPr>
                <w:rFonts w:hint="eastAsia"/>
                <w:color w:val="auto"/>
                <w:lang w:val="en-US"/>
              </w:rPr>
              <w:t>41.76</w:t>
            </w:r>
          </w:p>
        </w:tc>
        <w:tc>
          <w:tcPr>
            <w:tcW w:w="1121" w:type="dxa"/>
            <w:noWrap w:val="0"/>
            <w:vAlign w:val="center"/>
          </w:tcPr>
          <w:p>
            <w:pPr>
              <w:pStyle w:val="20"/>
              <w:rPr>
                <w:rFonts w:hint="eastAsia"/>
                <w:color w:val="auto"/>
                <w:lang w:val="en-US"/>
              </w:rPr>
            </w:pPr>
            <w:r>
              <w:rPr>
                <w:rFonts w:hint="eastAsia"/>
                <w:color w:val="auto"/>
                <w:lang w:val="en-US"/>
              </w:rPr>
              <w:t>3</w:t>
            </w:r>
          </w:p>
        </w:tc>
        <w:tc>
          <w:tcPr>
            <w:tcW w:w="1121" w:type="dxa"/>
            <w:noWrap w:val="0"/>
            <w:vAlign w:val="center"/>
          </w:tcPr>
          <w:p>
            <w:pPr>
              <w:pStyle w:val="20"/>
              <w:rPr>
                <w:color w:val="auto"/>
                <w:lang w:val="en-US"/>
              </w:rPr>
            </w:pPr>
            <w:r>
              <w:rPr>
                <w:rFonts w:hint="eastAsia"/>
                <w:color w:val="auto"/>
                <w:lang w:val="en-US"/>
              </w:rPr>
              <w:t>0.8</w:t>
            </w:r>
          </w:p>
        </w:tc>
        <w:tc>
          <w:tcPr>
            <w:tcW w:w="1121" w:type="dxa"/>
            <w:noWrap w:val="0"/>
            <w:vAlign w:val="center"/>
          </w:tcPr>
          <w:p>
            <w:pPr>
              <w:pStyle w:val="20"/>
              <w:rPr>
                <w:rFonts w:hint="eastAsia"/>
                <w:color w:val="auto"/>
                <w:lang w:val="en-US"/>
              </w:rPr>
            </w:pPr>
            <w:r>
              <w:rPr>
                <w:rFonts w:hint="eastAsia"/>
                <w:color w:val="auto"/>
                <w:lang w:val="en-US"/>
              </w:rPr>
              <w:t>0.3</w:t>
            </w:r>
          </w:p>
        </w:tc>
        <w:tc>
          <w:tcPr>
            <w:tcW w:w="1121" w:type="dxa"/>
            <w:noWrap w:val="0"/>
            <w:vAlign w:val="center"/>
          </w:tcPr>
          <w:p>
            <w:pPr>
              <w:pStyle w:val="20"/>
              <w:rPr>
                <w:color w:val="auto"/>
                <w:lang w:val="en-US"/>
              </w:rPr>
            </w:pPr>
            <w:r>
              <w:rPr>
                <w:rFonts w:hint="eastAsia"/>
                <w:color w:val="auto"/>
                <w:lang w:val="en-US"/>
              </w:rPr>
              <w:t>4.0</w:t>
            </w:r>
          </w:p>
        </w:tc>
        <w:tc>
          <w:tcPr>
            <w:tcW w:w="1123" w:type="dxa"/>
            <w:noWrap w:val="0"/>
            <w:vAlign w:val="center"/>
          </w:tcPr>
          <w:p>
            <w:pPr>
              <w:pStyle w:val="20"/>
              <w:rPr>
                <w:color w:val="auto"/>
                <w:lang w:val="en-US"/>
              </w:rPr>
            </w:pPr>
            <w:r>
              <w:rPr>
                <w:rFonts w:hint="eastAsia"/>
                <w:color w:val="auto"/>
                <w:lang w:val="en-US"/>
              </w:rPr>
              <w:t>0.11</w:t>
            </w:r>
          </w:p>
        </w:tc>
        <w:tc>
          <w:tcPr>
            <w:tcW w:w="1181" w:type="dxa"/>
            <w:noWrap w:val="0"/>
            <w:vAlign w:val="center"/>
          </w:tcPr>
          <w:p>
            <w:pPr>
              <w:pStyle w:val="20"/>
              <w:rPr>
                <w:color w:val="auto"/>
                <w:lang w:val="en-US"/>
              </w:rPr>
            </w:pPr>
            <w:r>
              <w:rPr>
                <w:rFonts w:hint="eastAsia"/>
                <w:color w:val="auto"/>
                <w:lang w:val="en-US"/>
              </w:rPr>
              <w:t>277.48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87" w:type="dxa"/>
            <w:noWrap w:val="0"/>
            <w:vAlign w:val="center"/>
          </w:tcPr>
          <w:p>
            <w:pPr>
              <w:pStyle w:val="20"/>
              <w:rPr>
                <w:b/>
                <w:color w:val="auto"/>
                <w:lang w:val="en-US"/>
              </w:rPr>
            </w:pPr>
            <w:r>
              <w:rPr>
                <w:rFonts w:hint="eastAsia"/>
                <w:b/>
                <w:color w:val="auto"/>
                <w:lang w:val="en-US"/>
              </w:rPr>
              <w:t>决算数</w:t>
            </w:r>
          </w:p>
        </w:tc>
        <w:tc>
          <w:tcPr>
            <w:tcW w:w="1243" w:type="dxa"/>
            <w:noWrap w:val="0"/>
            <w:vAlign w:val="center"/>
          </w:tcPr>
          <w:p>
            <w:pPr>
              <w:pStyle w:val="20"/>
              <w:rPr>
                <w:b/>
                <w:color w:val="auto"/>
                <w:lang w:val="en-US"/>
              </w:rPr>
            </w:pPr>
            <w:r>
              <w:rPr>
                <w:rFonts w:hint="eastAsia"/>
                <w:b/>
                <w:color w:val="auto"/>
                <w:lang w:val="en-US"/>
              </w:rPr>
              <w:t>29.34</w:t>
            </w:r>
          </w:p>
        </w:tc>
        <w:tc>
          <w:tcPr>
            <w:tcW w:w="1121" w:type="dxa"/>
            <w:noWrap w:val="0"/>
            <w:vAlign w:val="center"/>
          </w:tcPr>
          <w:p>
            <w:pPr>
              <w:pStyle w:val="20"/>
              <w:rPr>
                <w:rFonts w:hint="eastAsia"/>
                <w:bCs w:val="0"/>
                <w:color w:val="auto"/>
                <w:lang w:val="en-US"/>
              </w:rPr>
            </w:pPr>
            <w:r>
              <w:rPr>
                <w:rFonts w:hint="eastAsia"/>
                <w:bCs w:val="0"/>
                <w:color w:val="auto"/>
                <w:lang w:val="en-US"/>
              </w:rPr>
              <w:t>1</w:t>
            </w:r>
          </w:p>
        </w:tc>
        <w:tc>
          <w:tcPr>
            <w:tcW w:w="1121" w:type="dxa"/>
            <w:noWrap w:val="0"/>
            <w:vAlign w:val="center"/>
          </w:tcPr>
          <w:p>
            <w:pPr>
              <w:pStyle w:val="20"/>
              <w:rPr>
                <w:bCs w:val="0"/>
                <w:color w:val="auto"/>
                <w:lang w:val="en-US"/>
              </w:rPr>
            </w:pPr>
            <w:r>
              <w:rPr>
                <w:rFonts w:hint="eastAsia"/>
                <w:bCs w:val="0"/>
                <w:color w:val="auto"/>
                <w:lang w:val="en-US"/>
              </w:rPr>
              <w:t>0.51</w:t>
            </w:r>
          </w:p>
        </w:tc>
        <w:tc>
          <w:tcPr>
            <w:tcW w:w="1121" w:type="dxa"/>
            <w:noWrap w:val="0"/>
            <w:vAlign w:val="center"/>
          </w:tcPr>
          <w:p>
            <w:pPr>
              <w:pStyle w:val="20"/>
              <w:rPr>
                <w:rFonts w:hint="eastAsia"/>
                <w:bCs w:val="0"/>
                <w:color w:val="auto"/>
                <w:lang w:val="en-US"/>
              </w:rPr>
            </w:pPr>
            <w:r>
              <w:rPr>
                <w:rFonts w:hint="eastAsia"/>
                <w:bCs w:val="0"/>
                <w:color w:val="auto"/>
                <w:lang w:val="en-US"/>
              </w:rPr>
              <w:t>0.15</w:t>
            </w:r>
          </w:p>
        </w:tc>
        <w:tc>
          <w:tcPr>
            <w:tcW w:w="1121" w:type="dxa"/>
            <w:noWrap w:val="0"/>
            <w:vAlign w:val="center"/>
          </w:tcPr>
          <w:p>
            <w:pPr>
              <w:pStyle w:val="20"/>
              <w:rPr>
                <w:bCs w:val="0"/>
                <w:color w:val="auto"/>
                <w:lang w:val="en-US"/>
              </w:rPr>
            </w:pPr>
            <w:r>
              <w:rPr>
                <w:rFonts w:hint="eastAsia"/>
                <w:bCs w:val="0"/>
                <w:color w:val="auto"/>
                <w:lang w:val="en-US"/>
              </w:rPr>
              <w:t>1.76</w:t>
            </w:r>
          </w:p>
        </w:tc>
        <w:tc>
          <w:tcPr>
            <w:tcW w:w="1123" w:type="dxa"/>
            <w:noWrap w:val="0"/>
            <w:vAlign w:val="center"/>
          </w:tcPr>
          <w:p>
            <w:pPr>
              <w:pStyle w:val="20"/>
              <w:rPr>
                <w:bCs w:val="0"/>
                <w:color w:val="auto"/>
                <w:lang w:val="en-US"/>
              </w:rPr>
            </w:pPr>
            <w:r>
              <w:rPr>
                <w:rFonts w:hint="eastAsia"/>
                <w:bCs w:val="0"/>
                <w:color w:val="auto"/>
                <w:lang w:val="en-US"/>
              </w:rPr>
              <w:t>0.11</w:t>
            </w:r>
          </w:p>
        </w:tc>
        <w:tc>
          <w:tcPr>
            <w:tcW w:w="1181" w:type="dxa"/>
            <w:noWrap w:val="0"/>
            <w:vAlign w:val="center"/>
          </w:tcPr>
          <w:p>
            <w:pPr>
              <w:pStyle w:val="20"/>
              <w:rPr>
                <w:b/>
                <w:color w:val="auto"/>
                <w:lang w:val="en-US"/>
              </w:rPr>
            </w:pPr>
            <w:r>
              <w:rPr>
                <w:rFonts w:hint="eastAsia"/>
                <w:b/>
                <w:color w:val="auto"/>
                <w:lang w:val="en-US"/>
              </w:rPr>
              <w:t>305.49</w:t>
            </w:r>
          </w:p>
        </w:tc>
      </w:tr>
    </w:tbl>
    <w:p>
      <w:pPr>
        <w:spacing w:line="560" w:lineRule="exact"/>
        <w:ind w:firstLine="640" w:firstLineChars="200"/>
        <w:rPr>
          <w:rFonts w:hint="eastAsia" w:ascii="仿宋_GB2312" w:eastAsia="仿宋_GB2312"/>
          <w:sz w:val="32"/>
          <w:szCs w:val="32"/>
        </w:rPr>
      </w:pP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该指标分值标准8分，</w:t>
      </w:r>
      <w:r>
        <w:rPr>
          <w:rFonts w:hint="eastAsia" w:ascii="仿宋_GB2312" w:eastAsia="仿宋_GB2312"/>
          <w:color w:val="000000"/>
          <w:sz w:val="32"/>
          <w:szCs w:val="32"/>
        </w:rPr>
        <w:t>根据指标评价标准和公式计算，预决算偏差程度超过10.1%，</w:t>
      </w:r>
      <w:r>
        <w:rPr>
          <w:rFonts w:hint="eastAsia" w:ascii="仿宋_GB2312" w:eastAsia="仿宋_GB2312"/>
          <w:sz w:val="32"/>
          <w:szCs w:val="32"/>
        </w:rPr>
        <w:t>参考2020年综合目标绩效考评结果，得分3分。</w:t>
      </w:r>
    </w:p>
    <w:p>
      <w:pPr>
        <w:spacing w:line="576"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（2）动态调整</w:t>
      </w:r>
    </w:p>
    <w:p>
      <w:pPr>
        <w:pStyle w:val="2"/>
        <w:spacing w:after="0" w:line="576" w:lineRule="exact"/>
        <w:ind w:firstLine="640" w:firstLineChars="200"/>
        <w:rPr>
          <w:rFonts w:hint="eastAsia" w:ascii="仿宋_GB2312" w:eastAsia="仿宋_GB2312"/>
          <w:sz w:val="32"/>
          <w:szCs w:val="32"/>
        </w:rPr>
      </w:pPr>
      <w:r>
        <w:rPr>
          <w:rFonts w:hint="eastAsia" w:ascii="仿宋_GB2312" w:eastAsia="仿宋_GB2312"/>
          <w:sz w:val="32"/>
          <w:szCs w:val="32"/>
        </w:rPr>
        <w:t>2020年，县房地产事务中心绩效监控调整取消额为0元，预算结余注销额为0万元。</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该指标分值标准6分，根据指标评价标准和公式计算，得分6分。</w:t>
      </w:r>
    </w:p>
    <w:p>
      <w:pPr>
        <w:pStyle w:val="2"/>
        <w:spacing w:after="0" w:line="576"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（3）执行进度</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根据《旺苍县2021年度部门整体支出绩效评价指标体系》，部门预算执行进度在6、9、11月应达到序时进度的80%、90%、90%，即实际支出进度分别达到6.21%、8.20%、29.41%。旺苍县房地产事务中心2020年1-6月预算数7419.38万元，执行数554.94万元，执行进度11.93%；1-9月预算数6835.38万元，执行数732.59万元，执行进度10.72%；1-11月预算数8794.66万元，执行数2628.57万元，执行进度29.89</w:t>
      </w:r>
      <w:r>
        <w:rPr>
          <w:rFonts w:hint="eastAsia" w:ascii="仿宋_GB2312" w:hAnsi="仿宋_GB2312" w:eastAsia="仿宋_GB2312" w:cs="仿宋_GB2312"/>
          <w:color w:val="000000"/>
          <w:sz w:val="32"/>
          <w:szCs w:val="32"/>
        </w:rPr>
        <w:t>%</w:t>
      </w:r>
      <w:r>
        <w:rPr>
          <w:rFonts w:hint="eastAsia" w:ascii="仿宋_GB2312" w:eastAsia="仿宋_GB2312"/>
          <w:color w:val="000000"/>
          <w:sz w:val="32"/>
          <w:szCs w:val="32"/>
        </w:rPr>
        <w:t>。各阶段预算执行进度均未达到目标要求。</w:t>
      </w:r>
    </w:p>
    <w:p>
      <w:pPr>
        <w:pStyle w:val="19"/>
        <w:rPr>
          <w:color w:val="000000"/>
        </w:rPr>
      </w:pPr>
      <w:r>
        <w:rPr>
          <w:rFonts w:hint="eastAsia"/>
          <w:color w:val="000000"/>
        </w:rPr>
        <w:t>2020</w:t>
      </w:r>
      <w:r>
        <w:rPr>
          <w:color w:val="000000"/>
        </w:rPr>
        <w:t>年</w:t>
      </w:r>
      <w:r>
        <w:rPr>
          <w:rFonts w:hint="eastAsia"/>
          <w:color w:val="000000"/>
        </w:rPr>
        <w:t>旺苍县房地产事务中心部门预算执行进度表</w:t>
      </w:r>
    </w:p>
    <w:p>
      <w:pPr>
        <w:pStyle w:val="19"/>
        <w:jc w:val="right"/>
        <w:rPr>
          <w:color w:val="000000"/>
        </w:rPr>
      </w:pPr>
      <w:r>
        <w:rPr>
          <w:rFonts w:hint="eastAsia"/>
          <w:color w:val="000000"/>
        </w:rPr>
        <w:t>单位</w:t>
      </w:r>
      <w:r>
        <w:rPr>
          <w:color w:val="000000"/>
        </w:rPr>
        <w:t>：万元</w:t>
      </w:r>
    </w:p>
    <w:tbl>
      <w:tblPr>
        <w:tblStyle w:val="12"/>
        <w:tblpPr w:leftFromText="180" w:rightFromText="180" w:vertAnchor="text" w:horzAnchor="page" w:tblpX="2136" w:tblpY="213"/>
        <w:tblOverlap w:val="never"/>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216"/>
        <w:gridCol w:w="2216"/>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51" w:type="dxa"/>
            <w:noWrap w:val="0"/>
            <w:vAlign w:val="center"/>
          </w:tcPr>
          <w:p>
            <w:pPr>
              <w:pStyle w:val="20"/>
              <w:rPr>
                <w:lang w:val="en-US"/>
              </w:rPr>
            </w:pPr>
            <w:r>
              <w:rPr>
                <w:rFonts w:hint="eastAsia"/>
                <w:b/>
                <w:bCs w:val="0"/>
                <w:lang w:val="en-US"/>
              </w:rPr>
              <w:t>月份</w:t>
            </w:r>
          </w:p>
        </w:tc>
        <w:tc>
          <w:tcPr>
            <w:tcW w:w="2216" w:type="dxa"/>
            <w:noWrap w:val="0"/>
            <w:vAlign w:val="center"/>
          </w:tcPr>
          <w:p>
            <w:pPr>
              <w:pStyle w:val="20"/>
              <w:rPr>
                <w:lang w:val="en-US"/>
              </w:rPr>
            </w:pPr>
            <w:r>
              <w:rPr>
                <w:rFonts w:hint="eastAsia"/>
                <w:lang w:val="en-US"/>
              </w:rPr>
              <w:t>预算数</w:t>
            </w:r>
          </w:p>
        </w:tc>
        <w:tc>
          <w:tcPr>
            <w:tcW w:w="2216" w:type="dxa"/>
            <w:noWrap w:val="0"/>
            <w:vAlign w:val="center"/>
          </w:tcPr>
          <w:p>
            <w:pPr>
              <w:pStyle w:val="20"/>
              <w:rPr>
                <w:lang w:val="en-US"/>
              </w:rPr>
            </w:pPr>
            <w:r>
              <w:rPr>
                <w:rFonts w:hint="eastAsia"/>
                <w:lang w:val="en-US"/>
              </w:rPr>
              <w:t>执行数</w:t>
            </w:r>
          </w:p>
        </w:tc>
        <w:tc>
          <w:tcPr>
            <w:tcW w:w="2216" w:type="dxa"/>
            <w:noWrap w:val="0"/>
            <w:vAlign w:val="center"/>
          </w:tcPr>
          <w:p>
            <w:pPr>
              <w:pStyle w:val="20"/>
              <w:rPr>
                <w:lang w:val="en-US"/>
              </w:rPr>
            </w:pPr>
            <w:r>
              <w:rPr>
                <w:rFonts w:hint="eastAsia"/>
                <w:lang w:val="en-US"/>
              </w:rPr>
              <w:t>实际支付进度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51" w:type="dxa"/>
            <w:noWrap w:val="0"/>
            <w:vAlign w:val="center"/>
          </w:tcPr>
          <w:p>
            <w:pPr>
              <w:pStyle w:val="20"/>
              <w:rPr>
                <w:b/>
                <w:lang w:val="en-US"/>
              </w:rPr>
            </w:pPr>
            <w:r>
              <w:rPr>
                <w:rFonts w:hint="eastAsia"/>
                <w:b/>
                <w:lang w:val="en-US"/>
              </w:rPr>
              <w:t>1-6月</w:t>
            </w:r>
          </w:p>
        </w:tc>
        <w:tc>
          <w:tcPr>
            <w:tcW w:w="2216" w:type="dxa"/>
            <w:noWrap w:val="0"/>
            <w:vAlign w:val="center"/>
          </w:tcPr>
          <w:p>
            <w:pPr>
              <w:pStyle w:val="20"/>
              <w:rPr>
                <w:bCs w:val="0"/>
                <w:lang w:val="en-US"/>
              </w:rPr>
            </w:pPr>
            <w:r>
              <w:rPr>
                <w:rFonts w:hint="eastAsia"/>
                <w:bCs w:val="0"/>
                <w:lang w:val="en-US"/>
              </w:rPr>
              <w:t>7419.38</w:t>
            </w:r>
          </w:p>
        </w:tc>
        <w:tc>
          <w:tcPr>
            <w:tcW w:w="2216" w:type="dxa"/>
            <w:noWrap w:val="0"/>
            <w:vAlign w:val="center"/>
          </w:tcPr>
          <w:p>
            <w:pPr>
              <w:pStyle w:val="20"/>
              <w:rPr>
                <w:bCs w:val="0"/>
                <w:lang w:val="en-US"/>
              </w:rPr>
            </w:pPr>
            <w:r>
              <w:rPr>
                <w:rFonts w:hint="eastAsia"/>
                <w:bCs w:val="0"/>
                <w:lang w:val="en-US"/>
              </w:rPr>
              <w:t>554.94</w:t>
            </w:r>
          </w:p>
        </w:tc>
        <w:tc>
          <w:tcPr>
            <w:tcW w:w="2216" w:type="dxa"/>
            <w:noWrap w:val="0"/>
            <w:vAlign w:val="center"/>
          </w:tcPr>
          <w:p>
            <w:pPr>
              <w:pStyle w:val="20"/>
              <w:rPr>
                <w:bCs w:val="0"/>
                <w:lang w:val="en-US"/>
              </w:rPr>
            </w:pPr>
            <w:r>
              <w:rPr>
                <w:rFonts w:hint="eastAsia"/>
                <w:bCs w:val="0"/>
                <w:lang w:val="en-US"/>
              </w:rPr>
              <w:t>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51" w:type="dxa"/>
            <w:noWrap w:val="0"/>
            <w:vAlign w:val="center"/>
          </w:tcPr>
          <w:p>
            <w:pPr>
              <w:pStyle w:val="20"/>
              <w:rPr>
                <w:b/>
                <w:lang w:val="en-US"/>
              </w:rPr>
            </w:pPr>
            <w:r>
              <w:rPr>
                <w:rFonts w:hint="eastAsia"/>
                <w:b/>
                <w:lang w:val="en-US"/>
              </w:rPr>
              <w:t>1-9月</w:t>
            </w:r>
          </w:p>
        </w:tc>
        <w:tc>
          <w:tcPr>
            <w:tcW w:w="2216" w:type="dxa"/>
            <w:noWrap w:val="0"/>
            <w:vAlign w:val="center"/>
          </w:tcPr>
          <w:p>
            <w:pPr>
              <w:pStyle w:val="20"/>
              <w:rPr>
                <w:bCs w:val="0"/>
                <w:lang w:val="en-US"/>
              </w:rPr>
            </w:pPr>
            <w:r>
              <w:rPr>
                <w:rFonts w:hint="eastAsia"/>
                <w:bCs w:val="0"/>
                <w:lang w:val="en-US"/>
              </w:rPr>
              <w:t>6835.38</w:t>
            </w:r>
          </w:p>
        </w:tc>
        <w:tc>
          <w:tcPr>
            <w:tcW w:w="2216" w:type="dxa"/>
            <w:noWrap w:val="0"/>
            <w:vAlign w:val="center"/>
          </w:tcPr>
          <w:p>
            <w:pPr>
              <w:pStyle w:val="20"/>
              <w:rPr>
                <w:bCs w:val="0"/>
                <w:lang w:val="en-US"/>
              </w:rPr>
            </w:pPr>
            <w:r>
              <w:rPr>
                <w:rFonts w:hint="eastAsia"/>
                <w:bCs w:val="0"/>
                <w:lang w:val="en-US"/>
              </w:rPr>
              <w:t>732.59</w:t>
            </w:r>
          </w:p>
        </w:tc>
        <w:tc>
          <w:tcPr>
            <w:tcW w:w="2216" w:type="dxa"/>
            <w:noWrap w:val="0"/>
            <w:vAlign w:val="center"/>
          </w:tcPr>
          <w:p>
            <w:pPr>
              <w:pStyle w:val="20"/>
              <w:rPr>
                <w:bCs w:val="0"/>
                <w:lang w:val="en-US"/>
              </w:rPr>
            </w:pPr>
            <w:r>
              <w:rPr>
                <w:rFonts w:hint="eastAsia"/>
                <w:bCs w:val="0"/>
                <w:lang w:val="en-US"/>
              </w:rPr>
              <w:t>10.72%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51" w:type="dxa"/>
            <w:noWrap w:val="0"/>
            <w:vAlign w:val="center"/>
          </w:tcPr>
          <w:p>
            <w:pPr>
              <w:pStyle w:val="20"/>
              <w:rPr>
                <w:b/>
                <w:lang w:val="en-US"/>
              </w:rPr>
            </w:pPr>
            <w:r>
              <w:rPr>
                <w:rFonts w:hint="eastAsia"/>
                <w:b/>
                <w:lang w:val="en-US"/>
              </w:rPr>
              <w:t>1-11月</w:t>
            </w:r>
          </w:p>
        </w:tc>
        <w:tc>
          <w:tcPr>
            <w:tcW w:w="2216" w:type="dxa"/>
            <w:noWrap w:val="0"/>
            <w:vAlign w:val="center"/>
          </w:tcPr>
          <w:p>
            <w:pPr>
              <w:pStyle w:val="20"/>
              <w:rPr>
                <w:bCs w:val="0"/>
                <w:lang w:val="en-US"/>
              </w:rPr>
            </w:pPr>
            <w:r>
              <w:rPr>
                <w:rFonts w:hint="eastAsia"/>
                <w:bCs w:val="0"/>
                <w:lang w:val="en-US"/>
              </w:rPr>
              <w:t>8794.66</w:t>
            </w:r>
          </w:p>
        </w:tc>
        <w:tc>
          <w:tcPr>
            <w:tcW w:w="2216" w:type="dxa"/>
            <w:noWrap w:val="0"/>
            <w:vAlign w:val="center"/>
          </w:tcPr>
          <w:p>
            <w:pPr>
              <w:pStyle w:val="20"/>
              <w:rPr>
                <w:bCs w:val="0"/>
                <w:lang w:val="en-US"/>
              </w:rPr>
            </w:pPr>
            <w:r>
              <w:rPr>
                <w:rFonts w:hint="eastAsia"/>
                <w:bCs w:val="0"/>
                <w:lang w:val="en-US"/>
              </w:rPr>
              <w:t>2628.57</w:t>
            </w:r>
          </w:p>
        </w:tc>
        <w:tc>
          <w:tcPr>
            <w:tcW w:w="2216" w:type="dxa"/>
            <w:noWrap w:val="0"/>
            <w:vAlign w:val="center"/>
          </w:tcPr>
          <w:p>
            <w:pPr>
              <w:pStyle w:val="20"/>
              <w:rPr>
                <w:bCs w:val="0"/>
                <w:lang w:val="en-US"/>
              </w:rPr>
            </w:pPr>
            <w:r>
              <w:rPr>
                <w:rFonts w:hint="eastAsia"/>
                <w:bCs w:val="0"/>
                <w:lang w:val="en-US"/>
              </w:rPr>
              <w:t>29.89%</w:t>
            </w:r>
          </w:p>
        </w:tc>
      </w:tr>
    </w:tbl>
    <w:p>
      <w:pPr>
        <w:pStyle w:val="19"/>
        <w:ind w:firstLine="482" w:firstLineChars="200"/>
        <w:jc w:val="right"/>
        <w:rPr>
          <w:color w:val="000000"/>
        </w:rPr>
      </w:pP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该指标分值标准6分，根据指标评价标准和公式计算，得3分。</w:t>
      </w:r>
    </w:p>
    <w:p>
      <w:pPr>
        <w:spacing w:line="576"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3.完成结果</w:t>
      </w:r>
    </w:p>
    <w:p>
      <w:pPr>
        <w:spacing w:line="576"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（1）预算完成</w:t>
      </w:r>
    </w:p>
    <w:p>
      <w:pPr>
        <w:pStyle w:val="2"/>
        <w:spacing w:after="0" w:line="576" w:lineRule="exact"/>
        <w:ind w:firstLine="640" w:firstLineChars="200"/>
        <w:rPr>
          <w:rFonts w:hint="eastAsia" w:ascii="仿宋_GB2312" w:eastAsia="仿宋_GB2312"/>
          <w:sz w:val="32"/>
          <w:szCs w:val="32"/>
        </w:rPr>
      </w:pPr>
      <w:r>
        <w:rPr>
          <w:rFonts w:hint="eastAsia" w:ascii="仿宋_GB2312" w:eastAsia="仿宋_GB2312"/>
          <w:sz w:val="32"/>
          <w:szCs w:val="32"/>
        </w:rPr>
        <w:t>县房地产事务中心2020年部门财政收入预算</w:t>
      </w:r>
      <w:r>
        <w:rPr>
          <w:rFonts w:hint="eastAsia" w:eastAsia="仿宋_GB2312"/>
          <w:sz w:val="32"/>
          <w:szCs w:val="32"/>
        </w:rPr>
        <w:t> </w:t>
      </w:r>
      <w:r>
        <w:rPr>
          <w:rFonts w:hint="eastAsia" w:ascii="仿宋_GB2312" w:eastAsia="仿宋_GB2312"/>
          <w:sz w:val="32"/>
          <w:szCs w:val="32"/>
        </w:rPr>
        <w:t>8,937.05万元，全年实际执行2,959.26万元，执行进度</w:t>
      </w:r>
      <w:r>
        <w:rPr>
          <w:rFonts w:hint="eastAsia" w:ascii="仿宋_GB2312" w:hAnsi="仿宋_GB2312" w:eastAsia="仿宋_GB2312" w:cs="仿宋_GB2312"/>
          <w:sz w:val="32"/>
          <w:szCs w:val="32"/>
        </w:rPr>
        <w:t>33.11%</w:t>
      </w:r>
      <w:r>
        <w:rPr>
          <w:rFonts w:hint="eastAsia" w:ascii="仿宋_GB2312" w:eastAsia="仿宋_GB2312"/>
          <w:sz w:val="32"/>
          <w:szCs w:val="32"/>
        </w:rPr>
        <w:t>。</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该指标分值标准3分，根据指标评价标准和公式计算，得分2分。</w:t>
      </w:r>
    </w:p>
    <w:p>
      <w:pPr>
        <w:spacing w:line="576" w:lineRule="exact"/>
        <w:ind w:firstLine="643" w:firstLineChars="200"/>
        <w:rPr>
          <w:rFonts w:hint="eastAsia" w:ascii="仿宋_GB2312" w:eastAsia="仿宋_GB2312"/>
          <w:b/>
          <w:sz w:val="32"/>
          <w:szCs w:val="32"/>
        </w:rPr>
      </w:pPr>
      <w:r>
        <w:rPr>
          <w:rFonts w:hint="eastAsia" w:ascii="仿宋_GB2312" w:eastAsia="仿宋_GB2312"/>
          <w:b/>
          <w:sz w:val="32"/>
          <w:szCs w:val="32"/>
        </w:rPr>
        <w:t>3.绩效结果应用分析</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（1）自评质量</w:t>
      </w:r>
    </w:p>
    <w:p>
      <w:pPr>
        <w:pStyle w:val="2"/>
        <w:spacing w:after="0" w:line="576" w:lineRule="exact"/>
        <w:ind w:firstLine="640" w:firstLineChars="200"/>
        <w:rPr>
          <w:rFonts w:hint="eastAsia" w:ascii="仿宋_GB2312" w:eastAsia="仿宋_GB2312"/>
          <w:sz w:val="32"/>
          <w:szCs w:val="32"/>
        </w:rPr>
      </w:pPr>
      <w:r>
        <w:rPr>
          <w:rFonts w:hint="eastAsia" w:ascii="仿宋_GB2312" w:eastAsia="仿宋_GB2312"/>
          <w:sz w:val="32"/>
          <w:szCs w:val="32"/>
        </w:rPr>
        <w:t>县房地产事务中心2020年部门整体支出绩效自评得分84分。根据现场评价情况，评价组对县房地产事务中心的考评得分为76.5分。</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（2）信息公开</w:t>
      </w:r>
    </w:p>
    <w:p>
      <w:pPr>
        <w:pStyle w:val="2"/>
        <w:spacing w:after="0" w:line="576" w:lineRule="exact"/>
        <w:ind w:firstLine="640" w:firstLineChars="200"/>
        <w:rPr>
          <w:rFonts w:hint="eastAsia" w:ascii="仿宋_GB2312" w:eastAsia="仿宋_GB2312"/>
          <w:sz w:val="32"/>
          <w:szCs w:val="32"/>
        </w:rPr>
      </w:pPr>
      <w:r>
        <w:rPr>
          <w:rFonts w:hint="eastAsia" w:ascii="仿宋_GB2312" w:eastAsia="仿宋_GB2312"/>
          <w:sz w:val="32"/>
          <w:szCs w:val="32"/>
        </w:rPr>
        <w:t>按照财政局要求，县房地产事务中心绩效目标说明已按要求随部门预算在政府网站向社会公开。</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该指标分值标准4分，根据指标评价标准和公式计算，得分4分。</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（3）自评公开</w:t>
      </w:r>
    </w:p>
    <w:p>
      <w:pPr>
        <w:pStyle w:val="2"/>
        <w:spacing w:after="0" w:line="576" w:lineRule="exact"/>
        <w:ind w:firstLine="640" w:firstLineChars="200"/>
        <w:rPr>
          <w:rFonts w:hint="eastAsia" w:ascii="仿宋_GB2312" w:eastAsia="仿宋_GB2312"/>
          <w:sz w:val="32"/>
          <w:szCs w:val="32"/>
        </w:rPr>
      </w:pPr>
      <w:r>
        <w:rPr>
          <w:rFonts w:hint="eastAsia" w:ascii="仿宋_GB2312" w:eastAsia="仿宋_GB2312"/>
          <w:sz w:val="32"/>
          <w:szCs w:val="32"/>
        </w:rPr>
        <w:t xml:space="preserve">按照财政局要求，县房地产事务中心并将部门整体绩效自评情况和自行组织的评价情况随同决算公开。 </w:t>
      </w:r>
    </w:p>
    <w:p>
      <w:pPr>
        <w:pStyle w:val="2"/>
        <w:spacing w:after="0"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该指标分值标准4分，根据指标评价标准和公式计算，得分4分。</w:t>
      </w:r>
    </w:p>
    <w:p>
      <w:pPr>
        <w:pStyle w:val="2"/>
        <w:spacing w:after="0" w:line="576" w:lineRule="exact"/>
        <w:ind w:firstLine="640" w:firstLineChars="200"/>
        <w:rPr>
          <w:rFonts w:hint="eastAsia" w:ascii="仿宋_GB2312" w:eastAsia="仿宋_GB2312"/>
          <w:sz w:val="32"/>
          <w:szCs w:val="32"/>
        </w:rPr>
      </w:pPr>
      <w:r>
        <w:rPr>
          <w:rFonts w:hint="eastAsia" w:ascii="仿宋_GB2312" w:eastAsia="仿宋_GB2312"/>
          <w:sz w:val="32"/>
          <w:szCs w:val="32"/>
        </w:rPr>
        <w:t>（4）整改反馈</w:t>
      </w:r>
    </w:p>
    <w:p>
      <w:pPr>
        <w:pStyle w:val="2"/>
        <w:spacing w:after="0" w:line="576" w:lineRule="exact"/>
        <w:ind w:firstLine="640" w:firstLineChars="200"/>
        <w:rPr>
          <w:rFonts w:hint="eastAsia" w:ascii="仿宋_GB2312" w:eastAsia="仿宋_GB2312"/>
          <w:sz w:val="32"/>
          <w:szCs w:val="32"/>
        </w:rPr>
      </w:pPr>
      <w:r>
        <w:rPr>
          <w:rFonts w:hint="eastAsia" w:ascii="仿宋_GB2312" w:eastAsia="仿宋_GB2312"/>
          <w:sz w:val="32"/>
          <w:szCs w:val="32"/>
        </w:rPr>
        <w:t>县房地产事务中心按照《旺苍县财政局关于“三公”经费、违纪违规乱发钱物等专项检查发现问题的整改通知》（旺财办〔2020〕46号）要求按时将整改报告报送财政局，并整改到位，不扣分。做到了按时向财政部门报送相应绩效自评报告，不扣分。</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该指标分值标准4分，根据指标评价标准和公式计算，得分4分。</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四、存在的主要问题</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预算管理方面，预算编制不够细化，不够准确，年初预算与预算调整数偏差过大，说明旺苍县房地产事务中心对预算需求调查不够充分，应用绩效监控结果指导预算调整的情况欠佳，绩效监控调整作用较弱，动态管理不够到位。</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rPr>
        <w:t xml:space="preserve"> </w:t>
      </w:r>
      <w:r>
        <w:rPr>
          <w:rFonts w:hint="eastAsia" w:ascii="仿宋_GB2312" w:eastAsia="仿宋_GB2312"/>
          <w:color w:val="000000"/>
          <w:sz w:val="32"/>
          <w:szCs w:val="32"/>
        </w:rPr>
        <w:t>绩效管理方面，预算管理制度存在缺陷，不够完善，绩效管理人员经验不够丰富。</w:t>
      </w:r>
    </w:p>
    <w:p>
      <w:pPr>
        <w:spacing w:line="576" w:lineRule="exact"/>
        <w:ind w:firstLine="640" w:firstLineChars="200"/>
        <w:rPr>
          <w:rFonts w:hint="eastAsia" w:ascii="仿宋_GB2312" w:hAnsi="黑体" w:eastAsia="仿宋_GB2312"/>
          <w:color w:val="000000"/>
          <w:sz w:val="32"/>
          <w:szCs w:val="32"/>
        </w:rPr>
      </w:pPr>
      <w:r>
        <w:rPr>
          <w:rFonts w:hint="eastAsia" w:ascii="仿宋_GB2312" w:eastAsia="仿宋_GB2312"/>
          <w:color w:val="000000"/>
          <w:sz w:val="32"/>
          <w:szCs w:val="32"/>
        </w:rPr>
        <w:t>3.执行进度方面，预算执行进度及完成情况较差，根据</w:t>
      </w:r>
      <w:r>
        <w:rPr>
          <w:rFonts w:hint="eastAsia" w:ascii="仿宋_GB2312" w:eastAsia="仿宋_GB2312"/>
          <w:sz w:val="32"/>
          <w:szCs w:val="32"/>
        </w:rPr>
        <w:t>根据《旺苍县2021年度部门整体支出绩效评价指标体系》，部门预算执行进度在6、9、11月应达到序时进度的80%、90%、90%，即实际支出进度分别达到</w:t>
      </w:r>
      <w:r>
        <w:rPr>
          <w:rFonts w:hint="eastAsia" w:ascii="仿宋_GB2312" w:eastAsia="仿宋_GB2312"/>
          <w:color w:val="000000"/>
          <w:sz w:val="32"/>
          <w:szCs w:val="32"/>
        </w:rPr>
        <w:t>11.93%、10.72%、29.89%</w:t>
      </w:r>
      <w:r>
        <w:rPr>
          <w:rFonts w:hint="eastAsia" w:ascii="仿宋_GB2312" w:eastAsia="仿宋_GB2312"/>
          <w:sz w:val="32"/>
          <w:szCs w:val="32"/>
        </w:rPr>
        <w:t>。经评价，旺苍县房地产事务中心上诉三个阶段的预算执行均未达标，分别为</w:t>
      </w:r>
      <w:r>
        <w:rPr>
          <w:rFonts w:hint="eastAsia" w:ascii="仿宋_GB2312" w:eastAsia="仿宋_GB2312"/>
          <w:color w:val="000000"/>
          <w:sz w:val="32"/>
          <w:szCs w:val="32"/>
        </w:rPr>
        <w:t>11.93%、10.72%、29.89%</w:t>
      </w:r>
      <w:r>
        <w:rPr>
          <w:rFonts w:hint="eastAsia" w:ascii="仿宋_GB2312" w:eastAsia="仿宋_GB2312"/>
          <w:sz w:val="32"/>
          <w:szCs w:val="32"/>
        </w:rPr>
        <w:t>；缺乏对预算资金支出的总体计划安排、预算执行进度和全年完全情况均较差。</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五、整改措施及建议</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 进一步细化、量化预算编制工作，财务部门应于各业务部门深度衔接、紧密配合，在项目实施前，结合自身业务特性，设置科学合理、针对性强、便于考核的绩效目标。建议加强项目实施过程控制、建立绩效目标动态管理机制，对于无法完成或前期目标设置不合理的项目及时修正，动态掌握绩效目标的实时完成情况。</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2．加强预算绩效管理人员培训，营造“花钱必问效，无效必问责”的绩效管理常态，不断完善预算绩效管理制度，积极提升财政资金配置效率和资金使用效率。</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提高预算管理水平，加快支出执行进度。一是充分了解预算需求，合理安排支出结构，提高预算编制的准确度。同时积极应用绩效监控结果指导预算调整，提高预算编制与预算执行的一致性，强化预算精细化管理水平，二是建议旺苍县房地产事务中心做好预算支出总体安排，建立和完善预算执行情况的分析，监督和信息反馈机制，加快预算执行进度。</w:t>
      </w:r>
    </w:p>
    <w:p>
      <w:pPr>
        <w:rPr>
          <w:rFonts w:hint="eastAsia"/>
        </w:rPr>
      </w:pPr>
      <w:r>
        <w:rPr>
          <w:rFonts w:hint="eastAsia"/>
        </w:rPr>
        <w:br w:type="page"/>
      </w:r>
    </w:p>
    <w:p>
      <w:pPr>
        <w:adjustRightInd w:val="0"/>
        <w:snapToGrid w:val="0"/>
        <w:spacing w:line="240" w:lineRule="atLeast"/>
        <w:jc w:val="center"/>
        <w:rPr>
          <w:rFonts w:ascii="方正小标宋简体" w:hAnsi="华文中宋" w:eastAsia="方正小标宋简体"/>
          <w:b/>
          <w:bCs w:val="0"/>
          <w:sz w:val="52"/>
          <w:szCs w:val="52"/>
        </w:rPr>
      </w:pPr>
      <w:r>
        <w:rPr>
          <w:rFonts w:hint="eastAsia" w:ascii="方正小标宋简体" w:hAnsi="华文中宋" w:eastAsia="方正小标宋简体"/>
          <w:b/>
          <w:bCs w:val="0"/>
          <w:sz w:val="52"/>
          <w:szCs w:val="52"/>
          <w:lang w:val="en-US" w:eastAsia="zh-CN"/>
        </w:rPr>
        <w:t>旺苍县</w:t>
      </w:r>
      <w:r>
        <w:rPr>
          <w:rFonts w:hint="eastAsia" w:ascii="方正小标宋简体" w:hAnsi="华文中宋" w:eastAsia="方正小标宋简体"/>
          <w:b/>
          <w:bCs w:val="0"/>
          <w:sz w:val="52"/>
          <w:szCs w:val="52"/>
          <w:lang w:eastAsia="zh-CN"/>
        </w:rPr>
        <w:t>经合中心</w:t>
      </w:r>
      <w:r>
        <w:rPr>
          <w:rFonts w:hint="eastAsia" w:ascii="方正小标宋简体" w:hAnsi="华文中宋" w:eastAsia="方正小标宋简体"/>
          <w:b/>
          <w:bCs w:val="0"/>
          <w:sz w:val="52"/>
          <w:szCs w:val="52"/>
        </w:rPr>
        <w:t>部门整体支出</w:t>
      </w: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绩</w:t>
      </w: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效</w:t>
      </w: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评</w:t>
      </w: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价</w:t>
      </w: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报</w:t>
      </w: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告</w:t>
      </w: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adjustRightInd w:val="0"/>
        <w:snapToGrid w:val="0"/>
        <w:spacing w:line="240" w:lineRule="atLeast"/>
        <w:ind w:left="105" w:leftChars="50" w:firstLine="370" w:firstLineChars="103"/>
        <w:jc w:val="center"/>
        <w:rPr>
          <w:rFonts w:ascii="楷体" w:hAnsi="楷体" w:eastAsia="楷体" w:cs="楷体"/>
          <w:bCs/>
          <w:sz w:val="36"/>
          <w:szCs w:val="36"/>
        </w:rPr>
      </w:pPr>
    </w:p>
    <w:p>
      <w:pPr>
        <w:tabs>
          <w:tab w:val="left" w:pos="3885"/>
        </w:tabs>
        <w:snapToGrid w:val="0"/>
        <w:spacing w:line="600" w:lineRule="atLeast"/>
        <w:ind w:firstLine="964" w:firstLineChars="300"/>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评价部门：旺苍县财政局</w:t>
      </w:r>
    </w:p>
    <w:p>
      <w:pPr>
        <w:tabs>
          <w:tab w:val="left" w:pos="3885"/>
        </w:tabs>
        <w:snapToGrid w:val="0"/>
        <w:spacing w:line="600" w:lineRule="atLeast"/>
        <w:ind w:firstLine="964" w:firstLineChars="300"/>
        <w:jc w:val="left"/>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rPr>
        <w:t>评价人员：</w:t>
      </w:r>
      <w:r>
        <w:rPr>
          <w:rFonts w:hint="eastAsia" w:ascii="楷体_GB2312" w:hAnsi="楷体_GB2312" w:eastAsia="楷体_GB2312" w:cs="楷体_GB2312"/>
          <w:b/>
          <w:sz w:val="32"/>
          <w:szCs w:val="32"/>
          <w:lang w:eastAsia="zh-CN"/>
        </w:rPr>
        <w:t>何蓉</w:t>
      </w:r>
      <w:r>
        <w:rPr>
          <w:rFonts w:hint="eastAsia" w:ascii="楷体_GB2312" w:hAnsi="楷体_GB2312" w:eastAsia="楷体_GB2312" w:cs="楷体_GB2312"/>
          <w:b/>
          <w:sz w:val="32"/>
          <w:szCs w:val="32"/>
        </w:rPr>
        <w:t xml:space="preserve"> </w:t>
      </w:r>
      <w:r>
        <w:rPr>
          <w:rFonts w:hint="eastAsia" w:ascii="楷体_GB2312" w:hAnsi="楷体_GB2312" w:eastAsia="楷体_GB2312" w:cs="楷体_GB2312"/>
          <w:b/>
          <w:sz w:val="32"/>
          <w:szCs w:val="32"/>
          <w:lang w:eastAsia="zh-CN"/>
        </w:rPr>
        <w:t>何爱民</w:t>
      </w:r>
      <w:r>
        <w:rPr>
          <w:rFonts w:hint="eastAsia" w:ascii="楷体_GB2312" w:hAnsi="楷体_GB2312" w:eastAsia="楷体_GB2312" w:cs="楷体_GB2312"/>
          <w:b/>
          <w:sz w:val="32"/>
          <w:szCs w:val="32"/>
        </w:rPr>
        <w:t xml:space="preserve"> </w:t>
      </w:r>
      <w:r>
        <w:rPr>
          <w:rFonts w:hint="eastAsia" w:ascii="楷体_GB2312" w:hAnsi="楷体_GB2312" w:eastAsia="楷体_GB2312" w:cs="楷体_GB2312"/>
          <w:b/>
          <w:sz w:val="32"/>
          <w:szCs w:val="32"/>
          <w:lang w:eastAsia="zh-CN"/>
        </w:rPr>
        <w:t>周艳玲</w:t>
      </w:r>
    </w:p>
    <w:p>
      <w:pPr>
        <w:tabs>
          <w:tab w:val="left" w:pos="3885"/>
        </w:tabs>
        <w:snapToGrid w:val="0"/>
        <w:spacing w:line="600" w:lineRule="atLeast"/>
        <w:ind w:firstLine="964" w:firstLineChars="300"/>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报告时间：2021年</w:t>
      </w:r>
      <w:r>
        <w:rPr>
          <w:rFonts w:hint="eastAsia" w:ascii="楷体_GB2312" w:hAnsi="楷体_GB2312" w:eastAsia="楷体_GB2312" w:cs="楷体_GB2312"/>
          <w:b/>
          <w:sz w:val="32"/>
          <w:szCs w:val="32"/>
          <w:lang w:val="en-US" w:eastAsia="zh-CN"/>
        </w:rPr>
        <w:t>10</w:t>
      </w:r>
      <w:r>
        <w:rPr>
          <w:rFonts w:hint="eastAsia" w:ascii="楷体_GB2312" w:hAnsi="楷体_GB2312" w:eastAsia="楷体_GB2312" w:cs="楷体_GB2312"/>
          <w:b/>
          <w:sz w:val="32"/>
          <w:szCs w:val="32"/>
        </w:rPr>
        <w:t>月</w:t>
      </w:r>
      <w:r>
        <w:rPr>
          <w:rFonts w:hint="eastAsia" w:ascii="楷体_GB2312" w:hAnsi="楷体_GB2312" w:eastAsia="楷体_GB2312" w:cs="楷体_GB2312"/>
          <w:b/>
          <w:sz w:val="32"/>
          <w:szCs w:val="32"/>
          <w:lang w:val="en-US" w:eastAsia="zh-CN"/>
        </w:rPr>
        <w:t>8</w:t>
      </w:r>
      <w:r>
        <w:rPr>
          <w:rFonts w:hint="eastAsia" w:ascii="楷体_GB2312" w:hAnsi="楷体_GB2312" w:eastAsia="楷体_GB2312" w:cs="楷体_GB2312"/>
          <w:b/>
          <w:sz w:val="32"/>
          <w:szCs w:val="32"/>
        </w:rPr>
        <w:t>日</w:t>
      </w:r>
    </w:p>
    <w:p>
      <w:pPr>
        <w:pStyle w:val="7"/>
        <w:rPr>
          <w:rFonts w:hint="eastAsia" w:ascii="楷体_GB2312" w:hAnsi="楷体_GB2312" w:eastAsia="楷体_GB2312" w:cs="楷体_GB2312"/>
          <w:b/>
          <w:sz w:val="32"/>
          <w:szCs w:val="32"/>
        </w:rPr>
      </w:pPr>
    </w:p>
    <w:p>
      <w:pPr>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spacing w:val="0"/>
          <w:sz w:val="32"/>
          <w:szCs w:val="32"/>
        </w:rPr>
        <w:sectPr>
          <w:headerReference r:id="rId6" w:type="default"/>
          <w:footerReference r:id="rId7" w:type="default"/>
          <w:footerReference r:id="rId8" w:type="even"/>
          <w:pgSz w:w="11906" w:h="16838"/>
          <w:pgMar w:top="2098" w:right="1474" w:bottom="1985" w:left="1588" w:header="851" w:footer="1559" w:gutter="0"/>
          <w:pgNumType w:fmt="numberInDash" w:start="1"/>
          <w:cols w:space="720" w:num="1"/>
          <w:docGrid w:type="lines" w:linePitch="312" w:charSpace="0"/>
        </w:sectPr>
      </w:pPr>
    </w:p>
    <w:p>
      <w:pPr>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一、部门概况</w:t>
      </w:r>
    </w:p>
    <w:p>
      <w:pPr>
        <w:pStyle w:val="5"/>
        <w:pageBreakBefore w:val="0"/>
        <w:widowControl w:val="0"/>
        <w:numPr>
          <w:ilvl w:val="1"/>
          <w:numId w:val="0"/>
        </w:numPr>
        <w:tabs>
          <w:tab w:val="left" w:pos="445"/>
        </w:tabs>
        <w:kinsoku/>
        <w:wordWrap/>
        <w:overflowPunct/>
        <w:topLinePunct w:val="0"/>
        <w:autoSpaceDE/>
        <w:autoSpaceDN/>
        <w:bidi w:val="0"/>
        <w:adjustRightInd/>
        <w:spacing w:before="0" w:after="0" w:line="540" w:lineRule="exact"/>
        <w:ind w:firstLine="643" w:firstLineChars="200"/>
        <w:textAlignment w:val="auto"/>
        <w:rPr>
          <w:rFonts w:hint="eastAsia" w:ascii="楷体_GB2312" w:hAnsi="楷体_GB2312" w:eastAsia="楷体_GB2312" w:cs="楷体_GB2312"/>
          <w:spacing w:val="0"/>
          <w:sz w:val="32"/>
          <w:szCs w:val="32"/>
        </w:rPr>
      </w:pPr>
      <w:bookmarkStart w:id="0" w:name="_Toc49870552"/>
      <w:r>
        <w:rPr>
          <w:rFonts w:hint="eastAsia" w:ascii="楷体_GB2312" w:hAnsi="楷体_GB2312" w:eastAsia="楷体_GB2312" w:cs="楷体_GB2312"/>
          <w:spacing w:val="0"/>
          <w:sz w:val="32"/>
          <w:szCs w:val="32"/>
        </w:rPr>
        <w:t>（一）机构组成</w:t>
      </w:r>
      <w:bookmarkEnd w:id="0"/>
    </w:p>
    <w:p>
      <w:pPr>
        <w:pStyle w:val="21"/>
        <w:pageBreakBefore w:val="0"/>
        <w:widowControl w:val="0"/>
        <w:kinsoku/>
        <w:wordWrap/>
        <w:overflowPunct/>
        <w:topLinePunct w:val="0"/>
        <w:autoSpaceDE/>
        <w:autoSpaceDN/>
        <w:bidi w:val="0"/>
        <w:adjustRightInd/>
        <w:spacing w:line="540" w:lineRule="exact"/>
        <w:ind w:firstLine="640"/>
        <w:textAlignment w:val="auto"/>
        <w:rPr>
          <w:rFonts w:hint="eastAsia" w:ascii="仿宋_GB2312" w:hAnsi="仿宋_GB2312" w:eastAsia="仿宋_GB2312" w:cs="仿宋_GB2312"/>
          <w:spacing w:val="0"/>
          <w:sz w:val="32"/>
          <w:szCs w:val="32"/>
        </w:rPr>
      </w:pPr>
      <w:bookmarkStart w:id="1" w:name="_Toc49870553"/>
      <w:r>
        <w:rPr>
          <w:rFonts w:hint="eastAsia" w:ascii="仿宋_GB2312" w:hAnsi="仿宋_GB2312" w:eastAsia="仿宋_GB2312" w:cs="仿宋_GB2312"/>
          <w:spacing w:val="0"/>
          <w:sz w:val="32"/>
          <w:szCs w:val="32"/>
        </w:rPr>
        <w:t>旺苍县</w:t>
      </w:r>
      <w:r>
        <w:rPr>
          <w:rFonts w:hint="eastAsia" w:ascii="仿宋_GB2312" w:hAnsi="仿宋_GB2312" w:eastAsia="仿宋_GB2312" w:cs="仿宋_GB2312"/>
          <w:spacing w:val="0"/>
          <w:sz w:val="32"/>
          <w:szCs w:val="32"/>
          <w:lang w:val="en-US" w:eastAsia="zh-CN"/>
        </w:rPr>
        <w:t>经济合作事务中心</w:t>
      </w:r>
      <w:r>
        <w:rPr>
          <w:rFonts w:hint="eastAsia" w:ascii="仿宋_GB2312" w:hAnsi="仿宋_GB2312" w:eastAsia="仿宋_GB2312" w:cs="仿宋_GB2312"/>
          <w:spacing w:val="0"/>
          <w:sz w:val="32"/>
          <w:szCs w:val="32"/>
        </w:rPr>
        <w:t>设内设机构</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个。</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pacing w:val="0"/>
          <w:sz w:val="32"/>
          <w:szCs w:val="32"/>
          <w:lang w:val="en-US"/>
        </w:rPr>
      </w:pPr>
      <w:r>
        <w:rPr>
          <w:rFonts w:hint="eastAsia" w:ascii="仿宋_GB2312" w:hAnsi="仿宋_GB2312" w:eastAsia="仿宋_GB2312" w:cs="仿宋_GB2312"/>
          <w:spacing w:val="0"/>
          <w:sz w:val="32"/>
          <w:szCs w:val="32"/>
        </w:rPr>
        <w:t>旺苍县</w:t>
      </w:r>
      <w:r>
        <w:rPr>
          <w:rFonts w:hint="eastAsia" w:ascii="仿宋_GB2312" w:hAnsi="仿宋_GB2312" w:eastAsia="仿宋_GB2312" w:cs="仿宋_GB2312"/>
          <w:spacing w:val="0"/>
          <w:sz w:val="32"/>
          <w:szCs w:val="32"/>
          <w:lang w:val="en-US" w:eastAsia="zh-CN"/>
        </w:rPr>
        <w:t>经济合作事务中心</w:t>
      </w:r>
      <w:r>
        <w:rPr>
          <w:rFonts w:hint="eastAsia" w:ascii="仿宋_GB2312" w:hAnsi="仿宋_GB2312" w:eastAsia="仿宋_GB2312" w:cs="仿宋_GB2312"/>
          <w:spacing w:val="0"/>
          <w:sz w:val="32"/>
          <w:szCs w:val="32"/>
        </w:rPr>
        <w:t>于201</w:t>
      </w: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9月正</w:t>
      </w:r>
      <w:r>
        <w:rPr>
          <w:rFonts w:hint="eastAsia" w:ascii="仿宋_GB2312" w:hAnsi="仿宋_GB2312" w:eastAsia="仿宋_GB2312" w:cs="仿宋_GB2312"/>
          <w:spacing w:val="0"/>
          <w:sz w:val="32"/>
          <w:szCs w:val="32"/>
        </w:rPr>
        <w:t>式由旺苍县</w:t>
      </w:r>
      <w:r>
        <w:rPr>
          <w:rFonts w:hint="eastAsia" w:ascii="仿宋_GB2312" w:hAnsi="仿宋_GB2312" w:eastAsia="仿宋_GB2312" w:cs="仿宋_GB2312"/>
          <w:spacing w:val="0"/>
          <w:sz w:val="32"/>
          <w:szCs w:val="32"/>
          <w:lang w:val="en-US" w:eastAsia="zh-CN"/>
        </w:rPr>
        <w:t>投资促进局</w:t>
      </w:r>
      <w:r>
        <w:rPr>
          <w:rFonts w:hint="eastAsia" w:ascii="仿宋_GB2312" w:hAnsi="仿宋_GB2312" w:eastAsia="仿宋_GB2312" w:cs="仿宋_GB2312"/>
          <w:spacing w:val="0"/>
          <w:sz w:val="32"/>
          <w:szCs w:val="32"/>
        </w:rPr>
        <w:t>更名而得，其单位性质为县政府直属事业单位</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单位执行行政会计制度。机构级别为正科级，承担着全县招商引资工作。内设办公室、</w:t>
      </w:r>
      <w:r>
        <w:rPr>
          <w:rFonts w:hint="eastAsia" w:ascii="仿宋_GB2312" w:hAnsi="仿宋_GB2312" w:eastAsia="仿宋_GB2312" w:cs="仿宋_GB2312"/>
          <w:spacing w:val="0"/>
          <w:sz w:val="32"/>
          <w:szCs w:val="32"/>
          <w:lang w:val="en-US" w:eastAsia="zh-CN"/>
        </w:rPr>
        <w:t>规划股、</w:t>
      </w:r>
      <w:r>
        <w:rPr>
          <w:rFonts w:hint="eastAsia" w:ascii="仿宋_GB2312" w:hAnsi="仿宋_GB2312" w:eastAsia="仿宋_GB2312" w:cs="仿宋_GB2312"/>
          <w:spacing w:val="0"/>
          <w:sz w:val="32"/>
          <w:szCs w:val="32"/>
        </w:rPr>
        <w:t>项目</w:t>
      </w:r>
      <w:r>
        <w:rPr>
          <w:rFonts w:hint="eastAsia" w:ascii="仿宋_GB2312" w:hAnsi="仿宋_GB2312" w:eastAsia="仿宋_GB2312" w:cs="仿宋_GB2312"/>
          <w:spacing w:val="0"/>
          <w:sz w:val="32"/>
          <w:szCs w:val="32"/>
          <w:lang w:val="en-US" w:eastAsia="zh-CN"/>
        </w:rPr>
        <w:t>合作</w:t>
      </w:r>
      <w:r>
        <w:rPr>
          <w:rFonts w:hint="eastAsia" w:ascii="仿宋_GB2312" w:hAnsi="仿宋_GB2312" w:eastAsia="仿宋_GB2312" w:cs="仿宋_GB2312"/>
          <w:spacing w:val="0"/>
          <w:sz w:val="32"/>
          <w:szCs w:val="32"/>
        </w:rPr>
        <w:t>股、</w:t>
      </w:r>
      <w:r>
        <w:rPr>
          <w:rFonts w:hint="eastAsia" w:ascii="仿宋_GB2312" w:hAnsi="仿宋_GB2312" w:eastAsia="仿宋_GB2312" w:cs="仿宋_GB2312"/>
          <w:spacing w:val="0"/>
          <w:sz w:val="32"/>
          <w:szCs w:val="32"/>
          <w:lang w:val="en-US" w:eastAsia="zh-CN"/>
        </w:rPr>
        <w:t>项目促进股、人事计财股</w:t>
      </w:r>
      <w:r>
        <w:rPr>
          <w:rFonts w:hint="eastAsia" w:ascii="仿宋_GB2312" w:hAnsi="仿宋_GB2312" w:eastAsia="仿宋_GB2312" w:cs="仿宋_GB2312"/>
          <w:spacing w:val="0"/>
          <w:sz w:val="32"/>
          <w:szCs w:val="32"/>
        </w:rPr>
        <w:t>。</w:t>
      </w:r>
    </w:p>
    <w:p>
      <w:pPr>
        <w:pStyle w:val="5"/>
        <w:pageBreakBefore w:val="0"/>
        <w:widowControl w:val="0"/>
        <w:numPr>
          <w:ilvl w:val="1"/>
          <w:numId w:val="0"/>
        </w:numPr>
        <w:tabs>
          <w:tab w:val="left" w:pos="445"/>
        </w:tabs>
        <w:kinsoku/>
        <w:wordWrap/>
        <w:overflowPunct/>
        <w:topLinePunct w:val="0"/>
        <w:autoSpaceDE/>
        <w:autoSpaceDN/>
        <w:bidi w:val="0"/>
        <w:adjustRightInd/>
        <w:spacing w:before="0" w:after="0" w:line="540" w:lineRule="exact"/>
        <w:ind w:firstLine="643" w:firstLineChars="200"/>
        <w:textAlignment w:val="auto"/>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（二）基本职能</w:t>
      </w:r>
      <w:bookmarkEnd w:id="1"/>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val="0"/>
          <w:bCs w:val="0"/>
          <w:spacing w:val="0"/>
          <w:sz w:val="32"/>
          <w:szCs w:val="32"/>
          <w:lang w:val="en-US" w:eastAsia="zh-CN"/>
        </w:rPr>
        <w:t>1.</w:t>
      </w:r>
      <w:r>
        <w:rPr>
          <w:rFonts w:hint="eastAsia" w:ascii="仿宋_GB2312" w:hAnsi="仿宋_GB2312" w:eastAsia="仿宋_GB2312" w:cs="仿宋_GB2312"/>
          <w:b w:val="0"/>
          <w:bCs w:val="0"/>
          <w:spacing w:val="0"/>
          <w:sz w:val="32"/>
          <w:szCs w:val="32"/>
        </w:rPr>
        <w:t>贯</w:t>
      </w:r>
      <w:r>
        <w:rPr>
          <w:rFonts w:hint="eastAsia" w:ascii="仿宋_GB2312" w:hAnsi="仿宋_GB2312" w:eastAsia="仿宋_GB2312" w:cs="仿宋_GB2312"/>
          <w:spacing w:val="0"/>
          <w:sz w:val="32"/>
          <w:szCs w:val="32"/>
        </w:rPr>
        <w:t>彻执行国家和省、市有关招商引资的法律、法规及方针政策，统筹协调全县投资促进工作，研究拟定全县投资促进工作政策、措施；提出加强投资促进工作的意见和建议；负责全县投资促进对外宣传工作</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spacing w:val="0"/>
          <w:sz w:val="32"/>
          <w:szCs w:val="32"/>
          <w:lang w:val="en-US" w:eastAsia="zh-CN"/>
        </w:rPr>
        <w:t>2.统筹协调</w:t>
      </w:r>
      <w:r>
        <w:rPr>
          <w:rFonts w:hint="eastAsia" w:ascii="仿宋_GB2312" w:hAnsi="仿宋_GB2312" w:eastAsia="仿宋_GB2312" w:cs="仿宋_GB2312"/>
          <w:spacing w:val="0"/>
          <w:sz w:val="32"/>
          <w:szCs w:val="32"/>
        </w:rPr>
        <w:t>全县招商引资工作，研究拟定招商引资、经济技术协作的中长期规划和年度计划，并组织实施。</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spacing w:val="0"/>
          <w:sz w:val="32"/>
          <w:szCs w:val="32"/>
          <w:lang w:val="en-US" w:eastAsia="zh-CN"/>
        </w:rPr>
        <w:t>3.负责建立</w:t>
      </w:r>
      <w:r>
        <w:rPr>
          <w:rFonts w:hint="eastAsia" w:ascii="仿宋_GB2312" w:hAnsi="仿宋_GB2312" w:eastAsia="仿宋_GB2312" w:cs="仿宋_GB2312"/>
          <w:spacing w:val="0"/>
          <w:sz w:val="32"/>
          <w:szCs w:val="32"/>
        </w:rPr>
        <w:t>、维护和管理全县招商引资项目库；负责招商引资项目的收集、整理、筛选、编印和信息发布；负责招商引资重点项目的评估、推介、洽谈和协调工作。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spacing w:val="0"/>
          <w:sz w:val="32"/>
          <w:szCs w:val="32"/>
          <w:lang w:val="en-US" w:eastAsia="zh-CN"/>
        </w:rPr>
        <w:t>4.制定全</w:t>
      </w:r>
      <w:r>
        <w:rPr>
          <w:rFonts w:hint="eastAsia" w:ascii="仿宋_GB2312" w:hAnsi="仿宋_GB2312" w:eastAsia="仿宋_GB2312" w:cs="仿宋_GB2312"/>
          <w:spacing w:val="0"/>
          <w:sz w:val="32"/>
          <w:szCs w:val="32"/>
        </w:rPr>
        <w:t>县大型招商引资活动方案，统筹、组织、参与全县及省内外重大招商引资活动，负责县政府举办各类投资合作活动的联络、协调、服务、接待工作；建立与外来投资者联系渠道；统筹全县重点产业招商。</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spacing w:val="0"/>
          <w:sz w:val="32"/>
          <w:szCs w:val="32"/>
          <w:lang w:val="en-US" w:eastAsia="zh-CN"/>
        </w:rPr>
        <w:t>5.督查、评估</w:t>
      </w:r>
      <w:r>
        <w:rPr>
          <w:rFonts w:hint="eastAsia" w:ascii="仿宋_GB2312" w:hAnsi="仿宋_GB2312" w:eastAsia="仿宋_GB2312" w:cs="仿宋_GB2312"/>
          <w:spacing w:val="0"/>
          <w:sz w:val="32"/>
          <w:szCs w:val="32"/>
        </w:rPr>
        <w:t>全县重大招商引资项目落地建设工作；建立完善招商引资项目跟进机制和服务措施；承担县招商引资工作领导小组交办的工作和日常工作。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spacing w:val="0"/>
          <w:sz w:val="32"/>
          <w:szCs w:val="32"/>
          <w:lang w:val="en-US" w:eastAsia="zh-CN"/>
        </w:rPr>
        <w:t>6.负责联系和</w:t>
      </w:r>
      <w:r>
        <w:rPr>
          <w:rFonts w:hint="eastAsia" w:ascii="仿宋_GB2312" w:hAnsi="仿宋_GB2312" w:eastAsia="仿宋_GB2312" w:cs="仿宋_GB2312"/>
          <w:spacing w:val="0"/>
          <w:sz w:val="32"/>
          <w:szCs w:val="32"/>
        </w:rPr>
        <w:t>协调在其他省（市）设立的广元（旺苍）商（协）会；负责外地企业在我县设立非经营性机构的联系和协调；负责友好地区及单位的联络工作。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spacing w:val="0"/>
          <w:sz w:val="32"/>
          <w:szCs w:val="32"/>
          <w:lang w:val="en-US" w:eastAsia="zh-CN"/>
        </w:rPr>
        <w:t>7.负责全县投资</w:t>
      </w:r>
      <w:r>
        <w:rPr>
          <w:rFonts w:hint="eastAsia" w:ascii="仿宋_GB2312" w:hAnsi="仿宋_GB2312" w:eastAsia="仿宋_GB2312" w:cs="仿宋_GB2312"/>
          <w:spacing w:val="0"/>
          <w:sz w:val="32"/>
          <w:szCs w:val="32"/>
        </w:rPr>
        <w:t>促进网站建设，加强与国内外信息交流，掌握招商引资动态，为县委、县人民政府提供科学的招商引资决策依据。</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spacing w:val="0"/>
          <w:sz w:val="32"/>
          <w:szCs w:val="32"/>
          <w:lang w:val="en-US" w:eastAsia="zh-CN"/>
        </w:rPr>
        <w:t>8.负责全县招商引资项目统计</w:t>
      </w:r>
      <w:r>
        <w:rPr>
          <w:rFonts w:hint="eastAsia" w:ascii="仿宋_GB2312" w:hAnsi="仿宋_GB2312" w:eastAsia="仿宋_GB2312" w:cs="仿宋_GB2312"/>
          <w:spacing w:val="0"/>
          <w:sz w:val="32"/>
          <w:szCs w:val="32"/>
        </w:rPr>
        <w:t>和编报工作。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负责招商引资项目代办服务和协调工作，受理并协调解决外来投资者投诉的有关事宜。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spacing w:val="0"/>
          <w:sz w:val="32"/>
          <w:szCs w:val="32"/>
          <w:lang w:val="en-US" w:eastAsia="zh-CN"/>
        </w:rPr>
        <w:t>10.</w:t>
      </w:r>
      <w:r>
        <w:rPr>
          <w:rFonts w:hint="eastAsia" w:ascii="仿宋_GB2312" w:hAnsi="仿宋_GB2312" w:eastAsia="仿宋_GB2312" w:cs="仿宋_GB2312"/>
          <w:spacing w:val="0"/>
          <w:sz w:val="32"/>
          <w:szCs w:val="32"/>
        </w:rPr>
        <w:t>配合有关部门做好对外开放及招商引资宣传工作。负责联系旺苍经济开发区、文化旅游产业园区和产业聚集区招商引资工作。</w:t>
      </w:r>
    </w:p>
    <w:p>
      <w:pPr>
        <w:pStyle w:val="22"/>
        <w:pageBreakBefore w:val="0"/>
        <w:widowControl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spacing w:val="0"/>
          <w:sz w:val="32"/>
          <w:szCs w:val="32"/>
          <w:lang w:val="en-US" w:eastAsia="zh-CN"/>
        </w:rPr>
        <w:t>11.</w:t>
      </w:r>
      <w:r>
        <w:rPr>
          <w:rFonts w:hint="eastAsia" w:ascii="仿宋_GB2312" w:hAnsi="仿宋_GB2312" w:eastAsia="仿宋_GB2312" w:cs="仿宋_GB2312"/>
          <w:b w:val="0"/>
          <w:bCs w:val="0"/>
          <w:spacing w:val="0"/>
          <w:sz w:val="32"/>
          <w:szCs w:val="32"/>
        </w:rPr>
        <w:t>承</w:t>
      </w:r>
      <w:r>
        <w:rPr>
          <w:rFonts w:hint="eastAsia" w:ascii="仿宋_GB2312" w:hAnsi="仿宋_GB2312" w:eastAsia="仿宋_GB2312" w:cs="仿宋_GB2312"/>
          <w:spacing w:val="0"/>
          <w:sz w:val="32"/>
          <w:szCs w:val="32"/>
        </w:rPr>
        <w:t>办县政府交办的其他事项。</w:t>
      </w:r>
    </w:p>
    <w:p>
      <w:pPr>
        <w:pStyle w:val="5"/>
        <w:pageBreakBefore w:val="0"/>
        <w:widowControl w:val="0"/>
        <w:numPr>
          <w:ilvl w:val="1"/>
          <w:numId w:val="0"/>
        </w:numPr>
        <w:tabs>
          <w:tab w:val="left" w:pos="445"/>
        </w:tabs>
        <w:kinsoku/>
        <w:wordWrap/>
        <w:overflowPunct/>
        <w:topLinePunct w:val="0"/>
        <w:autoSpaceDE/>
        <w:autoSpaceDN/>
        <w:bidi w:val="0"/>
        <w:adjustRightInd/>
        <w:spacing w:before="0" w:after="0" w:line="540" w:lineRule="exact"/>
        <w:ind w:firstLine="643" w:firstLineChars="200"/>
        <w:textAlignment w:val="auto"/>
        <w:rPr>
          <w:rFonts w:hint="eastAsia" w:ascii="楷体_GB2312" w:hAnsi="楷体_GB2312" w:eastAsia="楷体_GB2312" w:cs="楷体_GB2312"/>
          <w:spacing w:val="0"/>
          <w:sz w:val="32"/>
          <w:szCs w:val="32"/>
        </w:rPr>
      </w:pPr>
      <w:bookmarkStart w:id="2" w:name="_Toc49870554"/>
      <w:r>
        <w:rPr>
          <w:rFonts w:hint="eastAsia" w:ascii="楷体_GB2312" w:hAnsi="楷体_GB2312" w:eastAsia="楷体_GB2312" w:cs="楷体_GB2312"/>
          <w:spacing w:val="0"/>
          <w:sz w:val="32"/>
          <w:szCs w:val="32"/>
        </w:rPr>
        <w:t>（三）人员概况</w:t>
      </w:r>
      <w:bookmarkEnd w:id="2"/>
    </w:p>
    <w:p>
      <w:pPr>
        <w:pStyle w:val="22"/>
        <w:pageBreakBefore w:val="0"/>
        <w:widowControl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旺苍县</w:t>
      </w:r>
      <w:r>
        <w:rPr>
          <w:rFonts w:hint="eastAsia" w:ascii="仿宋_GB2312" w:hAnsi="仿宋_GB2312" w:eastAsia="仿宋_GB2312" w:cs="仿宋_GB2312"/>
          <w:spacing w:val="0"/>
          <w:sz w:val="32"/>
          <w:szCs w:val="32"/>
          <w:lang w:val="en-US" w:eastAsia="zh-CN"/>
        </w:rPr>
        <w:t>经济合作事务</w:t>
      </w:r>
      <w:r>
        <w:rPr>
          <w:rFonts w:hint="eastAsia" w:ascii="仿宋_GB2312" w:hAnsi="仿宋_GB2312" w:eastAsia="仿宋_GB2312" w:cs="仿宋_GB2312"/>
          <w:color w:val="000000"/>
          <w:spacing w:val="0"/>
          <w:sz w:val="32"/>
          <w:szCs w:val="32"/>
          <w:lang w:val="en-US" w:eastAsia="zh-CN"/>
        </w:rPr>
        <w:t>中心共有事业编制14名</w:t>
      </w:r>
      <w:r>
        <w:rPr>
          <w:rFonts w:hint="eastAsia" w:ascii="仿宋_GB2312" w:hAnsi="仿宋_GB2312" w:eastAsia="仿宋_GB2312" w:cs="仿宋_GB2312"/>
          <w:color w:val="000000"/>
          <w:spacing w:val="0"/>
          <w:sz w:val="32"/>
          <w:szCs w:val="32"/>
        </w:rPr>
        <w:t>;20</w:t>
      </w:r>
      <w:r>
        <w:rPr>
          <w:rFonts w:hint="eastAsia" w:ascii="仿宋_GB2312" w:hAnsi="仿宋_GB2312" w:eastAsia="仿宋_GB2312" w:cs="仿宋_GB2312"/>
          <w:color w:val="000000"/>
          <w:spacing w:val="0"/>
          <w:sz w:val="32"/>
          <w:szCs w:val="32"/>
          <w:lang w:val="en-US" w:eastAsia="zh-CN"/>
        </w:rPr>
        <w:t>20</w:t>
      </w:r>
      <w:r>
        <w:rPr>
          <w:rFonts w:hint="eastAsia" w:ascii="仿宋_GB2312" w:hAnsi="仿宋_GB2312" w:eastAsia="仿宋_GB2312" w:cs="仿宋_GB2312"/>
          <w:color w:val="000000"/>
          <w:spacing w:val="0"/>
          <w:sz w:val="32"/>
          <w:szCs w:val="32"/>
        </w:rPr>
        <w:t>年年</w:t>
      </w:r>
      <w:r>
        <w:rPr>
          <w:rFonts w:hint="eastAsia" w:ascii="仿宋_GB2312" w:hAnsi="仿宋_GB2312" w:eastAsia="仿宋_GB2312" w:cs="仿宋_GB2312"/>
          <w:color w:val="000000"/>
          <w:spacing w:val="0"/>
          <w:sz w:val="32"/>
          <w:szCs w:val="32"/>
          <w:lang w:val="en-US" w:eastAsia="zh-CN"/>
        </w:rPr>
        <w:t>末</w:t>
      </w:r>
      <w:r>
        <w:rPr>
          <w:rFonts w:hint="eastAsia" w:ascii="仿宋_GB2312" w:hAnsi="仿宋_GB2312" w:eastAsia="仿宋_GB2312" w:cs="仿宋_GB2312"/>
          <w:color w:val="000000"/>
          <w:spacing w:val="0"/>
          <w:sz w:val="32"/>
          <w:szCs w:val="32"/>
        </w:rPr>
        <w:t>我</w:t>
      </w:r>
      <w:r>
        <w:rPr>
          <w:rFonts w:hint="eastAsia" w:ascii="仿宋_GB2312" w:hAnsi="仿宋_GB2312" w:eastAsia="仿宋_GB2312" w:cs="仿宋_GB2312"/>
          <w:color w:val="000000"/>
          <w:spacing w:val="0"/>
          <w:sz w:val="32"/>
          <w:szCs w:val="32"/>
          <w:lang w:val="en-US" w:eastAsia="zh-CN"/>
        </w:rPr>
        <w:t>中心</w:t>
      </w:r>
      <w:r>
        <w:rPr>
          <w:rFonts w:hint="eastAsia" w:ascii="仿宋_GB2312" w:hAnsi="仿宋_GB2312" w:eastAsia="仿宋_GB2312" w:cs="仿宋_GB2312"/>
          <w:color w:val="000000"/>
          <w:spacing w:val="0"/>
          <w:sz w:val="32"/>
          <w:szCs w:val="32"/>
        </w:rPr>
        <w:t>实有人员</w:t>
      </w:r>
      <w:r>
        <w:rPr>
          <w:rFonts w:hint="eastAsia" w:ascii="仿宋_GB2312" w:hAnsi="仿宋_GB2312" w:eastAsia="仿宋_GB2312" w:cs="仿宋_GB2312"/>
          <w:spacing w:val="0"/>
          <w:sz w:val="32"/>
          <w:szCs w:val="32"/>
          <w:lang w:val="en-US" w:eastAsia="zh-CN"/>
        </w:rPr>
        <w:t>14人（在编在岗7人，借调4人，三支一扶2人，在岗不在编1人）。</w:t>
      </w:r>
    </w:p>
    <w:p>
      <w:pPr>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二、部门财政资金收支情况</w:t>
      </w:r>
    </w:p>
    <w:p>
      <w:pPr>
        <w:pStyle w:val="5"/>
        <w:pageBreakBefore w:val="0"/>
        <w:widowControl w:val="0"/>
        <w:numPr>
          <w:ilvl w:val="1"/>
          <w:numId w:val="0"/>
        </w:numPr>
        <w:tabs>
          <w:tab w:val="left" w:pos="445"/>
        </w:tabs>
        <w:kinsoku/>
        <w:wordWrap/>
        <w:overflowPunct/>
        <w:topLinePunct w:val="0"/>
        <w:autoSpaceDE/>
        <w:autoSpaceDN/>
        <w:bidi w:val="0"/>
        <w:adjustRightInd/>
        <w:spacing w:before="0" w:after="0" w:line="540" w:lineRule="exact"/>
        <w:ind w:firstLine="643" w:firstLineChars="200"/>
        <w:textAlignment w:val="auto"/>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（一）部门决策情况</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旺苍县</w:t>
      </w:r>
      <w:r>
        <w:rPr>
          <w:rFonts w:hint="eastAsia" w:ascii="仿宋_GB2312" w:hAnsi="仿宋_GB2312" w:eastAsia="仿宋_GB2312" w:cs="仿宋_GB2312"/>
          <w:spacing w:val="0"/>
          <w:sz w:val="32"/>
          <w:szCs w:val="32"/>
          <w:lang w:val="en-US" w:eastAsia="zh-CN"/>
        </w:rPr>
        <w:t>经济合作事务</w:t>
      </w:r>
      <w:r>
        <w:rPr>
          <w:rFonts w:hint="eastAsia" w:ascii="仿宋_GB2312" w:hAnsi="仿宋_GB2312" w:eastAsia="仿宋_GB2312" w:cs="仿宋_GB2312"/>
          <w:color w:val="000000"/>
          <w:spacing w:val="0"/>
          <w:sz w:val="32"/>
          <w:szCs w:val="32"/>
          <w:lang w:val="en-US" w:eastAsia="zh-CN"/>
        </w:rPr>
        <w:t>中心</w:t>
      </w:r>
      <w:r>
        <w:rPr>
          <w:rFonts w:hint="eastAsia" w:ascii="仿宋_GB2312" w:hAnsi="仿宋_GB2312" w:eastAsia="仿宋_GB2312" w:cs="仿宋_GB2312"/>
          <w:spacing w:val="0"/>
          <w:sz w:val="32"/>
          <w:szCs w:val="32"/>
        </w:rPr>
        <w:t>2020年重点工作如下：（1）</w:t>
      </w:r>
      <w:r>
        <w:rPr>
          <w:rFonts w:hint="eastAsia" w:ascii="仿宋_GB2312" w:hAnsi="仿宋_GB2312" w:eastAsia="仿宋_GB2312" w:cs="仿宋_GB2312"/>
          <w:spacing w:val="0"/>
          <w:sz w:val="32"/>
          <w:szCs w:val="32"/>
          <w:lang w:eastAsia="zh-CN"/>
        </w:rPr>
        <w:t>全面从严治党，抓整治思想学习，抓两大创建活动，抓文化制度完善，抓巡察整改落实。</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eastAsia="zh-CN"/>
        </w:rPr>
        <w:t>抓项目推进，采取项目储备，项目招引，项目促进三种方式推进项目建设。</w:t>
      </w: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驻村帮扶工作，聚焦脱产驻村帮扶，强化责任担当，组织党员干部深入帮扶村进行实地走访调查，聚焦村级产业发展，促贫困户脱贫致富，充分发挥中华民族助人为乐、扶贫济困的优良传统，积极组织开展走基层、送温暖活动。</w:t>
      </w: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lang w:eastAsia="zh-CN"/>
        </w:rPr>
        <w:t>推进全面依法治县，加强领导，提高认识，坚持依宪执政依法执政，全面深入学习贯彻实施宪法，全力配合扫黑除恶专项斗争，形式多样，广泛学习“民法典”。（</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lang w:eastAsia="zh-CN"/>
        </w:rPr>
        <w:t>）积极开展“抗疫”工作，创新“疫期”招商方式，深化改革开放合作体制机制。</w:t>
      </w:r>
    </w:p>
    <w:p>
      <w:pPr>
        <w:pStyle w:val="5"/>
        <w:pageBreakBefore w:val="0"/>
        <w:widowControl w:val="0"/>
        <w:numPr>
          <w:ilvl w:val="1"/>
          <w:numId w:val="0"/>
        </w:numPr>
        <w:tabs>
          <w:tab w:val="left" w:pos="445"/>
        </w:tabs>
        <w:kinsoku/>
        <w:wordWrap/>
        <w:overflowPunct/>
        <w:topLinePunct w:val="0"/>
        <w:autoSpaceDE/>
        <w:autoSpaceDN/>
        <w:bidi w:val="0"/>
        <w:adjustRightInd/>
        <w:snapToGrid/>
        <w:spacing w:before="0" w:after="0" w:line="540" w:lineRule="exact"/>
        <w:ind w:firstLine="643" w:firstLineChars="200"/>
        <w:textAlignment w:val="auto"/>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lang w:eastAsia="zh-CN"/>
        </w:rPr>
        <w:t>（二）</w:t>
      </w:r>
      <w:r>
        <w:rPr>
          <w:rFonts w:hint="eastAsia" w:ascii="楷体_GB2312" w:hAnsi="楷体_GB2312" w:eastAsia="楷体_GB2312" w:cs="楷体_GB2312"/>
          <w:spacing w:val="0"/>
          <w:sz w:val="32"/>
          <w:szCs w:val="32"/>
        </w:rPr>
        <w:t>部门财政资金收入情况</w:t>
      </w:r>
    </w:p>
    <w:p>
      <w:pPr>
        <w:pStyle w:val="22"/>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rPr>
        <w:t>020年</w:t>
      </w:r>
      <w:r>
        <w:rPr>
          <w:rFonts w:hint="eastAsia" w:ascii="仿宋_GB2312" w:hAnsi="仿宋_GB2312" w:eastAsia="仿宋_GB2312" w:cs="仿宋_GB2312"/>
          <w:spacing w:val="0"/>
          <w:sz w:val="32"/>
          <w:szCs w:val="32"/>
        </w:rPr>
        <w:t>旺苍县</w:t>
      </w:r>
      <w:r>
        <w:rPr>
          <w:rFonts w:hint="eastAsia" w:ascii="仿宋_GB2312" w:hAnsi="仿宋_GB2312" w:eastAsia="仿宋_GB2312" w:cs="仿宋_GB2312"/>
          <w:spacing w:val="0"/>
          <w:sz w:val="32"/>
          <w:szCs w:val="32"/>
          <w:lang w:val="en-US" w:eastAsia="zh-CN"/>
        </w:rPr>
        <w:t>经济合作事务</w:t>
      </w:r>
      <w:r>
        <w:rPr>
          <w:rFonts w:hint="eastAsia" w:ascii="仿宋_GB2312" w:hAnsi="仿宋_GB2312" w:eastAsia="仿宋_GB2312" w:cs="仿宋_GB2312"/>
          <w:color w:val="000000"/>
          <w:spacing w:val="0"/>
          <w:sz w:val="32"/>
          <w:szCs w:val="32"/>
          <w:lang w:val="en-US" w:eastAsia="zh-CN"/>
        </w:rPr>
        <w:t>中心</w:t>
      </w:r>
      <w:r>
        <w:rPr>
          <w:rFonts w:hint="eastAsia" w:ascii="仿宋_GB2312" w:hAnsi="仿宋_GB2312" w:eastAsia="仿宋_GB2312" w:cs="仿宋_GB2312"/>
          <w:spacing w:val="0"/>
          <w:sz w:val="32"/>
          <w:szCs w:val="32"/>
        </w:rPr>
        <w:t>收入合计</w:t>
      </w:r>
      <w:r>
        <w:rPr>
          <w:rFonts w:hint="eastAsia" w:ascii="仿宋_GB2312" w:hAnsi="仿宋_GB2312" w:eastAsia="仿宋_GB2312" w:cs="仿宋_GB2312"/>
          <w:spacing w:val="0"/>
          <w:sz w:val="32"/>
          <w:szCs w:val="32"/>
          <w:lang w:val="en-US" w:eastAsia="zh-CN"/>
        </w:rPr>
        <w:t>78.22</w:t>
      </w:r>
      <w:r>
        <w:rPr>
          <w:rFonts w:hint="eastAsia" w:ascii="仿宋_GB2312" w:hAnsi="仿宋_GB2312" w:eastAsia="仿宋_GB2312" w:cs="仿宋_GB2312"/>
          <w:spacing w:val="0"/>
          <w:sz w:val="32"/>
          <w:szCs w:val="32"/>
        </w:rPr>
        <w:t>万元，其中：一般公共预算财政拨款收入</w:t>
      </w:r>
      <w:r>
        <w:rPr>
          <w:rFonts w:hint="eastAsia" w:ascii="仿宋_GB2312" w:hAnsi="仿宋_GB2312" w:eastAsia="仿宋_GB2312" w:cs="仿宋_GB2312"/>
          <w:spacing w:val="0"/>
          <w:sz w:val="32"/>
          <w:szCs w:val="32"/>
          <w:lang w:val="en-US" w:eastAsia="zh-CN"/>
        </w:rPr>
        <w:t>78.22</w:t>
      </w:r>
      <w:r>
        <w:rPr>
          <w:rFonts w:hint="eastAsia" w:ascii="仿宋_GB2312" w:hAnsi="仿宋_GB2312" w:eastAsia="仿宋_GB2312" w:cs="仿宋_GB2312"/>
          <w:spacing w:val="0"/>
          <w:sz w:val="32"/>
          <w:szCs w:val="32"/>
        </w:rPr>
        <w:t>万元，占</w:t>
      </w:r>
      <w:r>
        <w:rPr>
          <w:rFonts w:hint="eastAsia" w:ascii="仿宋_GB2312" w:hAnsi="仿宋_GB2312" w:eastAsia="仿宋_GB2312" w:cs="仿宋_GB2312"/>
          <w:spacing w:val="0"/>
          <w:sz w:val="32"/>
          <w:szCs w:val="32"/>
          <w:lang w:val="en-US" w:eastAsia="zh-CN"/>
        </w:rPr>
        <w:t>100</w:t>
      </w:r>
      <w:r>
        <w:rPr>
          <w:rFonts w:hint="eastAsia" w:ascii="仿宋_GB2312" w:hAnsi="仿宋_GB2312" w:eastAsia="仿宋_GB2312" w:cs="仿宋_GB2312"/>
          <w:spacing w:val="0"/>
          <w:sz w:val="32"/>
          <w:szCs w:val="32"/>
        </w:rPr>
        <w:t>%，政府性基金预算财政拨款收入0万元，占0%；国有资本经营预算财政拨款收入0万元，占0%；事业收入0万元，占0%；经营收入0万元，占0%；附属单位上缴收入0万元，占0%；其他收入0万元，占0%。上年结转</w:t>
      </w:r>
      <w:r>
        <w:rPr>
          <w:rFonts w:hint="eastAsia" w:ascii="仿宋_GB2312" w:hAnsi="仿宋_GB2312" w:eastAsia="仿宋_GB2312" w:cs="仿宋_GB2312"/>
          <w:spacing w:val="0"/>
          <w:sz w:val="32"/>
          <w:szCs w:val="32"/>
          <w:lang w:val="en-US" w:eastAsia="zh-CN"/>
        </w:rPr>
        <w:t>163.63</w:t>
      </w:r>
      <w:r>
        <w:rPr>
          <w:rFonts w:hint="eastAsia" w:ascii="仿宋_GB2312" w:hAnsi="仿宋_GB2312" w:eastAsia="仿宋_GB2312" w:cs="仿宋_GB2312"/>
          <w:spacing w:val="0"/>
          <w:sz w:val="32"/>
          <w:szCs w:val="32"/>
        </w:rPr>
        <w:t>万元；具体情况见表</w:t>
      </w:r>
      <w:r>
        <w:rPr>
          <w:rFonts w:hint="eastAsia" w:ascii="仿宋_GB2312" w:hAnsi="仿宋_GB2312" w:eastAsia="仿宋_GB2312" w:cs="仿宋_GB2312"/>
          <w:spacing w:val="0"/>
          <w:sz w:val="32"/>
          <w:szCs w:val="32"/>
          <w:lang w:val="en-US"/>
        </w:rPr>
        <w:t>1</w:t>
      </w:r>
      <w:r>
        <w:rPr>
          <w:rFonts w:hint="eastAsia" w:ascii="仿宋_GB2312" w:hAnsi="仿宋_GB2312" w:eastAsia="仿宋_GB2312" w:cs="仿宋_GB2312"/>
          <w:spacing w:val="0"/>
          <w:sz w:val="32"/>
          <w:szCs w:val="32"/>
        </w:rPr>
        <w:t>-1：</w:t>
      </w:r>
    </w:p>
    <w:p>
      <w:pPr>
        <w:pStyle w:val="19"/>
        <w:spacing w:after="0"/>
        <w:ind w:firstLine="562" w:firstLineChars="200"/>
        <w:rPr>
          <w:sz w:val="28"/>
          <w:szCs w:val="28"/>
        </w:rPr>
      </w:pPr>
      <w:r>
        <w:rPr>
          <w:rFonts w:hint="eastAsia"/>
          <w:sz w:val="28"/>
          <w:szCs w:val="28"/>
        </w:rPr>
        <w:t>表1</w:t>
      </w:r>
      <w:r>
        <w:rPr>
          <w:sz w:val="28"/>
          <w:szCs w:val="28"/>
        </w:rPr>
        <w:t>-</w:t>
      </w:r>
      <w:r>
        <w:rPr>
          <w:rFonts w:hint="eastAsia"/>
          <w:sz w:val="28"/>
          <w:szCs w:val="28"/>
        </w:rPr>
        <w:t>1 2020</w:t>
      </w:r>
      <w:r>
        <w:rPr>
          <w:sz w:val="28"/>
          <w:szCs w:val="28"/>
        </w:rPr>
        <w:t>年</w:t>
      </w:r>
      <w:r>
        <w:rPr>
          <w:rFonts w:hint="eastAsia"/>
          <w:sz w:val="28"/>
          <w:szCs w:val="28"/>
          <w:lang w:eastAsia="zh-CN"/>
        </w:rPr>
        <w:t>经济合作事务中心</w:t>
      </w:r>
      <w:r>
        <w:rPr>
          <w:sz w:val="28"/>
          <w:szCs w:val="28"/>
        </w:rPr>
        <w:t>收入预决算情况表</w:t>
      </w:r>
    </w:p>
    <w:p>
      <w:pPr>
        <w:pStyle w:val="19"/>
        <w:spacing w:after="0"/>
        <w:ind w:firstLine="482" w:firstLineChars="200"/>
        <w:jc w:val="right"/>
      </w:pPr>
      <w:r>
        <w:rPr>
          <w:rFonts w:hint="eastAsia"/>
        </w:rPr>
        <w:t>单位</w:t>
      </w:r>
      <w:r>
        <w:t>：万元</w:t>
      </w:r>
    </w:p>
    <w:tbl>
      <w:tblPr>
        <w:tblStyle w:val="23"/>
        <w:tblW w:w="9118"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8"/>
        <w:gridCol w:w="1849"/>
        <w:gridCol w:w="1926"/>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trPr>
        <w:tc>
          <w:tcPr>
            <w:tcW w:w="3408" w:type="dxa"/>
          </w:tcPr>
          <w:p>
            <w:pPr>
              <w:pStyle w:val="20"/>
              <w:ind w:firstLine="440" w:firstLineChars="200"/>
              <w:rPr>
                <w:color w:val="auto"/>
              </w:rPr>
            </w:pPr>
          </w:p>
        </w:tc>
        <w:tc>
          <w:tcPr>
            <w:tcW w:w="1849" w:type="dxa"/>
          </w:tcPr>
          <w:p>
            <w:pPr>
              <w:pStyle w:val="20"/>
              <w:jc w:val="both"/>
              <w:rPr>
                <w:b/>
                <w:bCs w:val="0"/>
                <w:color w:val="auto"/>
              </w:rPr>
            </w:pPr>
            <w:r>
              <w:rPr>
                <w:rFonts w:hint="eastAsia"/>
                <w:b/>
                <w:bCs w:val="0"/>
                <w:color w:val="auto"/>
              </w:rPr>
              <w:t>收入预算数</w:t>
            </w:r>
          </w:p>
        </w:tc>
        <w:tc>
          <w:tcPr>
            <w:tcW w:w="1926" w:type="dxa"/>
          </w:tcPr>
          <w:p>
            <w:pPr>
              <w:pStyle w:val="20"/>
              <w:jc w:val="both"/>
              <w:rPr>
                <w:b/>
                <w:bCs w:val="0"/>
                <w:color w:val="auto"/>
              </w:rPr>
            </w:pPr>
            <w:r>
              <w:rPr>
                <w:rFonts w:hint="eastAsia"/>
                <w:b/>
                <w:bCs w:val="0"/>
                <w:color w:val="auto"/>
              </w:rPr>
              <w:t>收入调整数</w:t>
            </w:r>
          </w:p>
        </w:tc>
        <w:tc>
          <w:tcPr>
            <w:tcW w:w="1935" w:type="dxa"/>
          </w:tcPr>
          <w:p>
            <w:pPr>
              <w:pStyle w:val="20"/>
              <w:ind w:firstLine="442" w:firstLineChars="200"/>
              <w:rPr>
                <w:b/>
                <w:bCs w:val="0"/>
                <w:color w:val="auto"/>
              </w:rPr>
            </w:pPr>
            <w:r>
              <w:rPr>
                <w:rFonts w:hint="eastAsia"/>
                <w:b/>
                <w:bCs w:val="0"/>
                <w:color w:val="auto"/>
              </w:rPr>
              <w:t>收入决算数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08" w:type="dxa"/>
          </w:tcPr>
          <w:p>
            <w:pPr>
              <w:pStyle w:val="20"/>
              <w:jc w:val="both"/>
              <w:rPr>
                <w:color w:val="auto"/>
              </w:rPr>
            </w:pPr>
            <w:r>
              <w:rPr>
                <w:rFonts w:hint="eastAsia"/>
                <w:color w:val="auto"/>
              </w:rPr>
              <w:t>一般公共预算财政拨款收入</w:t>
            </w:r>
          </w:p>
        </w:tc>
        <w:tc>
          <w:tcPr>
            <w:tcW w:w="1849" w:type="dxa"/>
          </w:tcPr>
          <w:p>
            <w:pPr>
              <w:pStyle w:val="20"/>
              <w:ind w:firstLine="440" w:firstLineChars="200"/>
              <w:rPr>
                <w:rFonts w:hint="default" w:eastAsia="仿宋_GB2312"/>
                <w:color w:val="auto"/>
                <w:lang w:val="en-US" w:eastAsia="zh-CN"/>
              </w:rPr>
            </w:pPr>
            <w:r>
              <w:rPr>
                <w:rFonts w:hint="eastAsia"/>
                <w:color w:val="auto"/>
                <w:lang w:val="en-US" w:eastAsia="zh-CN"/>
              </w:rPr>
              <w:t>59.03</w:t>
            </w:r>
          </w:p>
        </w:tc>
        <w:tc>
          <w:tcPr>
            <w:tcW w:w="1926" w:type="dxa"/>
          </w:tcPr>
          <w:p>
            <w:pPr>
              <w:pStyle w:val="20"/>
              <w:ind w:firstLine="440" w:firstLineChars="200"/>
              <w:rPr>
                <w:rFonts w:hint="default" w:eastAsia="仿宋_GB2312"/>
                <w:color w:val="auto"/>
                <w:lang w:val="en-US" w:eastAsia="zh-CN"/>
              </w:rPr>
            </w:pPr>
            <w:r>
              <w:rPr>
                <w:rFonts w:hint="eastAsia"/>
                <w:color w:val="auto"/>
                <w:lang w:val="en-US" w:eastAsia="zh-CN"/>
              </w:rPr>
              <w:t>78.22</w:t>
            </w:r>
          </w:p>
        </w:tc>
        <w:tc>
          <w:tcPr>
            <w:tcW w:w="1935" w:type="dxa"/>
          </w:tcPr>
          <w:p>
            <w:pPr>
              <w:pStyle w:val="20"/>
              <w:ind w:firstLine="440" w:firstLineChars="200"/>
              <w:rPr>
                <w:rFonts w:hint="default" w:eastAsia="仿宋_GB2312"/>
                <w:color w:val="auto"/>
                <w:lang w:val="en-US" w:eastAsia="zh-CN"/>
              </w:rPr>
            </w:pPr>
            <w:r>
              <w:rPr>
                <w:rFonts w:hint="eastAsia"/>
                <w:color w:val="auto"/>
                <w:lang w:val="en-US" w:eastAsia="zh-CN"/>
              </w:rPr>
              <w:t>78.22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08" w:type="dxa"/>
          </w:tcPr>
          <w:p>
            <w:pPr>
              <w:pStyle w:val="20"/>
              <w:jc w:val="both"/>
              <w:rPr>
                <w:color w:val="auto"/>
              </w:rPr>
            </w:pPr>
            <w:r>
              <w:rPr>
                <w:rFonts w:hint="eastAsia"/>
                <w:color w:val="auto"/>
              </w:rPr>
              <w:t>政府性基金预算财政拨款收入</w:t>
            </w:r>
          </w:p>
        </w:tc>
        <w:tc>
          <w:tcPr>
            <w:tcW w:w="1849" w:type="dxa"/>
          </w:tcPr>
          <w:p>
            <w:pPr>
              <w:pStyle w:val="20"/>
              <w:ind w:firstLine="440" w:firstLineChars="200"/>
              <w:rPr>
                <w:color w:val="auto"/>
                <w:lang w:val="en-US"/>
              </w:rPr>
            </w:pPr>
          </w:p>
        </w:tc>
        <w:tc>
          <w:tcPr>
            <w:tcW w:w="1926" w:type="dxa"/>
          </w:tcPr>
          <w:p>
            <w:pPr>
              <w:pStyle w:val="20"/>
              <w:ind w:firstLine="440" w:firstLineChars="200"/>
              <w:rPr>
                <w:rFonts w:hint="eastAsia" w:eastAsia="仿宋_GB2312"/>
                <w:color w:val="auto"/>
                <w:lang w:val="en-US" w:eastAsia="zh-CN"/>
              </w:rPr>
            </w:pPr>
          </w:p>
        </w:tc>
        <w:tc>
          <w:tcPr>
            <w:tcW w:w="1935" w:type="dxa"/>
          </w:tcPr>
          <w:p>
            <w:pPr>
              <w:pStyle w:val="20"/>
              <w:ind w:firstLine="440" w:firstLineChars="200"/>
              <w:rPr>
                <w:color w:va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08" w:type="dxa"/>
          </w:tcPr>
          <w:p>
            <w:pPr>
              <w:pStyle w:val="20"/>
              <w:ind w:firstLine="440" w:firstLineChars="200"/>
              <w:rPr>
                <w:color w:val="auto"/>
              </w:rPr>
            </w:pPr>
            <w:r>
              <w:rPr>
                <w:rFonts w:hint="eastAsia"/>
                <w:color w:val="auto"/>
              </w:rPr>
              <w:t>经营收入</w:t>
            </w:r>
          </w:p>
        </w:tc>
        <w:tc>
          <w:tcPr>
            <w:tcW w:w="1849" w:type="dxa"/>
          </w:tcPr>
          <w:p>
            <w:pPr>
              <w:pStyle w:val="20"/>
              <w:ind w:firstLine="440" w:firstLineChars="200"/>
              <w:rPr>
                <w:color w:val="auto"/>
              </w:rPr>
            </w:pPr>
          </w:p>
        </w:tc>
        <w:tc>
          <w:tcPr>
            <w:tcW w:w="1926" w:type="dxa"/>
          </w:tcPr>
          <w:p>
            <w:pPr>
              <w:pStyle w:val="20"/>
              <w:ind w:firstLine="440" w:firstLineChars="200"/>
              <w:rPr>
                <w:color w:val="auto"/>
              </w:rPr>
            </w:pPr>
          </w:p>
        </w:tc>
        <w:tc>
          <w:tcPr>
            <w:tcW w:w="1935" w:type="dxa"/>
          </w:tcPr>
          <w:p>
            <w:pPr>
              <w:pStyle w:val="20"/>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08" w:type="dxa"/>
          </w:tcPr>
          <w:p>
            <w:pPr>
              <w:pStyle w:val="20"/>
              <w:ind w:firstLine="440" w:firstLineChars="200"/>
              <w:rPr>
                <w:color w:val="auto"/>
              </w:rPr>
            </w:pPr>
            <w:r>
              <w:rPr>
                <w:rFonts w:hint="eastAsia"/>
                <w:color w:val="auto"/>
              </w:rPr>
              <w:t>其他收入</w:t>
            </w:r>
          </w:p>
        </w:tc>
        <w:tc>
          <w:tcPr>
            <w:tcW w:w="1849" w:type="dxa"/>
          </w:tcPr>
          <w:p>
            <w:pPr>
              <w:pStyle w:val="20"/>
              <w:ind w:firstLine="440" w:firstLineChars="200"/>
              <w:rPr>
                <w:color w:val="auto"/>
              </w:rPr>
            </w:pPr>
          </w:p>
        </w:tc>
        <w:tc>
          <w:tcPr>
            <w:tcW w:w="1926" w:type="dxa"/>
          </w:tcPr>
          <w:p>
            <w:pPr>
              <w:pStyle w:val="20"/>
              <w:ind w:firstLine="440" w:firstLineChars="200"/>
              <w:rPr>
                <w:color w:val="auto"/>
              </w:rPr>
            </w:pPr>
          </w:p>
        </w:tc>
        <w:tc>
          <w:tcPr>
            <w:tcW w:w="1935" w:type="dxa"/>
          </w:tcPr>
          <w:p>
            <w:pPr>
              <w:pStyle w:val="20"/>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08" w:type="dxa"/>
          </w:tcPr>
          <w:p>
            <w:pPr>
              <w:pStyle w:val="20"/>
              <w:ind w:firstLine="440" w:firstLineChars="200"/>
              <w:rPr>
                <w:color w:val="auto"/>
              </w:rPr>
            </w:pPr>
            <w:r>
              <w:rPr>
                <w:rFonts w:hint="eastAsia"/>
                <w:color w:val="auto"/>
              </w:rPr>
              <w:t>年初</w:t>
            </w:r>
            <w:r>
              <w:rPr>
                <w:color w:val="auto"/>
              </w:rPr>
              <w:t>结转结余</w:t>
            </w:r>
          </w:p>
        </w:tc>
        <w:tc>
          <w:tcPr>
            <w:tcW w:w="1849" w:type="dxa"/>
          </w:tcPr>
          <w:p>
            <w:pPr>
              <w:pStyle w:val="20"/>
              <w:ind w:firstLine="440" w:firstLineChars="200"/>
              <w:rPr>
                <w:rFonts w:hint="default" w:eastAsia="仿宋_GB2312"/>
                <w:color w:val="auto"/>
                <w:lang w:val="en-US" w:eastAsia="zh-CN"/>
              </w:rPr>
            </w:pPr>
            <w:r>
              <w:rPr>
                <w:rFonts w:hint="eastAsia"/>
                <w:color w:val="auto"/>
                <w:lang w:val="en-US" w:eastAsia="zh-CN"/>
              </w:rPr>
              <w:t>54.4</w:t>
            </w:r>
          </w:p>
        </w:tc>
        <w:tc>
          <w:tcPr>
            <w:tcW w:w="1926" w:type="dxa"/>
          </w:tcPr>
          <w:p>
            <w:pPr>
              <w:pStyle w:val="20"/>
              <w:ind w:firstLine="440" w:firstLineChars="200"/>
              <w:rPr>
                <w:rFonts w:hint="default" w:eastAsia="仿宋_GB2312"/>
                <w:color w:val="auto"/>
                <w:lang w:val="en-US" w:eastAsia="zh-CN"/>
              </w:rPr>
            </w:pPr>
            <w:r>
              <w:rPr>
                <w:rFonts w:hint="eastAsia"/>
                <w:color w:val="auto"/>
                <w:lang w:val="en-US" w:eastAsia="zh-CN"/>
              </w:rPr>
              <w:t>163.63</w:t>
            </w:r>
          </w:p>
        </w:tc>
        <w:tc>
          <w:tcPr>
            <w:tcW w:w="1935" w:type="dxa"/>
          </w:tcPr>
          <w:p>
            <w:pPr>
              <w:pStyle w:val="20"/>
              <w:ind w:firstLine="440" w:firstLineChars="200"/>
              <w:jc w:val="both"/>
              <w:rPr>
                <w:rFonts w:hint="default" w:eastAsia="仿宋_GB2312"/>
                <w:color w:val="auto"/>
                <w:lang w:val="en-US" w:eastAsia="zh-CN"/>
              </w:rPr>
            </w:pPr>
            <w:r>
              <w:rPr>
                <w:rFonts w:hint="eastAsia"/>
                <w:color w:val="auto"/>
                <w:lang w:val="en-US" w:eastAsia="zh-CN"/>
              </w:rPr>
              <w:t>163.63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408" w:type="dxa"/>
          </w:tcPr>
          <w:p>
            <w:pPr>
              <w:pStyle w:val="20"/>
              <w:ind w:firstLine="442" w:firstLineChars="200"/>
              <w:rPr>
                <w:b/>
                <w:bCs w:val="0"/>
                <w:color w:val="auto"/>
              </w:rPr>
            </w:pPr>
            <w:r>
              <w:rPr>
                <w:rFonts w:hint="eastAsia"/>
                <w:b/>
                <w:bCs w:val="0"/>
                <w:color w:val="auto"/>
              </w:rPr>
              <w:t>合计</w:t>
            </w:r>
          </w:p>
        </w:tc>
        <w:tc>
          <w:tcPr>
            <w:tcW w:w="1849" w:type="dxa"/>
          </w:tcPr>
          <w:p>
            <w:pPr>
              <w:pStyle w:val="20"/>
              <w:ind w:firstLine="442" w:firstLineChars="200"/>
              <w:rPr>
                <w:rFonts w:hint="default" w:eastAsia="仿宋_GB2312"/>
                <w:b/>
                <w:bCs w:val="0"/>
                <w:color w:val="auto"/>
                <w:lang w:val="en-US" w:eastAsia="zh-CN"/>
              </w:rPr>
            </w:pPr>
            <w:r>
              <w:rPr>
                <w:rFonts w:hint="eastAsia"/>
                <w:b/>
                <w:bCs w:val="0"/>
                <w:color w:val="auto"/>
                <w:lang w:val="en-US" w:eastAsia="zh-CN"/>
              </w:rPr>
              <w:t>113.43</w:t>
            </w:r>
          </w:p>
        </w:tc>
        <w:tc>
          <w:tcPr>
            <w:tcW w:w="1926" w:type="dxa"/>
          </w:tcPr>
          <w:p>
            <w:pPr>
              <w:pStyle w:val="20"/>
              <w:ind w:firstLine="442" w:firstLineChars="200"/>
              <w:rPr>
                <w:rFonts w:hint="default" w:eastAsia="仿宋_GB2312"/>
                <w:b/>
                <w:bCs w:val="0"/>
                <w:color w:val="auto"/>
                <w:lang w:val="en-US" w:eastAsia="zh-CN"/>
              </w:rPr>
            </w:pPr>
            <w:r>
              <w:rPr>
                <w:rFonts w:hint="eastAsia"/>
                <w:b/>
                <w:bCs w:val="0"/>
                <w:color w:val="auto"/>
                <w:lang w:val="en-US" w:eastAsia="zh-CN"/>
              </w:rPr>
              <w:t>241.85</w:t>
            </w:r>
          </w:p>
        </w:tc>
        <w:tc>
          <w:tcPr>
            <w:tcW w:w="1935" w:type="dxa"/>
          </w:tcPr>
          <w:p>
            <w:pPr>
              <w:pStyle w:val="20"/>
              <w:ind w:firstLine="442" w:firstLineChars="200"/>
              <w:rPr>
                <w:rFonts w:hint="default" w:eastAsia="仿宋_GB2312"/>
                <w:b/>
                <w:bCs w:val="0"/>
                <w:color w:val="auto"/>
                <w:lang w:val="en-US" w:eastAsia="zh-CN"/>
              </w:rPr>
            </w:pPr>
            <w:r>
              <w:rPr>
                <w:rFonts w:hint="eastAsia"/>
                <w:b/>
                <w:bCs w:val="0"/>
                <w:color w:val="auto"/>
                <w:lang w:val="en-US" w:eastAsia="zh-CN"/>
              </w:rPr>
              <w:t>241.85</w:t>
            </w:r>
          </w:p>
        </w:tc>
      </w:tr>
    </w:tbl>
    <w:p>
      <w:pPr>
        <w:keepNext w:val="0"/>
        <w:keepLines w:val="0"/>
        <w:pageBreakBefore w:val="0"/>
        <w:widowControl w:val="0"/>
        <w:tabs>
          <w:tab w:val="left" w:pos="1265"/>
        </w:tabs>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r>
        <w:rPr>
          <w:rFonts w:hint="eastAsia" w:ascii="楷体_GB2312" w:eastAsia="楷体_GB2312"/>
          <w:b/>
          <w:sz w:val="32"/>
          <w:szCs w:val="32"/>
        </w:rPr>
        <w:t>（三）部门财政资金支出情况</w:t>
      </w:r>
    </w:p>
    <w:p>
      <w:pPr>
        <w:pStyle w:val="2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lang w:val="en-US"/>
        </w:rPr>
      </w:pPr>
      <w:r>
        <w:rPr>
          <w:rFonts w:hint="eastAsia" w:ascii="仿宋_GB2312" w:hAnsi="仿宋_GB2312" w:eastAsia="仿宋_GB2312" w:cs="仿宋_GB2312"/>
          <w:lang w:val="en-US"/>
        </w:rPr>
        <w:t>2</w:t>
      </w:r>
      <w:r>
        <w:rPr>
          <w:rFonts w:hint="eastAsia" w:ascii="仿宋_GB2312" w:hAnsi="仿宋_GB2312" w:eastAsia="仿宋_GB2312" w:cs="仿宋_GB2312"/>
        </w:rPr>
        <w:t>020年</w:t>
      </w:r>
      <w:r>
        <w:rPr>
          <w:rFonts w:hint="eastAsia" w:ascii="仿宋_GB2312" w:hAnsi="仿宋_GB2312" w:eastAsia="仿宋_GB2312" w:cs="仿宋_GB2312"/>
          <w:spacing w:val="-11"/>
          <w:sz w:val="32"/>
          <w:szCs w:val="32"/>
        </w:rPr>
        <w:t>旺苍县</w:t>
      </w:r>
      <w:r>
        <w:rPr>
          <w:rFonts w:hint="eastAsia" w:ascii="仿宋_GB2312" w:hAnsi="仿宋_GB2312" w:eastAsia="仿宋_GB2312" w:cs="仿宋_GB2312"/>
          <w:spacing w:val="-11"/>
          <w:sz w:val="32"/>
          <w:szCs w:val="32"/>
          <w:lang w:val="en-US" w:eastAsia="zh-CN"/>
        </w:rPr>
        <w:t>经济合作事务</w:t>
      </w:r>
      <w:r>
        <w:rPr>
          <w:rFonts w:hint="eastAsia" w:ascii="仿宋_GB2312" w:hAnsi="仿宋_GB2312" w:eastAsia="仿宋_GB2312" w:cs="仿宋_GB2312"/>
          <w:color w:val="000000"/>
          <w:sz w:val="32"/>
          <w:szCs w:val="32"/>
          <w:lang w:val="en-US" w:eastAsia="zh-CN"/>
        </w:rPr>
        <w:t>中心</w:t>
      </w:r>
      <w:r>
        <w:rPr>
          <w:rFonts w:hint="eastAsia" w:ascii="仿宋_GB2312" w:hAnsi="仿宋_GB2312" w:eastAsia="仿宋_GB2312" w:cs="仿宋_GB2312"/>
        </w:rPr>
        <w:t>支出合计</w:t>
      </w:r>
      <w:r>
        <w:rPr>
          <w:rFonts w:hint="eastAsia" w:ascii="仿宋_GB2312" w:hAnsi="仿宋_GB2312" w:eastAsia="仿宋_GB2312" w:cs="仿宋_GB2312"/>
          <w:lang w:val="en-US" w:eastAsia="zh-CN"/>
        </w:rPr>
        <w:t>241.85</w:t>
      </w:r>
      <w:r>
        <w:rPr>
          <w:rFonts w:hint="eastAsia" w:ascii="仿宋_GB2312" w:hAnsi="仿宋_GB2312" w:eastAsia="仿宋_GB2312" w:cs="仿宋_GB2312"/>
        </w:rPr>
        <w:t>万元，其中：基本支出</w:t>
      </w:r>
      <w:r>
        <w:rPr>
          <w:rFonts w:hint="eastAsia" w:ascii="仿宋_GB2312" w:hAnsi="仿宋_GB2312" w:eastAsia="仿宋_GB2312" w:cs="仿宋_GB2312"/>
          <w:lang w:val="en-US" w:eastAsia="zh-CN"/>
        </w:rPr>
        <w:t>71.1</w:t>
      </w:r>
      <w:r>
        <w:rPr>
          <w:rFonts w:hint="eastAsia" w:ascii="仿宋_GB2312" w:hAnsi="仿宋_GB2312" w:eastAsia="仿宋_GB2312" w:cs="仿宋_GB2312"/>
        </w:rPr>
        <w:t>万元，占</w:t>
      </w:r>
      <w:r>
        <w:rPr>
          <w:rFonts w:hint="eastAsia" w:ascii="仿宋_GB2312" w:hAnsi="仿宋_GB2312" w:eastAsia="仿宋_GB2312" w:cs="仿宋_GB2312"/>
          <w:lang w:val="en-US" w:eastAsia="zh-CN"/>
        </w:rPr>
        <w:t>29.4</w:t>
      </w:r>
      <w:r>
        <w:rPr>
          <w:rFonts w:hint="eastAsia" w:ascii="仿宋_GB2312" w:hAnsi="仿宋_GB2312" w:eastAsia="仿宋_GB2312" w:cs="仿宋_GB2312"/>
        </w:rPr>
        <w:t>%；项目支出</w:t>
      </w:r>
      <w:r>
        <w:rPr>
          <w:rFonts w:hint="eastAsia" w:ascii="仿宋_GB2312" w:hAnsi="仿宋_GB2312" w:eastAsia="仿宋_GB2312" w:cs="仿宋_GB2312"/>
          <w:lang w:val="en-US" w:eastAsia="zh-CN"/>
        </w:rPr>
        <w:t>152.62</w:t>
      </w:r>
      <w:r>
        <w:rPr>
          <w:rFonts w:hint="eastAsia" w:ascii="仿宋_GB2312" w:hAnsi="仿宋_GB2312" w:eastAsia="仿宋_GB2312" w:cs="仿宋_GB2312"/>
        </w:rPr>
        <w:t>万元，占</w:t>
      </w:r>
      <w:r>
        <w:rPr>
          <w:rFonts w:hint="eastAsia" w:ascii="仿宋_GB2312" w:hAnsi="仿宋_GB2312" w:eastAsia="仿宋_GB2312" w:cs="仿宋_GB2312"/>
          <w:lang w:val="en-US" w:eastAsia="zh-CN"/>
        </w:rPr>
        <w:t>70.6</w:t>
      </w:r>
      <w:r>
        <w:rPr>
          <w:rFonts w:hint="eastAsia" w:ascii="仿宋_GB2312" w:hAnsi="仿宋_GB2312" w:eastAsia="仿宋_GB2312" w:cs="仿宋_GB2312"/>
        </w:rPr>
        <w:t>%；上缴上级支出0万元，占0%；经营支出0万元，占0%；对附属单位补助支出0万元，占0%；年末结转结余</w:t>
      </w:r>
      <w:r>
        <w:rPr>
          <w:rFonts w:hint="eastAsia" w:ascii="仿宋_GB2312" w:hAnsi="仿宋_GB2312" w:eastAsia="仿宋_GB2312" w:cs="仿宋_GB2312"/>
          <w:lang w:val="en-US" w:eastAsia="zh-CN"/>
        </w:rPr>
        <w:t>18.13</w:t>
      </w:r>
      <w:r>
        <w:rPr>
          <w:rFonts w:hint="eastAsia" w:ascii="仿宋_GB2312" w:hAnsi="仿宋_GB2312" w:eastAsia="仿宋_GB2312" w:cs="仿宋_GB2312"/>
        </w:rPr>
        <w:t>万元。年初支出预算数为</w:t>
      </w:r>
      <w:r>
        <w:rPr>
          <w:rFonts w:hint="eastAsia" w:ascii="仿宋_GB2312" w:hAnsi="仿宋_GB2312" w:eastAsia="仿宋_GB2312" w:cs="仿宋_GB2312"/>
          <w:lang w:val="en-US" w:eastAsia="zh-CN"/>
        </w:rPr>
        <w:t>113.43</w:t>
      </w:r>
      <w:r>
        <w:rPr>
          <w:rFonts w:hint="eastAsia" w:ascii="仿宋_GB2312" w:hAnsi="仿宋_GB2312" w:eastAsia="仿宋_GB2312" w:cs="仿宋_GB2312"/>
        </w:rPr>
        <w:t>万元，支出调整预算数为</w:t>
      </w:r>
      <w:r>
        <w:rPr>
          <w:rFonts w:hint="eastAsia" w:ascii="仿宋_GB2312" w:hAnsi="仿宋_GB2312" w:eastAsia="仿宋_GB2312" w:cs="仿宋_GB2312"/>
          <w:lang w:val="en-US" w:eastAsia="zh-CN"/>
        </w:rPr>
        <w:t>241.85</w:t>
      </w:r>
      <w:r>
        <w:rPr>
          <w:rFonts w:hint="eastAsia" w:ascii="仿宋_GB2312" w:hAnsi="仿宋_GB2312" w:eastAsia="仿宋_GB2312" w:cs="仿宋_GB2312"/>
        </w:rPr>
        <w:t>万元，支出决算数为</w:t>
      </w:r>
      <w:r>
        <w:rPr>
          <w:rFonts w:hint="eastAsia" w:ascii="仿宋_GB2312" w:hAnsi="仿宋_GB2312" w:eastAsia="仿宋_GB2312" w:cs="仿宋_GB2312"/>
          <w:lang w:val="en-US" w:eastAsia="zh-CN"/>
        </w:rPr>
        <w:t>241.85</w:t>
      </w:r>
      <w:r>
        <w:rPr>
          <w:rFonts w:hint="eastAsia" w:ascii="仿宋_GB2312" w:hAnsi="仿宋_GB2312" w:eastAsia="仿宋_GB2312" w:cs="仿宋_GB2312"/>
        </w:rPr>
        <w:t>万元。具体情况见表</w:t>
      </w:r>
      <w:r>
        <w:rPr>
          <w:rFonts w:hint="eastAsia" w:ascii="仿宋_GB2312" w:hAnsi="仿宋_GB2312" w:eastAsia="仿宋_GB2312" w:cs="仿宋_GB2312"/>
          <w:lang w:val="en-US"/>
        </w:rPr>
        <w:t>1</w:t>
      </w:r>
      <w:r>
        <w:rPr>
          <w:rFonts w:hint="eastAsia" w:ascii="仿宋_GB2312" w:hAnsi="仿宋_GB2312" w:eastAsia="仿宋_GB2312" w:cs="仿宋_GB2312"/>
        </w:rPr>
        <w:t>-2</w:t>
      </w:r>
      <w:r>
        <w:rPr>
          <w:rFonts w:hint="eastAsia" w:ascii="仿宋_GB2312" w:hAnsi="仿宋_GB2312" w:eastAsia="仿宋_GB2312" w:cs="仿宋_GB2312"/>
          <w:lang w:val="en-US"/>
        </w:rPr>
        <w:t>：</w:t>
      </w:r>
    </w:p>
    <w:p>
      <w:pPr>
        <w:pStyle w:val="19"/>
        <w:spacing w:after="0"/>
        <w:ind w:firstLine="562" w:firstLineChars="200"/>
        <w:rPr>
          <w:sz w:val="28"/>
          <w:szCs w:val="28"/>
        </w:rPr>
      </w:pPr>
      <w:r>
        <w:rPr>
          <w:rFonts w:hint="eastAsia"/>
          <w:sz w:val="28"/>
          <w:szCs w:val="28"/>
        </w:rPr>
        <w:t>表1</w:t>
      </w:r>
      <w:r>
        <w:rPr>
          <w:sz w:val="28"/>
          <w:szCs w:val="28"/>
        </w:rPr>
        <w:t>-</w:t>
      </w:r>
      <w:r>
        <w:rPr>
          <w:rFonts w:hint="eastAsia"/>
          <w:sz w:val="28"/>
          <w:szCs w:val="28"/>
        </w:rPr>
        <w:t>2  2020</w:t>
      </w:r>
      <w:r>
        <w:rPr>
          <w:sz w:val="28"/>
          <w:szCs w:val="28"/>
        </w:rPr>
        <w:t>年</w:t>
      </w:r>
      <w:r>
        <w:rPr>
          <w:rFonts w:hint="eastAsia"/>
          <w:sz w:val="28"/>
          <w:szCs w:val="28"/>
        </w:rPr>
        <w:t>旺苍县</w:t>
      </w:r>
      <w:r>
        <w:rPr>
          <w:rFonts w:hint="eastAsia"/>
          <w:sz w:val="28"/>
          <w:szCs w:val="28"/>
          <w:lang w:val="en-US" w:eastAsia="zh-CN"/>
        </w:rPr>
        <w:t>经济合作事务中心</w:t>
      </w:r>
      <w:r>
        <w:rPr>
          <w:rFonts w:hint="eastAsia"/>
          <w:sz w:val="28"/>
          <w:szCs w:val="28"/>
        </w:rPr>
        <w:t>支出</w:t>
      </w:r>
      <w:r>
        <w:rPr>
          <w:sz w:val="28"/>
          <w:szCs w:val="28"/>
        </w:rPr>
        <w:t>预决算情况表</w:t>
      </w:r>
    </w:p>
    <w:p>
      <w:pPr>
        <w:pStyle w:val="19"/>
        <w:spacing w:after="0"/>
        <w:ind w:firstLine="482" w:firstLineChars="200"/>
        <w:jc w:val="right"/>
      </w:pPr>
      <w:r>
        <w:rPr>
          <w:rFonts w:hint="eastAsia"/>
        </w:rPr>
        <w:t>单位</w:t>
      </w:r>
      <w:r>
        <w:t>：万元</w:t>
      </w:r>
    </w:p>
    <w:tbl>
      <w:tblPr>
        <w:tblStyle w:val="12"/>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2248"/>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trPr>
        <w:tc>
          <w:tcPr>
            <w:tcW w:w="2249" w:type="dxa"/>
          </w:tcPr>
          <w:p>
            <w:pPr>
              <w:pStyle w:val="20"/>
              <w:ind w:firstLine="440" w:firstLineChars="200"/>
              <w:rPr>
                <w:color w:val="auto"/>
              </w:rPr>
            </w:pPr>
          </w:p>
        </w:tc>
        <w:tc>
          <w:tcPr>
            <w:tcW w:w="2248" w:type="dxa"/>
          </w:tcPr>
          <w:p>
            <w:pPr>
              <w:pStyle w:val="20"/>
              <w:ind w:firstLine="442" w:firstLineChars="200"/>
              <w:rPr>
                <w:b/>
                <w:color w:val="auto"/>
              </w:rPr>
            </w:pPr>
            <w:r>
              <w:rPr>
                <w:rFonts w:hint="eastAsia"/>
                <w:b/>
                <w:color w:val="auto"/>
              </w:rPr>
              <w:t>支出</w:t>
            </w:r>
            <w:r>
              <w:rPr>
                <w:b/>
                <w:color w:val="auto"/>
              </w:rPr>
              <w:t>预算数</w:t>
            </w:r>
          </w:p>
        </w:tc>
        <w:tc>
          <w:tcPr>
            <w:tcW w:w="2251" w:type="dxa"/>
          </w:tcPr>
          <w:p>
            <w:pPr>
              <w:pStyle w:val="20"/>
              <w:ind w:firstLine="442" w:firstLineChars="200"/>
              <w:rPr>
                <w:b/>
                <w:color w:val="auto"/>
              </w:rPr>
            </w:pPr>
            <w:r>
              <w:rPr>
                <w:rFonts w:hint="eastAsia"/>
                <w:b/>
                <w:color w:val="auto"/>
              </w:rPr>
              <w:t>支出</w:t>
            </w:r>
            <w:r>
              <w:rPr>
                <w:b/>
                <w:color w:val="auto"/>
              </w:rPr>
              <w:t>调整数</w:t>
            </w:r>
          </w:p>
        </w:tc>
        <w:tc>
          <w:tcPr>
            <w:tcW w:w="2251" w:type="dxa"/>
          </w:tcPr>
          <w:p>
            <w:pPr>
              <w:pStyle w:val="20"/>
              <w:ind w:firstLine="442" w:firstLineChars="200"/>
              <w:rPr>
                <w:b/>
                <w:color w:val="auto"/>
              </w:rPr>
            </w:pPr>
            <w:r>
              <w:rPr>
                <w:rFonts w:hint="eastAsia"/>
                <w:b/>
                <w:color w:val="auto"/>
              </w:rPr>
              <w:t>支出</w:t>
            </w:r>
            <w:r>
              <w:rPr>
                <w:b/>
                <w:color w:val="auto"/>
              </w:rPr>
              <w:t>决算</w:t>
            </w:r>
            <w:r>
              <w:rPr>
                <w:rFonts w:hint="eastAsia"/>
                <w:b/>
                <w:color w:val="auto"/>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249" w:type="dxa"/>
          </w:tcPr>
          <w:p>
            <w:pPr>
              <w:pStyle w:val="20"/>
              <w:ind w:firstLine="440" w:firstLineChars="200"/>
              <w:rPr>
                <w:color w:val="auto"/>
              </w:rPr>
            </w:pPr>
            <w:r>
              <w:rPr>
                <w:rFonts w:hint="eastAsia"/>
                <w:color w:val="auto"/>
              </w:rPr>
              <w:t>基本支出</w:t>
            </w:r>
          </w:p>
        </w:tc>
        <w:tc>
          <w:tcPr>
            <w:tcW w:w="2248" w:type="dxa"/>
          </w:tcPr>
          <w:p>
            <w:pPr>
              <w:pStyle w:val="20"/>
              <w:ind w:firstLine="440" w:firstLineChars="200"/>
              <w:rPr>
                <w:rFonts w:hint="default" w:eastAsia="仿宋_GB2312"/>
                <w:color w:val="auto"/>
                <w:lang w:val="en-US" w:eastAsia="zh-CN"/>
              </w:rPr>
            </w:pPr>
            <w:r>
              <w:rPr>
                <w:rFonts w:hint="eastAsia"/>
                <w:color w:val="auto"/>
                <w:lang w:val="en-US" w:eastAsia="zh-CN"/>
              </w:rPr>
              <w:t>69.67</w:t>
            </w:r>
          </w:p>
        </w:tc>
        <w:tc>
          <w:tcPr>
            <w:tcW w:w="2251" w:type="dxa"/>
          </w:tcPr>
          <w:p>
            <w:pPr>
              <w:pStyle w:val="20"/>
              <w:ind w:firstLine="440" w:firstLineChars="200"/>
              <w:rPr>
                <w:rFonts w:hint="default" w:eastAsia="仿宋_GB2312"/>
                <w:color w:val="auto"/>
                <w:lang w:val="en-US" w:eastAsia="zh-CN"/>
              </w:rPr>
            </w:pPr>
            <w:r>
              <w:rPr>
                <w:rFonts w:hint="eastAsia"/>
                <w:color w:val="auto"/>
                <w:lang w:val="en-US" w:eastAsia="zh-CN"/>
              </w:rPr>
              <w:t>78.75</w:t>
            </w:r>
          </w:p>
        </w:tc>
        <w:tc>
          <w:tcPr>
            <w:tcW w:w="2251" w:type="dxa"/>
          </w:tcPr>
          <w:p>
            <w:pPr>
              <w:pStyle w:val="20"/>
              <w:ind w:firstLine="440" w:firstLineChars="200"/>
              <w:rPr>
                <w:rFonts w:hint="default" w:eastAsia="仿宋_GB2312"/>
                <w:color w:val="auto"/>
                <w:lang w:val="en-US" w:eastAsia="zh-CN"/>
              </w:rPr>
            </w:pPr>
            <w:r>
              <w:rPr>
                <w:rFonts w:hint="eastAsia"/>
                <w:color w:val="auto"/>
                <w:lang w:val="en-US" w:eastAsia="zh-CN"/>
              </w:rPr>
              <w:t>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249" w:type="dxa"/>
          </w:tcPr>
          <w:p>
            <w:pPr>
              <w:pStyle w:val="20"/>
              <w:ind w:firstLine="440" w:firstLineChars="200"/>
              <w:rPr>
                <w:color w:val="auto"/>
              </w:rPr>
            </w:pPr>
            <w:r>
              <w:rPr>
                <w:rFonts w:hint="eastAsia"/>
                <w:color w:val="auto"/>
              </w:rPr>
              <w:t>项目支出</w:t>
            </w:r>
          </w:p>
        </w:tc>
        <w:tc>
          <w:tcPr>
            <w:tcW w:w="2248" w:type="dxa"/>
          </w:tcPr>
          <w:p>
            <w:pPr>
              <w:pStyle w:val="20"/>
              <w:ind w:firstLine="440" w:firstLineChars="200"/>
              <w:rPr>
                <w:rFonts w:hint="default" w:eastAsia="仿宋_GB2312"/>
                <w:color w:val="auto"/>
                <w:lang w:val="en-US" w:eastAsia="zh-CN"/>
              </w:rPr>
            </w:pPr>
            <w:r>
              <w:rPr>
                <w:rFonts w:hint="eastAsia"/>
                <w:color w:val="auto"/>
                <w:lang w:val="en-US" w:eastAsia="zh-CN"/>
              </w:rPr>
              <w:t>43.76</w:t>
            </w:r>
          </w:p>
        </w:tc>
        <w:tc>
          <w:tcPr>
            <w:tcW w:w="2251" w:type="dxa"/>
          </w:tcPr>
          <w:p>
            <w:pPr>
              <w:pStyle w:val="20"/>
              <w:ind w:firstLine="440" w:firstLineChars="200"/>
              <w:rPr>
                <w:rFonts w:hint="default" w:eastAsia="仿宋_GB2312"/>
                <w:color w:val="auto"/>
                <w:lang w:val="en-US" w:eastAsia="zh-CN"/>
              </w:rPr>
            </w:pPr>
            <w:r>
              <w:rPr>
                <w:rFonts w:hint="eastAsia"/>
                <w:color w:val="auto"/>
                <w:lang w:val="en-US" w:eastAsia="zh-CN"/>
              </w:rPr>
              <w:t>163.1</w:t>
            </w:r>
          </w:p>
        </w:tc>
        <w:tc>
          <w:tcPr>
            <w:tcW w:w="2251" w:type="dxa"/>
          </w:tcPr>
          <w:p>
            <w:pPr>
              <w:pStyle w:val="20"/>
              <w:ind w:firstLine="440" w:firstLineChars="200"/>
              <w:rPr>
                <w:rFonts w:hint="default" w:eastAsia="仿宋_GB2312"/>
                <w:color w:val="auto"/>
                <w:lang w:val="en-US" w:eastAsia="zh-CN"/>
              </w:rPr>
            </w:pPr>
            <w:r>
              <w:rPr>
                <w:rFonts w:hint="eastAsia"/>
                <w:color w:val="auto"/>
                <w:lang w:val="en-US" w:eastAsia="zh-CN"/>
              </w:rPr>
              <w:t>152.62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249" w:type="dxa"/>
          </w:tcPr>
          <w:p>
            <w:pPr>
              <w:pStyle w:val="20"/>
              <w:ind w:firstLine="440" w:firstLineChars="200"/>
              <w:rPr>
                <w:color w:val="auto"/>
              </w:rPr>
            </w:pPr>
            <w:r>
              <w:rPr>
                <w:rFonts w:hint="eastAsia"/>
                <w:color w:val="auto"/>
              </w:rPr>
              <w:t>经营支出</w:t>
            </w:r>
          </w:p>
        </w:tc>
        <w:tc>
          <w:tcPr>
            <w:tcW w:w="2248" w:type="dxa"/>
          </w:tcPr>
          <w:p>
            <w:pPr>
              <w:pStyle w:val="20"/>
              <w:ind w:firstLine="440" w:firstLineChars="200"/>
              <w:rPr>
                <w:color w:val="auto"/>
              </w:rPr>
            </w:pPr>
          </w:p>
        </w:tc>
        <w:tc>
          <w:tcPr>
            <w:tcW w:w="2251" w:type="dxa"/>
          </w:tcPr>
          <w:p>
            <w:pPr>
              <w:pStyle w:val="20"/>
              <w:ind w:firstLine="440" w:firstLineChars="200"/>
              <w:rPr>
                <w:color w:val="auto"/>
              </w:rPr>
            </w:pPr>
          </w:p>
        </w:tc>
        <w:tc>
          <w:tcPr>
            <w:tcW w:w="2251" w:type="dxa"/>
          </w:tcPr>
          <w:p>
            <w:pPr>
              <w:pStyle w:val="20"/>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249" w:type="dxa"/>
          </w:tcPr>
          <w:p>
            <w:pPr>
              <w:pStyle w:val="20"/>
              <w:ind w:firstLine="440" w:firstLineChars="200"/>
              <w:rPr>
                <w:color w:val="auto"/>
              </w:rPr>
            </w:pPr>
            <w:r>
              <w:rPr>
                <w:rFonts w:hint="eastAsia"/>
                <w:color w:val="auto"/>
              </w:rPr>
              <w:t>结余分配</w:t>
            </w:r>
          </w:p>
        </w:tc>
        <w:tc>
          <w:tcPr>
            <w:tcW w:w="2248" w:type="dxa"/>
          </w:tcPr>
          <w:p>
            <w:pPr>
              <w:pStyle w:val="20"/>
              <w:ind w:firstLine="440" w:firstLineChars="200"/>
              <w:rPr>
                <w:color w:val="auto"/>
              </w:rPr>
            </w:pPr>
          </w:p>
        </w:tc>
        <w:tc>
          <w:tcPr>
            <w:tcW w:w="2251" w:type="dxa"/>
          </w:tcPr>
          <w:p>
            <w:pPr>
              <w:pStyle w:val="20"/>
              <w:ind w:firstLine="440" w:firstLineChars="200"/>
              <w:rPr>
                <w:color w:val="auto"/>
              </w:rPr>
            </w:pPr>
          </w:p>
        </w:tc>
        <w:tc>
          <w:tcPr>
            <w:tcW w:w="2251" w:type="dxa"/>
          </w:tcPr>
          <w:p>
            <w:pPr>
              <w:pStyle w:val="20"/>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249" w:type="dxa"/>
          </w:tcPr>
          <w:p>
            <w:pPr>
              <w:pStyle w:val="20"/>
              <w:ind w:firstLine="440" w:firstLineChars="200"/>
              <w:rPr>
                <w:color w:val="auto"/>
              </w:rPr>
            </w:pPr>
            <w:r>
              <w:rPr>
                <w:rFonts w:hint="eastAsia"/>
                <w:color w:val="auto"/>
              </w:rPr>
              <w:t>年末</w:t>
            </w:r>
            <w:r>
              <w:rPr>
                <w:color w:val="auto"/>
              </w:rPr>
              <w:t>结转结余</w:t>
            </w:r>
          </w:p>
        </w:tc>
        <w:tc>
          <w:tcPr>
            <w:tcW w:w="2248" w:type="dxa"/>
          </w:tcPr>
          <w:p>
            <w:pPr>
              <w:pStyle w:val="20"/>
              <w:ind w:firstLine="440" w:firstLineChars="200"/>
              <w:rPr>
                <w:color w:val="auto"/>
                <w:lang w:val="en-US"/>
              </w:rPr>
            </w:pPr>
          </w:p>
        </w:tc>
        <w:tc>
          <w:tcPr>
            <w:tcW w:w="2251" w:type="dxa"/>
          </w:tcPr>
          <w:p>
            <w:pPr>
              <w:pStyle w:val="20"/>
              <w:ind w:firstLine="440" w:firstLineChars="200"/>
              <w:rPr>
                <w:color w:val="auto"/>
                <w:lang w:val="en-US"/>
              </w:rPr>
            </w:pPr>
          </w:p>
        </w:tc>
        <w:tc>
          <w:tcPr>
            <w:tcW w:w="2251" w:type="dxa"/>
          </w:tcPr>
          <w:p>
            <w:pPr>
              <w:pStyle w:val="20"/>
              <w:ind w:firstLine="440" w:firstLineChars="200"/>
              <w:rPr>
                <w:rFonts w:hint="default" w:eastAsia="仿宋_GB2312"/>
                <w:color w:val="auto"/>
                <w:lang w:val="en-US" w:eastAsia="zh-CN"/>
              </w:rPr>
            </w:pPr>
            <w:r>
              <w:rPr>
                <w:rFonts w:hint="eastAsia"/>
                <w:color w:val="auto"/>
                <w:lang w:val="en-US" w:eastAsia="zh-CN"/>
              </w:rPr>
              <w:t>18.13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249" w:type="dxa"/>
          </w:tcPr>
          <w:p>
            <w:pPr>
              <w:pStyle w:val="20"/>
              <w:ind w:firstLine="442" w:firstLineChars="200"/>
              <w:rPr>
                <w:b/>
                <w:color w:val="auto"/>
              </w:rPr>
            </w:pPr>
            <w:r>
              <w:rPr>
                <w:rFonts w:hint="eastAsia"/>
                <w:b/>
                <w:color w:val="auto"/>
              </w:rPr>
              <w:t>合计</w:t>
            </w:r>
          </w:p>
        </w:tc>
        <w:tc>
          <w:tcPr>
            <w:tcW w:w="2248" w:type="dxa"/>
          </w:tcPr>
          <w:p>
            <w:pPr>
              <w:pStyle w:val="20"/>
              <w:ind w:firstLine="442" w:firstLineChars="200"/>
              <w:rPr>
                <w:rFonts w:hint="default" w:eastAsia="仿宋_GB2312"/>
                <w:b/>
                <w:color w:val="auto"/>
                <w:lang w:val="en-US" w:eastAsia="zh-CN"/>
              </w:rPr>
            </w:pPr>
            <w:r>
              <w:rPr>
                <w:rFonts w:hint="eastAsia"/>
                <w:b/>
                <w:color w:val="auto"/>
                <w:lang w:val="en-US" w:eastAsia="zh-CN"/>
              </w:rPr>
              <w:t>113.43</w:t>
            </w:r>
          </w:p>
        </w:tc>
        <w:tc>
          <w:tcPr>
            <w:tcW w:w="2251" w:type="dxa"/>
          </w:tcPr>
          <w:p>
            <w:pPr>
              <w:pStyle w:val="20"/>
              <w:ind w:firstLine="442" w:firstLineChars="200"/>
              <w:rPr>
                <w:rFonts w:hint="default" w:eastAsia="仿宋_GB2312"/>
                <w:b/>
                <w:color w:val="auto"/>
                <w:lang w:val="en-US" w:eastAsia="zh-CN"/>
              </w:rPr>
            </w:pPr>
            <w:r>
              <w:rPr>
                <w:rFonts w:hint="eastAsia"/>
                <w:b/>
                <w:color w:val="auto"/>
                <w:lang w:val="en-US" w:eastAsia="zh-CN"/>
              </w:rPr>
              <w:t>241.85</w:t>
            </w:r>
          </w:p>
        </w:tc>
        <w:tc>
          <w:tcPr>
            <w:tcW w:w="2251" w:type="dxa"/>
          </w:tcPr>
          <w:p>
            <w:pPr>
              <w:pStyle w:val="20"/>
              <w:ind w:firstLine="442" w:firstLineChars="200"/>
              <w:rPr>
                <w:rFonts w:hint="default" w:eastAsia="仿宋_GB2312"/>
                <w:b/>
                <w:color w:val="auto"/>
                <w:lang w:val="en-US" w:eastAsia="zh-CN"/>
              </w:rPr>
            </w:pPr>
            <w:r>
              <w:rPr>
                <w:rFonts w:hint="eastAsia"/>
                <w:b/>
                <w:color w:val="auto"/>
                <w:lang w:val="en-US" w:eastAsia="zh-CN"/>
              </w:rPr>
              <w:t>241.85</w:t>
            </w:r>
          </w:p>
        </w:tc>
      </w:tr>
    </w:tbl>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三、评价结论和绩效分析</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（一）评价结论</w:t>
      </w:r>
    </w:p>
    <w:p>
      <w:pPr>
        <w:pStyle w:val="22"/>
        <w:rPr>
          <w:rFonts w:hint="eastAsia" w:ascii="仿宋_GB2312" w:hAnsi="仿宋_GB2312" w:eastAsia="仿宋_GB2312" w:cs="仿宋_GB2312"/>
        </w:rPr>
      </w:pPr>
      <w:r>
        <w:rPr>
          <w:rFonts w:hint="eastAsia" w:ascii="仿宋_GB2312" w:hAnsi="仿宋_GB2312" w:eastAsia="仿宋_GB2312" w:cs="仿宋_GB2312"/>
          <w:spacing w:val="-11"/>
          <w:sz w:val="32"/>
          <w:szCs w:val="32"/>
        </w:rPr>
        <w:t>旺苍县</w:t>
      </w:r>
      <w:r>
        <w:rPr>
          <w:rFonts w:hint="eastAsia" w:ascii="仿宋_GB2312" w:hAnsi="仿宋_GB2312" w:eastAsia="仿宋_GB2312" w:cs="仿宋_GB2312"/>
          <w:spacing w:val="-11"/>
          <w:sz w:val="32"/>
          <w:szCs w:val="32"/>
          <w:lang w:val="en-US" w:eastAsia="zh-CN"/>
        </w:rPr>
        <w:t>经济合作事务</w:t>
      </w:r>
      <w:r>
        <w:rPr>
          <w:rFonts w:hint="eastAsia" w:ascii="仿宋_GB2312" w:hAnsi="仿宋_GB2312" w:eastAsia="仿宋_GB2312" w:cs="仿宋_GB2312"/>
          <w:color w:val="000000"/>
          <w:sz w:val="32"/>
          <w:szCs w:val="32"/>
          <w:lang w:val="en-US" w:eastAsia="zh-CN"/>
        </w:rPr>
        <w:t>中心</w:t>
      </w:r>
      <w:r>
        <w:rPr>
          <w:rFonts w:hint="eastAsia" w:ascii="仿宋_GB2312" w:hAnsi="仿宋_GB2312" w:eastAsia="仿宋_GB2312" w:cs="仿宋_GB2312"/>
        </w:rPr>
        <w:t>预算测算过程较为完整，在</w:t>
      </w:r>
      <w:r>
        <w:rPr>
          <w:rFonts w:hint="eastAsia" w:ascii="仿宋_GB2312" w:hAnsi="仿宋_GB2312" w:eastAsia="仿宋_GB2312" w:cs="仿宋_GB2312"/>
          <w:lang w:val="en-US"/>
        </w:rPr>
        <w:t>预算编制、</w:t>
      </w:r>
      <w:r>
        <w:rPr>
          <w:rFonts w:hint="eastAsia" w:ascii="仿宋_GB2312" w:hAnsi="仿宋_GB2312" w:eastAsia="仿宋_GB2312" w:cs="仿宋_GB2312"/>
        </w:rPr>
        <w:t>信息公开等综合管理方面执行较好，部门整体支出绩效完成情况良好。但评价中也发现</w:t>
      </w:r>
      <w:r>
        <w:rPr>
          <w:rFonts w:hint="eastAsia" w:ascii="仿宋_GB2312" w:hAnsi="仿宋_GB2312" w:eastAsia="仿宋_GB2312" w:cs="仿宋_GB2312"/>
          <w:lang w:val="en-US"/>
        </w:rPr>
        <w:t>部门预算执行方面</w:t>
      </w:r>
      <w:r>
        <w:rPr>
          <w:rFonts w:hint="eastAsia" w:ascii="仿宋_GB2312" w:hAnsi="仿宋_GB2312" w:eastAsia="仿宋_GB2312" w:cs="仿宋_GB2312"/>
        </w:rPr>
        <w:t>存在瑕疵，本次整体支出绩效评级综合得分情况如下：预算管理指标权重为</w:t>
      </w:r>
      <w:r>
        <w:rPr>
          <w:rFonts w:hint="eastAsia" w:ascii="仿宋_GB2312" w:hAnsi="仿宋_GB2312" w:eastAsia="仿宋_GB2312" w:cs="仿宋_GB2312"/>
          <w:lang w:val="en-US"/>
        </w:rPr>
        <w:t>80</w:t>
      </w:r>
      <w:r>
        <w:rPr>
          <w:rFonts w:hint="eastAsia" w:ascii="仿宋_GB2312" w:hAnsi="仿宋_GB2312" w:eastAsia="仿宋_GB2312" w:cs="仿宋_GB2312"/>
        </w:rPr>
        <w:t>分，得分为</w:t>
      </w:r>
      <w:r>
        <w:rPr>
          <w:rFonts w:hint="eastAsia" w:ascii="仿宋_GB2312" w:hAnsi="仿宋_GB2312" w:eastAsia="仿宋_GB2312" w:cs="仿宋_GB2312"/>
          <w:lang w:val="en-US" w:eastAsia="zh-CN"/>
        </w:rPr>
        <w:t>63</w:t>
      </w:r>
      <w:r>
        <w:rPr>
          <w:rFonts w:hint="eastAsia" w:ascii="仿宋_GB2312" w:hAnsi="仿宋_GB2312" w:eastAsia="仿宋_GB2312" w:cs="仿宋_GB2312"/>
        </w:rPr>
        <w:t>分，得分率为</w:t>
      </w:r>
      <w:r>
        <w:rPr>
          <w:rFonts w:hint="eastAsia" w:ascii="仿宋_GB2312" w:hAnsi="仿宋_GB2312" w:eastAsia="仿宋_GB2312" w:cs="仿宋_GB2312"/>
          <w:lang w:val="en-US" w:eastAsia="zh-CN"/>
        </w:rPr>
        <w:t>78.75</w:t>
      </w:r>
      <w:r>
        <w:rPr>
          <w:rFonts w:hint="eastAsia" w:ascii="仿宋_GB2312" w:hAnsi="仿宋_GB2312" w:eastAsia="仿宋_GB2312" w:cs="仿宋_GB2312"/>
        </w:rPr>
        <w:t>%；</w:t>
      </w:r>
      <w:r>
        <w:rPr>
          <w:rFonts w:hint="eastAsia" w:ascii="仿宋_GB2312" w:hAnsi="仿宋_GB2312" w:eastAsia="仿宋_GB2312" w:cs="仿宋_GB2312"/>
          <w:lang w:val="en-US"/>
        </w:rPr>
        <w:t>绩效结果运用</w:t>
      </w:r>
      <w:r>
        <w:rPr>
          <w:rFonts w:hint="eastAsia" w:ascii="仿宋_GB2312" w:hAnsi="仿宋_GB2312" w:eastAsia="仿宋_GB2312" w:cs="仿宋_GB2312"/>
        </w:rPr>
        <w:t>指标权重为</w:t>
      </w:r>
      <w:r>
        <w:rPr>
          <w:rFonts w:hint="eastAsia" w:ascii="仿宋_GB2312" w:hAnsi="仿宋_GB2312" w:eastAsia="仿宋_GB2312" w:cs="仿宋_GB2312"/>
          <w:lang w:val="en-US"/>
        </w:rPr>
        <w:t>20</w:t>
      </w:r>
      <w:r>
        <w:rPr>
          <w:rFonts w:hint="eastAsia" w:ascii="仿宋_GB2312" w:hAnsi="仿宋_GB2312" w:eastAsia="仿宋_GB2312" w:cs="仿宋_GB2312"/>
        </w:rPr>
        <w:t>分，得分为</w:t>
      </w:r>
      <w:r>
        <w:rPr>
          <w:rFonts w:hint="eastAsia" w:ascii="仿宋_GB2312" w:hAnsi="仿宋_GB2312" w:eastAsia="仿宋_GB2312" w:cs="仿宋_GB2312"/>
          <w:lang w:val="en-US"/>
        </w:rPr>
        <w:t>1</w:t>
      </w:r>
      <w:r>
        <w:rPr>
          <w:rFonts w:hint="eastAsia" w:ascii="仿宋_GB2312" w:hAnsi="仿宋_GB2312" w:eastAsia="仿宋_GB2312" w:cs="仿宋_GB2312"/>
          <w:lang w:val="en-US" w:eastAsia="zh-CN"/>
        </w:rPr>
        <w:t>7</w:t>
      </w:r>
      <w:r>
        <w:rPr>
          <w:rFonts w:hint="eastAsia" w:ascii="仿宋_GB2312" w:hAnsi="仿宋_GB2312" w:eastAsia="仿宋_GB2312" w:cs="仿宋_GB2312"/>
        </w:rPr>
        <w:t>分，得分率为</w:t>
      </w:r>
      <w:r>
        <w:rPr>
          <w:rFonts w:hint="eastAsia" w:ascii="仿宋_GB2312" w:hAnsi="仿宋_GB2312" w:eastAsia="仿宋_GB2312" w:cs="仿宋_GB2312"/>
          <w:lang w:val="en-US"/>
        </w:rPr>
        <w:t>8</w:t>
      </w:r>
      <w:r>
        <w:rPr>
          <w:rFonts w:hint="eastAsia" w:ascii="仿宋_GB2312" w:hAnsi="仿宋_GB2312" w:eastAsia="仿宋_GB2312" w:cs="仿宋_GB2312"/>
          <w:lang w:val="en-US" w:eastAsia="zh-CN"/>
        </w:rPr>
        <w:t>5</w:t>
      </w:r>
      <w:r>
        <w:rPr>
          <w:rFonts w:hint="eastAsia" w:ascii="仿宋_GB2312" w:hAnsi="仿宋_GB2312" w:eastAsia="仿宋_GB2312" w:cs="仿宋_GB2312"/>
        </w:rPr>
        <w:t>%；本项目总分为</w:t>
      </w:r>
      <w:r>
        <w:rPr>
          <w:rFonts w:hint="eastAsia" w:ascii="仿宋_GB2312" w:hAnsi="仿宋_GB2312" w:eastAsia="仿宋_GB2312" w:cs="仿宋_GB2312"/>
          <w:lang w:val="en-US" w:eastAsia="zh-CN"/>
        </w:rPr>
        <w:t>80</w:t>
      </w:r>
      <w:r>
        <w:rPr>
          <w:rFonts w:hint="eastAsia" w:ascii="仿宋_GB2312" w:hAnsi="仿宋_GB2312" w:eastAsia="仿宋_GB2312" w:cs="仿宋_GB2312"/>
        </w:rPr>
        <w:t>分。详情见下表</w:t>
      </w:r>
      <w:r>
        <w:rPr>
          <w:rFonts w:hint="eastAsia" w:ascii="仿宋_GB2312" w:hAnsi="仿宋_GB2312" w:eastAsia="仿宋_GB2312" w:cs="仿宋_GB2312"/>
          <w:lang w:val="en-US"/>
        </w:rPr>
        <w:t>2</w:t>
      </w:r>
      <w:r>
        <w:rPr>
          <w:rFonts w:hint="eastAsia" w:ascii="仿宋_GB2312" w:hAnsi="仿宋_GB2312" w:eastAsia="仿宋_GB2312" w:cs="仿宋_GB2312"/>
        </w:rPr>
        <w:t>-1。</w:t>
      </w:r>
    </w:p>
    <w:p>
      <w:pPr>
        <w:pStyle w:val="19"/>
        <w:spacing w:after="0"/>
        <w:jc w:val="center"/>
        <w:rPr>
          <w:sz w:val="28"/>
          <w:szCs w:val="28"/>
        </w:rPr>
      </w:pPr>
      <w:r>
        <w:rPr>
          <w:sz w:val="28"/>
          <w:szCs w:val="28"/>
        </w:rPr>
        <w:t>表</w:t>
      </w:r>
      <w:r>
        <w:rPr>
          <w:rFonts w:hint="eastAsia"/>
          <w:sz w:val="28"/>
          <w:szCs w:val="28"/>
        </w:rPr>
        <w:t>2-1 2020年旺苍县</w:t>
      </w:r>
      <w:r>
        <w:rPr>
          <w:rFonts w:hint="eastAsia"/>
          <w:sz w:val="28"/>
          <w:szCs w:val="28"/>
          <w:lang w:val="en-US" w:eastAsia="zh-CN"/>
        </w:rPr>
        <w:t>经济合作事务中心</w:t>
      </w:r>
      <w:r>
        <w:rPr>
          <w:sz w:val="28"/>
          <w:szCs w:val="28"/>
        </w:rPr>
        <w:t>部门整体支出绩效得分情况表</w:t>
      </w:r>
    </w:p>
    <w:tbl>
      <w:tblPr>
        <w:tblStyle w:val="12"/>
        <w:tblW w:w="9077" w:type="dxa"/>
        <w:tblInd w:w="0" w:type="dxa"/>
        <w:tblLayout w:type="fixed"/>
        <w:tblCellMar>
          <w:top w:w="15" w:type="dxa"/>
          <w:left w:w="15" w:type="dxa"/>
          <w:bottom w:w="15" w:type="dxa"/>
          <w:right w:w="15" w:type="dxa"/>
        </w:tblCellMar>
      </w:tblPr>
      <w:tblGrid>
        <w:gridCol w:w="2110"/>
        <w:gridCol w:w="1077"/>
        <w:gridCol w:w="1683"/>
        <w:gridCol w:w="1192"/>
        <w:gridCol w:w="1027"/>
        <w:gridCol w:w="1027"/>
        <w:gridCol w:w="961"/>
      </w:tblGrid>
      <w:tr>
        <w:tblPrEx>
          <w:tblCellMar>
            <w:top w:w="15" w:type="dxa"/>
            <w:left w:w="15" w:type="dxa"/>
            <w:bottom w:w="15" w:type="dxa"/>
            <w:right w:w="15" w:type="dxa"/>
          </w:tblCellMar>
        </w:tblPrEx>
        <w:trPr>
          <w:trHeight w:val="455" w:hRule="atLeast"/>
        </w:trPr>
        <w:tc>
          <w:tcPr>
            <w:tcW w:w="4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绩效指标</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指标分值</w:t>
            </w:r>
          </w:p>
        </w:tc>
        <w:tc>
          <w:tcPr>
            <w:tcW w:w="1027"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kern w:val="0"/>
                <w:sz w:val="20"/>
                <w:szCs w:val="20"/>
              </w:rPr>
            </w:pPr>
            <w:r>
              <w:rPr>
                <w:rFonts w:hint="eastAsia" w:ascii="仿宋" w:hAnsi="仿宋" w:eastAsia="仿宋" w:cs="仿宋"/>
                <w:b/>
                <w:color w:val="000000"/>
                <w:kern w:val="0"/>
                <w:sz w:val="20"/>
                <w:szCs w:val="20"/>
              </w:rPr>
              <w:t>自评得分</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评价得分</w:t>
            </w:r>
          </w:p>
        </w:tc>
        <w:tc>
          <w:tcPr>
            <w:tcW w:w="96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kern w:val="0"/>
                <w:sz w:val="20"/>
                <w:szCs w:val="20"/>
              </w:rPr>
            </w:pPr>
            <w:r>
              <w:rPr>
                <w:rFonts w:hint="eastAsia" w:ascii="仿宋" w:hAnsi="仿宋" w:eastAsia="仿宋" w:cs="仿宋"/>
                <w:b/>
                <w:color w:val="000000"/>
                <w:kern w:val="0"/>
                <w:sz w:val="20"/>
                <w:szCs w:val="20"/>
              </w:rPr>
              <w:t>备注</w:t>
            </w:r>
          </w:p>
        </w:tc>
      </w:tr>
      <w:tr>
        <w:tblPrEx>
          <w:tblCellMar>
            <w:top w:w="15" w:type="dxa"/>
            <w:left w:w="15" w:type="dxa"/>
            <w:bottom w:w="15" w:type="dxa"/>
            <w:right w:w="15" w:type="dxa"/>
          </w:tblCellMar>
        </w:tblPrEx>
        <w:trPr>
          <w:trHeight w:val="455" w:hRule="atLeast"/>
        </w:trPr>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一级指标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二级指标</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三级指标</w:t>
            </w: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102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96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r>
      <w:tr>
        <w:tblPrEx>
          <w:tblCellMar>
            <w:top w:w="15" w:type="dxa"/>
            <w:left w:w="15" w:type="dxa"/>
            <w:bottom w:w="15" w:type="dxa"/>
            <w:right w:w="15" w:type="dxa"/>
          </w:tblCellMar>
        </w:tblPrEx>
        <w:trPr>
          <w:trHeight w:val="386" w:hRule="atLeast"/>
        </w:trPr>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部门预算管理（80分）</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预算</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编制</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目标制定</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7</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9</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86" w:hRule="atLeast"/>
        </w:trPr>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目标完成</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rPr>
              <w:t xml:space="preserve"> </w:t>
            </w:r>
            <w:r>
              <w:rPr>
                <w:rFonts w:hint="eastAsia" w:ascii="宋体" w:hAnsi="宋体" w:cs="宋体"/>
                <w:color w:val="000000"/>
                <w:sz w:val="18"/>
                <w:szCs w:val="18"/>
                <w:lang w:val="en-US" w:eastAsia="zh-CN"/>
              </w:rPr>
              <w:t>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9.5</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86" w:hRule="atLeast"/>
        </w:trPr>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编制准确</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rPr>
              <w:t xml:space="preserve"> </w:t>
            </w:r>
            <w:r>
              <w:rPr>
                <w:rFonts w:hint="eastAsia" w:ascii="宋体" w:hAnsi="宋体" w:cs="宋体"/>
                <w:color w:val="000000"/>
                <w:sz w:val="18"/>
                <w:szCs w:val="18"/>
                <w:lang w:val="en-US" w:eastAsia="zh-CN"/>
              </w:rPr>
              <w:t>8</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86" w:hRule="atLeast"/>
        </w:trPr>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textAlignment w:val="center"/>
              <w:rPr>
                <w:rFonts w:ascii="宋体" w:hAnsi="宋体" w:cs="宋体"/>
                <w:color w:val="000000"/>
                <w:kern w:val="0"/>
                <w:sz w:val="18"/>
                <w:szCs w:val="18"/>
              </w:rPr>
            </w:pPr>
            <w:r>
              <w:rPr>
                <w:rFonts w:hint="eastAsia" w:ascii="宋体" w:hAnsi="宋体" w:cs="宋体"/>
                <w:color w:val="000000"/>
                <w:kern w:val="0"/>
                <w:sz w:val="18"/>
                <w:szCs w:val="18"/>
              </w:rPr>
              <w:t>预算</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执行</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支出控制</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rPr>
              <w:t xml:space="preserve"> </w:t>
            </w:r>
            <w:r>
              <w:rPr>
                <w:rFonts w:hint="eastAsia" w:ascii="宋体" w:hAnsi="宋体" w:cs="宋体"/>
                <w:color w:val="000000"/>
                <w:sz w:val="18"/>
                <w:szCs w:val="18"/>
                <w:lang w:val="en-US" w:eastAsia="zh-CN"/>
              </w:rPr>
              <w:t>7</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7</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86" w:hRule="atLeast"/>
        </w:trPr>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动态调整</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5</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86" w:hRule="atLeast"/>
        </w:trPr>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执行进度</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7</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7.8</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572" w:hRule="atLeast"/>
        </w:trPr>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完成</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结果</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预算完成</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9</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8.7</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498" w:hRule="atLeast"/>
        </w:trPr>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违规记录</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rPr>
              <w:t xml:space="preserve"> </w:t>
            </w:r>
            <w:r>
              <w:rPr>
                <w:rFonts w:hint="eastAsia" w:ascii="宋体" w:hAnsi="宋体" w:cs="宋体"/>
                <w:color w:val="000000"/>
                <w:sz w:val="18"/>
                <w:szCs w:val="18"/>
                <w:lang w:val="en-US" w:eastAsia="zh-CN"/>
              </w:rPr>
              <w:t>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9.5</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1071" w:hRule="atLeast"/>
        </w:trPr>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绩效结果应用（20分）</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自评</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质量</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自评准确</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rPr>
              <w:t xml:space="preserve"> </w:t>
            </w:r>
            <w:r>
              <w:rPr>
                <w:rFonts w:hint="eastAsia" w:ascii="宋体" w:hAnsi="宋体" w:cs="宋体"/>
                <w:color w:val="000000"/>
                <w:sz w:val="18"/>
                <w:szCs w:val="18"/>
                <w:lang w:val="en-US" w:eastAsia="zh-CN"/>
              </w:rPr>
              <w:t>3</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3</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515" w:hRule="atLeast"/>
        </w:trPr>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信息</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公开</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目标公开</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rPr>
              <w:t xml:space="preserve"> </w:t>
            </w:r>
            <w:r>
              <w:rPr>
                <w:rFonts w:hint="eastAsia" w:ascii="宋体" w:hAnsi="宋体" w:cs="宋体"/>
                <w:color w:val="000000"/>
                <w:sz w:val="18"/>
                <w:szCs w:val="18"/>
                <w:lang w:val="en-US" w:eastAsia="zh-CN"/>
              </w:rPr>
              <w:t>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555" w:hRule="atLeast"/>
        </w:trPr>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自评公开</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620" w:hRule="atLeast"/>
        </w:trPr>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整改</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反馈</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结果整改</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620" w:hRule="atLeast"/>
        </w:trPr>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应用反馈</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433" w:hRule="atLeast"/>
        </w:trPr>
        <w:tc>
          <w:tcPr>
            <w:tcW w:w="4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总分合计</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lang w:val="en-US" w:eastAsia="zh-CN"/>
              </w:rPr>
              <w:t>82</w:t>
            </w:r>
            <w:r>
              <w:rPr>
                <w:rFonts w:hint="eastAsia" w:ascii="宋体" w:hAnsi="宋体" w:cs="宋体"/>
                <w:color w:val="000000"/>
                <w:sz w:val="24"/>
              </w:rPr>
              <w:t xml:space="preserve">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79.7</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bl>
    <w:p>
      <w:pPr>
        <w:spacing w:line="560" w:lineRule="exact"/>
        <w:ind w:firstLine="640"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（二）部门预算管理情况分析</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1.预算编制情况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（1）目标制定</w:t>
      </w:r>
    </w:p>
    <w:p>
      <w:pPr>
        <w:keepNext w:val="0"/>
        <w:keepLines w:val="0"/>
        <w:pageBreakBefore w:val="0"/>
        <w:widowControl w:val="0"/>
        <w:kinsoku/>
        <w:wordWrap/>
        <w:overflowPunct/>
        <w:topLinePunct w:val="0"/>
        <w:autoSpaceDE/>
        <w:autoSpaceDN/>
        <w:bidi w:val="0"/>
        <w:adjustRightInd/>
        <w:snapToGrid/>
        <w:spacing w:line="576" w:lineRule="exact"/>
        <w:ind w:firstLine="596" w:firstLineChars="200"/>
        <w:textAlignment w:val="auto"/>
        <w:rPr>
          <w:rFonts w:ascii="仿宋_GB2312" w:hAnsi="仿宋_GB2312" w:eastAsia="仿宋_GB2312" w:cs="仿宋_GB2312"/>
          <w:sz w:val="32"/>
          <w:szCs w:val="32"/>
        </w:rPr>
      </w:pPr>
      <w:r>
        <w:rPr>
          <w:rFonts w:hint="eastAsia" w:ascii="仿宋_GB2312" w:eastAsia="仿宋_GB2312"/>
          <w:spacing w:val="-11"/>
          <w:sz w:val="32"/>
          <w:szCs w:val="32"/>
        </w:rPr>
        <w:t>旺苍县</w:t>
      </w:r>
      <w:r>
        <w:rPr>
          <w:rFonts w:hint="eastAsia" w:ascii="仿宋_GB2312" w:eastAsia="仿宋_GB2312"/>
          <w:spacing w:val="-11"/>
          <w:sz w:val="32"/>
          <w:szCs w:val="32"/>
          <w:lang w:val="en-US" w:eastAsia="zh-CN"/>
        </w:rPr>
        <w:t>经济合作事务</w:t>
      </w:r>
      <w:r>
        <w:rPr>
          <w:rFonts w:hint="eastAsia" w:ascii="仿宋_GB2312" w:hAnsi="仿宋_GB2312" w:eastAsia="仿宋_GB2312" w:cs="仿宋_GB2312"/>
          <w:color w:val="000000"/>
          <w:sz w:val="32"/>
          <w:szCs w:val="32"/>
          <w:lang w:val="en-US" w:eastAsia="zh-CN"/>
        </w:rPr>
        <w:t>中心</w:t>
      </w:r>
      <w:r>
        <w:rPr>
          <w:rFonts w:hint="eastAsia" w:ascii="仿宋_GB2312" w:hAnsi="仿宋_GB2312" w:eastAsia="仿宋_GB2312" w:cs="仿宋_GB2312"/>
          <w:sz w:val="32"/>
          <w:szCs w:val="32"/>
        </w:rPr>
        <w:t>按照2020年部门预算编制要求，积极开展预算编报工作，在规定时间内完成了部门预算编制任务。部门预算编制准确、规范、完整无漏项，基础信息和科目使用准确，项目名称、绩效指标、项目内容等说明符合规定，单位编制、人员情况与供养人员横向联网系统数据一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该指标满分10分，</w:t>
      </w:r>
      <w:r>
        <w:rPr>
          <w:rFonts w:hint="eastAsia" w:ascii="仿宋_GB2312" w:eastAsia="仿宋_GB2312"/>
          <w:sz w:val="32"/>
          <w:szCs w:val="32"/>
        </w:rPr>
        <w:t>根据指标评价标准和公式计算，</w:t>
      </w:r>
      <w:r>
        <w:rPr>
          <w:rFonts w:hint="eastAsia" w:ascii="仿宋_GB2312" w:hAnsi="仿宋_GB2312" w:eastAsia="仿宋_GB2312" w:cs="仿宋_GB2312"/>
          <w:sz w:val="32"/>
          <w:szCs w:val="32"/>
        </w:rPr>
        <w:t>得分9分。</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（2）目标完成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2020年</w:t>
      </w:r>
      <w:r>
        <w:rPr>
          <w:rFonts w:hint="eastAsia" w:ascii="仿宋_GB2312" w:eastAsia="仿宋_GB2312"/>
          <w:sz w:val="32"/>
          <w:szCs w:val="32"/>
          <w:lang w:eastAsia="zh-CN"/>
        </w:rPr>
        <w:t>经济合作事务中心</w:t>
      </w:r>
      <w:r>
        <w:rPr>
          <w:rFonts w:hint="eastAsia" w:ascii="仿宋_GB2312" w:eastAsia="仿宋_GB2312"/>
          <w:sz w:val="32"/>
          <w:szCs w:val="32"/>
        </w:rPr>
        <w:t>共设置部门项目绩效目标</w:t>
      </w:r>
      <w:r>
        <w:rPr>
          <w:rFonts w:hint="eastAsia" w:ascii="仿宋_GB2312" w:eastAsia="仿宋_GB2312"/>
          <w:sz w:val="32"/>
          <w:szCs w:val="32"/>
          <w:lang w:val="en-US" w:eastAsia="zh-CN"/>
        </w:rPr>
        <w:t>3</w:t>
      </w:r>
      <w:r>
        <w:rPr>
          <w:rFonts w:hint="eastAsia" w:ascii="仿宋_GB2312" w:eastAsia="仿宋_GB2312"/>
          <w:sz w:val="32"/>
          <w:szCs w:val="32"/>
        </w:rPr>
        <w:t>个，均全部完成。数量指标的完成情况详见表3-1：</w:t>
      </w:r>
    </w:p>
    <w:p>
      <w:pPr>
        <w:pStyle w:val="2"/>
        <w:spacing w:before="93"/>
        <w:jc w:val="center"/>
        <w:rPr>
          <w:b/>
          <w:bCs/>
          <w:sz w:val="28"/>
          <w:szCs w:val="28"/>
        </w:rPr>
      </w:pPr>
      <w:r>
        <w:rPr>
          <w:b/>
          <w:bCs/>
          <w:sz w:val="28"/>
          <w:szCs w:val="28"/>
        </w:rPr>
        <w:t>表</w:t>
      </w:r>
      <w:r>
        <w:rPr>
          <w:rFonts w:hint="eastAsia"/>
          <w:b/>
          <w:bCs/>
          <w:sz w:val="28"/>
          <w:szCs w:val="28"/>
        </w:rPr>
        <w:t>3-1 2020年</w:t>
      </w:r>
      <w:r>
        <w:rPr>
          <w:rFonts w:hint="eastAsia"/>
          <w:b/>
          <w:bCs/>
          <w:sz w:val="28"/>
          <w:szCs w:val="28"/>
          <w:lang w:eastAsia="zh-CN"/>
        </w:rPr>
        <w:t>经济合作事务中心</w:t>
      </w:r>
      <w:r>
        <w:rPr>
          <w:rFonts w:hint="eastAsia"/>
          <w:b/>
          <w:bCs/>
          <w:sz w:val="28"/>
          <w:szCs w:val="28"/>
        </w:rPr>
        <w:t>绩效目标完成情况</w:t>
      </w:r>
    </w:p>
    <w:tbl>
      <w:tblPr>
        <w:tblStyle w:val="13"/>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4862"/>
        <w:gridCol w:w="1310"/>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868" w:type="dxa"/>
            <w:vAlign w:val="center"/>
          </w:tcPr>
          <w:p>
            <w:pPr>
              <w:pStyle w:val="2"/>
              <w:spacing w:before="93"/>
              <w:jc w:val="center"/>
              <w:rPr>
                <w:rFonts w:hint="eastAsia" w:ascii="宋体" w:hAnsi="宋体" w:eastAsia="宋体" w:cs="宋体"/>
                <w:b/>
                <w:bCs/>
                <w:sz w:val="22"/>
                <w:szCs w:val="22"/>
              </w:rPr>
            </w:pPr>
            <w:r>
              <w:rPr>
                <w:rFonts w:hint="eastAsia" w:ascii="宋体" w:hAnsi="宋体" w:eastAsia="宋体" w:cs="宋体"/>
                <w:b/>
                <w:bCs/>
                <w:sz w:val="22"/>
                <w:szCs w:val="22"/>
              </w:rPr>
              <w:t>项目名称</w:t>
            </w:r>
          </w:p>
        </w:tc>
        <w:tc>
          <w:tcPr>
            <w:tcW w:w="4862" w:type="dxa"/>
            <w:vAlign w:val="center"/>
          </w:tcPr>
          <w:p>
            <w:pPr>
              <w:pStyle w:val="2"/>
              <w:spacing w:before="93"/>
              <w:jc w:val="center"/>
              <w:rPr>
                <w:rFonts w:hint="eastAsia" w:ascii="宋体" w:hAnsi="宋体" w:eastAsia="宋体" w:cs="宋体"/>
                <w:b/>
                <w:bCs/>
                <w:sz w:val="22"/>
                <w:szCs w:val="22"/>
              </w:rPr>
            </w:pPr>
            <w:r>
              <w:rPr>
                <w:rFonts w:hint="eastAsia" w:ascii="宋体" w:hAnsi="宋体" w:eastAsia="宋体" w:cs="宋体"/>
                <w:b/>
                <w:bCs/>
                <w:sz w:val="22"/>
                <w:szCs w:val="22"/>
              </w:rPr>
              <w:t>项目完成指标</w:t>
            </w:r>
          </w:p>
        </w:tc>
        <w:tc>
          <w:tcPr>
            <w:tcW w:w="1310" w:type="dxa"/>
            <w:vAlign w:val="center"/>
          </w:tcPr>
          <w:p>
            <w:pPr>
              <w:pStyle w:val="2"/>
              <w:spacing w:before="93"/>
              <w:jc w:val="center"/>
              <w:rPr>
                <w:rFonts w:hint="eastAsia" w:ascii="宋体" w:hAnsi="宋体" w:eastAsia="宋体" w:cs="宋体"/>
                <w:b/>
                <w:bCs/>
                <w:sz w:val="22"/>
                <w:szCs w:val="22"/>
              </w:rPr>
            </w:pPr>
            <w:r>
              <w:rPr>
                <w:rFonts w:hint="eastAsia" w:ascii="宋体" w:hAnsi="宋体" w:eastAsia="宋体" w:cs="宋体"/>
                <w:b/>
                <w:bCs/>
                <w:sz w:val="22"/>
                <w:szCs w:val="22"/>
              </w:rPr>
              <w:t>实际完成情况</w:t>
            </w:r>
          </w:p>
        </w:tc>
        <w:tc>
          <w:tcPr>
            <w:tcW w:w="978" w:type="dxa"/>
            <w:vAlign w:val="center"/>
          </w:tcPr>
          <w:p>
            <w:pPr>
              <w:pStyle w:val="2"/>
              <w:spacing w:before="93"/>
              <w:jc w:val="center"/>
              <w:rPr>
                <w:rFonts w:hint="eastAsia" w:ascii="宋体" w:hAnsi="宋体" w:eastAsia="宋体" w:cs="宋体"/>
                <w:b/>
                <w:bCs/>
                <w:sz w:val="22"/>
                <w:szCs w:val="22"/>
              </w:rPr>
            </w:pPr>
            <w:r>
              <w:rPr>
                <w:rFonts w:hint="eastAsia" w:ascii="宋体" w:hAnsi="宋体" w:eastAsia="宋体" w:cs="宋体"/>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868" w:type="dxa"/>
            <w:vMerge w:val="restart"/>
            <w:vAlign w:val="center"/>
          </w:tcPr>
          <w:p>
            <w:pPr>
              <w:pStyle w:val="2"/>
              <w:spacing w:before="93"/>
              <w:jc w:val="center"/>
              <w:rPr>
                <w:rFonts w:hint="eastAsia" w:ascii="宋体" w:hAnsi="宋体" w:eastAsia="宋体" w:cs="宋体"/>
                <w:sz w:val="22"/>
                <w:szCs w:val="22"/>
              </w:rPr>
            </w:pPr>
            <w:r>
              <w:rPr>
                <w:rFonts w:hint="eastAsia" w:ascii="宋体" w:hAnsi="宋体" w:eastAsia="宋体" w:cs="宋体"/>
                <w:b/>
                <w:bCs/>
                <w:sz w:val="22"/>
                <w:szCs w:val="22"/>
              </w:rPr>
              <w:t>党组织活动经费</w:t>
            </w:r>
          </w:p>
        </w:tc>
        <w:tc>
          <w:tcPr>
            <w:tcW w:w="4862" w:type="dxa"/>
            <w:vAlign w:val="center"/>
          </w:tcPr>
          <w:p>
            <w:pPr>
              <w:pStyle w:val="2"/>
              <w:spacing w:before="93"/>
              <w:jc w:val="center"/>
              <w:rPr>
                <w:rFonts w:hint="eastAsia" w:ascii="宋体" w:hAnsi="宋体" w:eastAsia="宋体" w:cs="宋体"/>
                <w:sz w:val="22"/>
                <w:szCs w:val="22"/>
                <w:lang w:val="en-US" w:eastAsia="zh-CN"/>
              </w:rPr>
            </w:pPr>
            <w:r>
              <w:rPr>
                <w:rFonts w:hint="eastAsia" w:ascii="宋体" w:hAnsi="宋体" w:eastAsia="宋体" w:cs="宋体"/>
                <w:sz w:val="22"/>
                <w:szCs w:val="22"/>
                <w:lang w:eastAsia="zh-CN"/>
              </w:rPr>
              <w:t>开展支部委员会</w:t>
            </w:r>
            <w:r>
              <w:rPr>
                <w:rFonts w:hint="eastAsia" w:ascii="宋体" w:hAnsi="宋体" w:eastAsia="宋体" w:cs="宋体"/>
                <w:sz w:val="22"/>
                <w:szCs w:val="22"/>
                <w:lang w:val="en-US" w:eastAsia="zh-CN"/>
              </w:rPr>
              <w:t>12次，党小组会12次。</w:t>
            </w:r>
          </w:p>
        </w:tc>
        <w:tc>
          <w:tcPr>
            <w:tcW w:w="1310" w:type="dxa"/>
            <w:vAlign w:val="center"/>
          </w:tcPr>
          <w:p>
            <w:pPr>
              <w:pStyle w:val="2"/>
              <w:spacing w:before="93"/>
              <w:jc w:val="center"/>
              <w:rPr>
                <w:rFonts w:hint="eastAsia" w:ascii="宋体" w:hAnsi="宋体" w:eastAsia="宋体" w:cs="宋体"/>
                <w:sz w:val="22"/>
                <w:szCs w:val="22"/>
              </w:rPr>
            </w:pPr>
            <w:r>
              <w:rPr>
                <w:rFonts w:hint="eastAsia" w:ascii="宋体" w:hAnsi="宋体" w:eastAsia="宋体" w:cs="宋体"/>
                <w:sz w:val="22"/>
                <w:szCs w:val="22"/>
              </w:rPr>
              <w:t>完成</w:t>
            </w:r>
          </w:p>
        </w:tc>
        <w:tc>
          <w:tcPr>
            <w:tcW w:w="978" w:type="dxa"/>
            <w:vAlign w:val="center"/>
          </w:tcPr>
          <w:p>
            <w:pPr>
              <w:pStyle w:val="2"/>
              <w:spacing w:before="93"/>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868" w:type="dxa"/>
            <w:vMerge w:val="continue"/>
            <w:vAlign w:val="center"/>
          </w:tcPr>
          <w:p>
            <w:pPr>
              <w:pStyle w:val="2"/>
              <w:spacing w:before="93"/>
              <w:jc w:val="center"/>
              <w:rPr>
                <w:rFonts w:hint="eastAsia" w:ascii="宋体" w:hAnsi="宋体" w:eastAsia="宋体" w:cs="宋体"/>
                <w:sz w:val="22"/>
                <w:szCs w:val="22"/>
              </w:rPr>
            </w:pPr>
          </w:p>
        </w:tc>
        <w:tc>
          <w:tcPr>
            <w:tcW w:w="4862" w:type="dxa"/>
            <w:vAlign w:val="center"/>
          </w:tcPr>
          <w:p>
            <w:pPr>
              <w:pStyle w:val="2"/>
              <w:spacing w:before="93"/>
              <w:jc w:val="center"/>
              <w:rPr>
                <w:rFonts w:hint="eastAsia" w:ascii="宋体" w:hAnsi="宋体" w:eastAsia="宋体" w:cs="宋体"/>
                <w:sz w:val="22"/>
                <w:szCs w:val="22"/>
              </w:rPr>
            </w:pPr>
            <w:r>
              <w:rPr>
                <w:rFonts w:hint="eastAsia" w:ascii="宋体" w:hAnsi="宋体" w:eastAsia="宋体" w:cs="宋体"/>
                <w:sz w:val="22"/>
                <w:szCs w:val="22"/>
              </w:rPr>
              <w:t>组织党员教育培训4次</w:t>
            </w:r>
          </w:p>
        </w:tc>
        <w:tc>
          <w:tcPr>
            <w:tcW w:w="1310" w:type="dxa"/>
            <w:vAlign w:val="center"/>
          </w:tcPr>
          <w:p>
            <w:pPr>
              <w:pStyle w:val="2"/>
              <w:spacing w:before="93"/>
              <w:jc w:val="center"/>
              <w:rPr>
                <w:rFonts w:hint="eastAsia" w:ascii="宋体" w:hAnsi="宋体" w:eastAsia="宋体" w:cs="宋体"/>
                <w:sz w:val="22"/>
                <w:szCs w:val="22"/>
              </w:rPr>
            </w:pPr>
            <w:r>
              <w:rPr>
                <w:rFonts w:hint="eastAsia" w:ascii="宋体" w:hAnsi="宋体" w:eastAsia="宋体" w:cs="宋体"/>
                <w:sz w:val="22"/>
                <w:szCs w:val="22"/>
              </w:rPr>
              <w:t>完成</w:t>
            </w:r>
          </w:p>
        </w:tc>
        <w:tc>
          <w:tcPr>
            <w:tcW w:w="978" w:type="dxa"/>
            <w:vAlign w:val="center"/>
          </w:tcPr>
          <w:p>
            <w:pPr>
              <w:pStyle w:val="2"/>
              <w:spacing w:before="93"/>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868" w:type="dxa"/>
            <w:vMerge w:val="continue"/>
            <w:vAlign w:val="center"/>
          </w:tcPr>
          <w:p>
            <w:pPr>
              <w:pStyle w:val="2"/>
              <w:spacing w:before="93"/>
              <w:jc w:val="center"/>
              <w:rPr>
                <w:rFonts w:hint="eastAsia" w:ascii="宋体" w:hAnsi="宋体" w:eastAsia="宋体" w:cs="宋体"/>
                <w:sz w:val="22"/>
                <w:szCs w:val="22"/>
              </w:rPr>
            </w:pPr>
          </w:p>
        </w:tc>
        <w:tc>
          <w:tcPr>
            <w:tcW w:w="4862" w:type="dxa"/>
            <w:vAlign w:val="center"/>
          </w:tcPr>
          <w:p>
            <w:pPr>
              <w:pStyle w:val="2"/>
              <w:spacing w:before="93"/>
              <w:jc w:val="center"/>
              <w:rPr>
                <w:rFonts w:hint="eastAsia" w:ascii="宋体" w:hAnsi="宋体" w:eastAsia="宋体" w:cs="宋体"/>
                <w:sz w:val="22"/>
                <w:szCs w:val="22"/>
              </w:rPr>
            </w:pPr>
            <w:r>
              <w:rPr>
                <w:rFonts w:hint="eastAsia" w:ascii="宋体" w:hAnsi="宋体" w:eastAsia="宋体" w:cs="宋体"/>
                <w:sz w:val="22"/>
                <w:szCs w:val="22"/>
              </w:rPr>
              <w:t>订阅购买党建资料（含党报党刊）学习类，合计1</w:t>
            </w:r>
            <w:r>
              <w:rPr>
                <w:rFonts w:hint="eastAsia" w:ascii="宋体" w:hAnsi="宋体" w:eastAsia="宋体" w:cs="宋体"/>
                <w:sz w:val="22"/>
                <w:szCs w:val="22"/>
                <w:lang w:val="en-US" w:eastAsia="zh-CN"/>
              </w:rPr>
              <w:t>4</w:t>
            </w:r>
            <w:r>
              <w:rPr>
                <w:rFonts w:hint="eastAsia" w:ascii="宋体" w:hAnsi="宋体" w:eastAsia="宋体" w:cs="宋体"/>
                <w:sz w:val="22"/>
                <w:szCs w:val="22"/>
              </w:rPr>
              <w:t>份</w:t>
            </w:r>
          </w:p>
        </w:tc>
        <w:tc>
          <w:tcPr>
            <w:tcW w:w="1310" w:type="dxa"/>
            <w:vAlign w:val="center"/>
          </w:tcPr>
          <w:p>
            <w:pPr>
              <w:pStyle w:val="2"/>
              <w:spacing w:before="93"/>
              <w:jc w:val="center"/>
              <w:rPr>
                <w:rFonts w:hint="eastAsia" w:ascii="宋体" w:hAnsi="宋体" w:eastAsia="宋体" w:cs="宋体"/>
                <w:sz w:val="22"/>
                <w:szCs w:val="22"/>
              </w:rPr>
            </w:pPr>
            <w:r>
              <w:rPr>
                <w:rFonts w:hint="eastAsia" w:ascii="宋体" w:hAnsi="宋体" w:eastAsia="宋体" w:cs="宋体"/>
                <w:sz w:val="22"/>
                <w:szCs w:val="22"/>
              </w:rPr>
              <w:t>完成</w:t>
            </w:r>
          </w:p>
        </w:tc>
        <w:tc>
          <w:tcPr>
            <w:tcW w:w="978" w:type="dxa"/>
            <w:vAlign w:val="center"/>
          </w:tcPr>
          <w:p>
            <w:pPr>
              <w:pStyle w:val="2"/>
              <w:spacing w:before="93"/>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868" w:type="dxa"/>
            <w:vMerge w:val="continue"/>
            <w:vAlign w:val="center"/>
          </w:tcPr>
          <w:p>
            <w:pPr>
              <w:pStyle w:val="2"/>
              <w:spacing w:before="93"/>
              <w:jc w:val="center"/>
              <w:rPr>
                <w:rFonts w:hint="eastAsia" w:ascii="宋体" w:hAnsi="宋体" w:eastAsia="宋体" w:cs="宋体"/>
                <w:sz w:val="22"/>
                <w:szCs w:val="22"/>
              </w:rPr>
            </w:pPr>
          </w:p>
        </w:tc>
        <w:tc>
          <w:tcPr>
            <w:tcW w:w="4862" w:type="dxa"/>
            <w:vAlign w:val="center"/>
          </w:tcPr>
          <w:p>
            <w:pPr>
              <w:pStyle w:val="2"/>
              <w:spacing w:before="93"/>
              <w:jc w:val="center"/>
              <w:rPr>
                <w:rFonts w:hint="eastAsia" w:ascii="宋体" w:hAnsi="宋体" w:eastAsia="宋体" w:cs="宋体"/>
                <w:sz w:val="22"/>
                <w:szCs w:val="22"/>
              </w:rPr>
            </w:pPr>
            <w:r>
              <w:rPr>
                <w:rFonts w:hint="eastAsia" w:ascii="宋体" w:hAnsi="宋体" w:eastAsia="宋体" w:cs="宋体"/>
                <w:sz w:val="22"/>
                <w:szCs w:val="22"/>
              </w:rPr>
              <w:t>组织开展主题党员活动4次</w:t>
            </w:r>
          </w:p>
        </w:tc>
        <w:tc>
          <w:tcPr>
            <w:tcW w:w="1310" w:type="dxa"/>
            <w:vAlign w:val="center"/>
          </w:tcPr>
          <w:p>
            <w:pPr>
              <w:pStyle w:val="2"/>
              <w:spacing w:before="93"/>
              <w:jc w:val="center"/>
              <w:rPr>
                <w:rFonts w:hint="eastAsia" w:ascii="宋体" w:hAnsi="宋体" w:eastAsia="宋体" w:cs="宋体"/>
                <w:sz w:val="22"/>
                <w:szCs w:val="22"/>
              </w:rPr>
            </w:pPr>
            <w:r>
              <w:rPr>
                <w:rFonts w:hint="eastAsia" w:ascii="宋体" w:hAnsi="宋体" w:eastAsia="宋体" w:cs="宋体"/>
                <w:sz w:val="22"/>
                <w:szCs w:val="22"/>
              </w:rPr>
              <w:t>完成</w:t>
            </w:r>
          </w:p>
        </w:tc>
        <w:tc>
          <w:tcPr>
            <w:tcW w:w="978" w:type="dxa"/>
            <w:vAlign w:val="center"/>
          </w:tcPr>
          <w:p>
            <w:pPr>
              <w:pStyle w:val="2"/>
              <w:spacing w:before="93"/>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868" w:type="dxa"/>
            <w:vMerge w:val="restart"/>
            <w:vAlign w:val="center"/>
          </w:tcPr>
          <w:p>
            <w:pPr>
              <w:pStyle w:val="2"/>
              <w:spacing w:before="93"/>
              <w:jc w:val="center"/>
              <w:rPr>
                <w:rFonts w:hint="eastAsia" w:ascii="宋体" w:hAnsi="宋体" w:eastAsia="宋体" w:cs="宋体"/>
                <w:sz w:val="22"/>
                <w:szCs w:val="22"/>
                <w:lang w:eastAsia="zh-CN"/>
              </w:rPr>
            </w:pPr>
            <w:r>
              <w:rPr>
                <w:rFonts w:hint="eastAsia" w:ascii="宋体" w:hAnsi="宋体" w:eastAsia="宋体" w:cs="宋体"/>
                <w:b/>
                <w:bCs/>
                <w:sz w:val="22"/>
                <w:szCs w:val="22"/>
                <w:lang w:eastAsia="zh-CN"/>
              </w:rPr>
              <w:t>商分局招工作经费</w:t>
            </w:r>
          </w:p>
        </w:tc>
        <w:tc>
          <w:tcPr>
            <w:tcW w:w="4862" w:type="dxa"/>
            <w:vAlign w:val="center"/>
          </w:tcPr>
          <w:p>
            <w:pPr>
              <w:pStyle w:val="2"/>
              <w:spacing w:before="93"/>
              <w:jc w:val="center"/>
              <w:rPr>
                <w:rFonts w:hint="eastAsia" w:ascii="宋体" w:hAnsi="宋体" w:eastAsia="宋体" w:cs="宋体"/>
                <w:sz w:val="22"/>
                <w:szCs w:val="22"/>
                <w:lang w:val="en-US" w:eastAsia="zh-CN"/>
              </w:rPr>
            </w:pPr>
            <w:r>
              <w:rPr>
                <w:rFonts w:hint="eastAsia" w:ascii="宋体" w:hAnsi="宋体" w:eastAsia="宋体" w:cs="宋体"/>
                <w:sz w:val="22"/>
                <w:szCs w:val="22"/>
                <w:lang w:eastAsia="zh-CN"/>
              </w:rPr>
              <w:t>新开工重大产业项目</w:t>
            </w:r>
            <w:r>
              <w:rPr>
                <w:rFonts w:hint="eastAsia" w:ascii="宋体" w:hAnsi="宋体" w:eastAsia="宋体" w:cs="宋体"/>
                <w:sz w:val="22"/>
                <w:szCs w:val="22"/>
                <w:lang w:val="en-US" w:eastAsia="zh-CN"/>
              </w:rPr>
              <w:t>13个</w:t>
            </w:r>
          </w:p>
        </w:tc>
        <w:tc>
          <w:tcPr>
            <w:tcW w:w="1310" w:type="dxa"/>
            <w:vAlign w:val="center"/>
          </w:tcPr>
          <w:p>
            <w:pPr>
              <w:pStyle w:val="2"/>
              <w:spacing w:before="93"/>
              <w:jc w:val="center"/>
              <w:rPr>
                <w:rFonts w:hint="eastAsia" w:ascii="宋体" w:hAnsi="宋体" w:eastAsia="宋体" w:cs="宋体"/>
                <w:sz w:val="22"/>
                <w:szCs w:val="22"/>
              </w:rPr>
            </w:pPr>
            <w:r>
              <w:rPr>
                <w:rFonts w:hint="eastAsia" w:ascii="宋体" w:hAnsi="宋体" w:eastAsia="宋体" w:cs="宋体"/>
                <w:sz w:val="22"/>
                <w:szCs w:val="22"/>
              </w:rPr>
              <w:t>完成</w:t>
            </w:r>
          </w:p>
        </w:tc>
        <w:tc>
          <w:tcPr>
            <w:tcW w:w="978" w:type="dxa"/>
            <w:vAlign w:val="center"/>
          </w:tcPr>
          <w:p>
            <w:pPr>
              <w:pStyle w:val="2"/>
              <w:spacing w:before="93"/>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868" w:type="dxa"/>
            <w:vMerge w:val="continue"/>
            <w:vAlign w:val="center"/>
          </w:tcPr>
          <w:p>
            <w:pPr>
              <w:pStyle w:val="2"/>
              <w:spacing w:before="93"/>
              <w:jc w:val="center"/>
              <w:rPr>
                <w:rFonts w:hint="eastAsia" w:ascii="宋体" w:hAnsi="宋体" w:eastAsia="宋体" w:cs="宋体"/>
                <w:sz w:val="22"/>
                <w:szCs w:val="22"/>
              </w:rPr>
            </w:pPr>
          </w:p>
        </w:tc>
        <w:tc>
          <w:tcPr>
            <w:tcW w:w="4862" w:type="dxa"/>
            <w:vAlign w:val="center"/>
          </w:tcPr>
          <w:p>
            <w:pPr>
              <w:pStyle w:val="2"/>
              <w:spacing w:before="93"/>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新签约项目13个，全市重点项目储备库项目个数10个</w:t>
            </w:r>
          </w:p>
        </w:tc>
        <w:tc>
          <w:tcPr>
            <w:tcW w:w="1310" w:type="dxa"/>
            <w:vAlign w:val="center"/>
          </w:tcPr>
          <w:p>
            <w:pPr>
              <w:pStyle w:val="2"/>
              <w:spacing w:before="93"/>
              <w:jc w:val="center"/>
              <w:rPr>
                <w:rFonts w:hint="eastAsia" w:ascii="宋体" w:hAnsi="宋体" w:eastAsia="宋体" w:cs="宋体"/>
                <w:sz w:val="22"/>
                <w:szCs w:val="22"/>
              </w:rPr>
            </w:pPr>
            <w:r>
              <w:rPr>
                <w:rFonts w:hint="eastAsia" w:ascii="宋体" w:hAnsi="宋体" w:eastAsia="宋体" w:cs="宋体"/>
                <w:sz w:val="22"/>
                <w:szCs w:val="22"/>
              </w:rPr>
              <w:t>完成</w:t>
            </w:r>
          </w:p>
        </w:tc>
        <w:tc>
          <w:tcPr>
            <w:tcW w:w="978" w:type="dxa"/>
            <w:vAlign w:val="center"/>
          </w:tcPr>
          <w:p>
            <w:pPr>
              <w:pStyle w:val="2"/>
              <w:spacing w:before="93"/>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868" w:type="dxa"/>
            <w:vAlign w:val="center"/>
          </w:tcPr>
          <w:p>
            <w:pPr>
              <w:pStyle w:val="2"/>
              <w:spacing w:before="93"/>
              <w:jc w:val="center"/>
              <w:rPr>
                <w:rFonts w:hint="eastAsia" w:ascii="宋体" w:hAnsi="宋体" w:eastAsia="宋体" w:cs="宋体"/>
                <w:sz w:val="22"/>
                <w:szCs w:val="22"/>
              </w:rPr>
            </w:pPr>
            <w:r>
              <w:rPr>
                <w:rFonts w:hint="eastAsia" w:ascii="宋体" w:hAnsi="宋体" w:eastAsia="宋体" w:cs="宋体"/>
                <w:b/>
                <w:bCs/>
                <w:sz w:val="22"/>
                <w:szCs w:val="22"/>
                <w:lang w:eastAsia="zh-CN"/>
              </w:rPr>
              <w:t>招商引资宣传资料费</w:t>
            </w:r>
          </w:p>
        </w:tc>
        <w:tc>
          <w:tcPr>
            <w:tcW w:w="4862" w:type="dxa"/>
            <w:vAlign w:val="center"/>
          </w:tcPr>
          <w:p>
            <w:pPr>
              <w:pStyle w:val="2"/>
              <w:spacing w:before="93"/>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全年共制作项目册1000册制作；宣传画册1000册制作；招商宣传广告12批次,及时更新我县招商项目和旺苍县情介绍。</w:t>
            </w:r>
          </w:p>
        </w:tc>
        <w:tc>
          <w:tcPr>
            <w:tcW w:w="1310" w:type="dxa"/>
            <w:vAlign w:val="center"/>
          </w:tcPr>
          <w:p>
            <w:pPr>
              <w:pStyle w:val="2"/>
              <w:spacing w:before="93"/>
              <w:jc w:val="center"/>
              <w:rPr>
                <w:rFonts w:hint="eastAsia" w:ascii="宋体" w:hAnsi="宋体" w:eastAsia="宋体" w:cs="宋体"/>
                <w:sz w:val="22"/>
                <w:szCs w:val="22"/>
              </w:rPr>
            </w:pPr>
            <w:r>
              <w:rPr>
                <w:rFonts w:hint="eastAsia" w:ascii="宋体" w:hAnsi="宋体" w:eastAsia="宋体" w:cs="宋体"/>
                <w:sz w:val="22"/>
                <w:szCs w:val="22"/>
              </w:rPr>
              <w:t>完成</w:t>
            </w:r>
          </w:p>
        </w:tc>
        <w:tc>
          <w:tcPr>
            <w:tcW w:w="978" w:type="dxa"/>
            <w:vAlign w:val="center"/>
          </w:tcPr>
          <w:p>
            <w:pPr>
              <w:pStyle w:val="2"/>
              <w:spacing w:before="93"/>
              <w:jc w:val="center"/>
              <w:rPr>
                <w:rFonts w:hint="eastAsia" w:ascii="宋体" w:hAnsi="宋体" w:eastAsia="宋体" w:cs="宋体"/>
                <w:sz w:val="22"/>
                <w:szCs w:val="22"/>
              </w:rPr>
            </w:pP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该指标分值标准10分，根据指标评价标准和公式计算，综合参考2020年综合目标绩效考评结果，得分9.5分。</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（3）编制准确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经济合作事务中心</w:t>
      </w:r>
      <w:r>
        <w:rPr>
          <w:rFonts w:hint="eastAsia" w:ascii="仿宋_GB2312" w:eastAsia="仿宋_GB2312"/>
          <w:sz w:val="32"/>
          <w:szCs w:val="32"/>
        </w:rPr>
        <w:t>部门年初预算数为</w:t>
      </w:r>
      <w:r>
        <w:rPr>
          <w:rFonts w:hint="eastAsia" w:ascii="仿宋_GB2312" w:eastAsia="仿宋_GB2312"/>
          <w:sz w:val="32"/>
          <w:szCs w:val="32"/>
          <w:lang w:val="en-US" w:eastAsia="zh-CN"/>
        </w:rPr>
        <w:t>59.03</w:t>
      </w:r>
      <w:r>
        <w:rPr>
          <w:rFonts w:hint="eastAsia" w:ascii="仿宋_GB2312" w:eastAsia="仿宋_GB2312"/>
          <w:sz w:val="32"/>
          <w:szCs w:val="32"/>
        </w:rPr>
        <w:t>万元，预算调整数为</w:t>
      </w:r>
      <w:r>
        <w:rPr>
          <w:rFonts w:hint="eastAsia" w:ascii="仿宋_GB2312" w:eastAsia="仿宋_GB2312"/>
          <w:sz w:val="32"/>
          <w:szCs w:val="32"/>
          <w:lang w:val="en-US" w:eastAsia="zh-CN"/>
        </w:rPr>
        <w:t>78.22</w:t>
      </w:r>
      <w:r>
        <w:rPr>
          <w:rFonts w:hint="eastAsia" w:ascii="仿宋_GB2312" w:eastAsia="仿宋_GB2312"/>
          <w:sz w:val="32"/>
          <w:szCs w:val="32"/>
        </w:rPr>
        <w:t>万元，</w:t>
      </w:r>
      <w:r>
        <w:rPr>
          <w:rFonts w:hint="eastAsia" w:ascii="仿宋_GB2312" w:eastAsia="仿宋_GB2312"/>
          <w:color w:val="auto"/>
          <w:sz w:val="32"/>
          <w:szCs w:val="32"/>
          <w:highlight w:val="none"/>
        </w:rPr>
        <w:t>依据指标体系计分标准：指标得分=1-年初预算数（一上）/（财政下达数（一下）+预算调整数）基本支出资金，预决算偏差程度为24</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该指标分值标准5分，根据指标评价标准和公式计算，预决算程度偏差超过20%，不得分。参考全县预决算偏差程度，根据指标评价标准和公式计算</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预算执行情况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（1）支出控制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2020年，</w:t>
      </w:r>
      <w:r>
        <w:rPr>
          <w:rFonts w:hint="eastAsia" w:ascii="仿宋_GB2312" w:eastAsia="仿宋_GB2312"/>
          <w:sz w:val="32"/>
          <w:szCs w:val="32"/>
          <w:highlight w:val="none"/>
          <w:lang w:eastAsia="zh-CN"/>
        </w:rPr>
        <w:t>经济合作事务中心</w:t>
      </w:r>
      <w:r>
        <w:rPr>
          <w:rFonts w:hint="eastAsia" w:ascii="仿宋_GB2312" w:eastAsia="仿宋_GB2312"/>
          <w:sz w:val="32"/>
          <w:szCs w:val="32"/>
          <w:highlight w:val="none"/>
        </w:rPr>
        <w:t>部门公用经费及非定额公用支出预算金额为</w:t>
      </w:r>
      <w:r>
        <w:rPr>
          <w:rFonts w:hint="eastAsia" w:ascii="仿宋_GB2312" w:eastAsia="仿宋_GB2312"/>
          <w:sz w:val="32"/>
          <w:szCs w:val="32"/>
          <w:highlight w:val="none"/>
          <w:lang w:val="en-US" w:eastAsia="zh-CN"/>
        </w:rPr>
        <w:t>4.7</w:t>
      </w:r>
      <w:r>
        <w:rPr>
          <w:rFonts w:hint="eastAsia" w:ascii="仿宋_GB2312" w:eastAsia="仿宋_GB2312"/>
          <w:sz w:val="32"/>
          <w:szCs w:val="32"/>
          <w:highlight w:val="none"/>
        </w:rPr>
        <w:t>万元，其中：日常公用经费预算数</w:t>
      </w:r>
      <w:r>
        <w:rPr>
          <w:rFonts w:hint="eastAsia" w:ascii="仿宋_GB2312" w:eastAsia="仿宋_GB2312"/>
          <w:sz w:val="32"/>
          <w:szCs w:val="32"/>
          <w:highlight w:val="none"/>
          <w:lang w:val="en-US" w:eastAsia="zh-CN"/>
        </w:rPr>
        <w:t>4.7</w:t>
      </w:r>
      <w:r>
        <w:rPr>
          <w:rFonts w:hint="eastAsia" w:ascii="仿宋_GB2312" w:eastAsia="仿宋_GB2312"/>
          <w:sz w:val="32"/>
          <w:szCs w:val="32"/>
          <w:highlight w:val="none"/>
        </w:rPr>
        <w:t>万元，项目支出中办公费、印刷费、水费、电费、物业管理费预算数分别为0万元、0万元、0万元、0万元、0万元。决算金额为</w:t>
      </w:r>
      <w:r>
        <w:rPr>
          <w:rFonts w:hint="eastAsia" w:ascii="仿宋_GB2312" w:eastAsia="仿宋_GB2312"/>
          <w:sz w:val="32"/>
          <w:szCs w:val="32"/>
          <w:highlight w:val="none"/>
          <w:lang w:val="en-US" w:eastAsia="zh-CN"/>
        </w:rPr>
        <w:t>2.58</w:t>
      </w:r>
      <w:r>
        <w:rPr>
          <w:rFonts w:hint="eastAsia" w:ascii="仿宋_GB2312" w:eastAsia="仿宋_GB2312"/>
          <w:sz w:val="32"/>
          <w:szCs w:val="32"/>
          <w:highlight w:val="none"/>
        </w:rPr>
        <w:t>万元，其中：日常公用经费决算数</w:t>
      </w:r>
      <w:r>
        <w:rPr>
          <w:rFonts w:hint="eastAsia" w:ascii="仿宋_GB2312" w:eastAsia="仿宋_GB2312"/>
          <w:sz w:val="32"/>
          <w:szCs w:val="32"/>
          <w:highlight w:val="none"/>
          <w:lang w:val="en-US" w:eastAsia="zh-CN"/>
        </w:rPr>
        <w:t>2.58</w:t>
      </w:r>
      <w:r>
        <w:rPr>
          <w:rFonts w:hint="eastAsia" w:ascii="仿宋_GB2312" w:eastAsia="仿宋_GB2312"/>
          <w:sz w:val="32"/>
          <w:szCs w:val="32"/>
          <w:highlight w:val="none"/>
        </w:rPr>
        <w:t>万元，项目支出中办公费、印刷费、水费、电费、物业管理费预算数分别为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万元、0万元、</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万元、0万元。部门公用经费及非定额公用支出决算数与预算数的偏差程度为</w:t>
      </w:r>
      <w:r>
        <w:rPr>
          <w:rFonts w:hint="eastAsia" w:ascii="仿宋_GB2312" w:eastAsia="仿宋_GB2312"/>
          <w:sz w:val="32"/>
          <w:szCs w:val="32"/>
          <w:highlight w:val="none"/>
          <w:lang w:val="en-US" w:eastAsia="zh-CN"/>
        </w:rPr>
        <w:t>-45.12</w:t>
      </w:r>
      <w:r>
        <w:rPr>
          <w:rFonts w:hint="eastAsia" w:ascii="仿宋_GB2312" w:eastAsia="仿宋_GB2312"/>
          <w:sz w:val="32"/>
          <w:szCs w:val="32"/>
          <w:highlight w:val="none"/>
        </w:rPr>
        <w:t>%。</w:t>
      </w:r>
    </w:p>
    <w:p>
      <w:pPr>
        <w:pStyle w:val="19"/>
        <w:rPr>
          <w:rFonts w:hint="eastAsia"/>
          <w:highlight w:val="none"/>
        </w:rPr>
      </w:pPr>
    </w:p>
    <w:p>
      <w:pPr>
        <w:pStyle w:val="19"/>
        <w:rPr>
          <w:rFonts w:hint="eastAsia"/>
          <w:highlight w:val="none"/>
        </w:rPr>
      </w:pPr>
    </w:p>
    <w:p>
      <w:pPr>
        <w:pStyle w:val="19"/>
        <w:rPr>
          <w:rFonts w:hint="eastAsia"/>
          <w:highlight w:val="none"/>
        </w:rPr>
      </w:pPr>
    </w:p>
    <w:p>
      <w:pPr>
        <w:pStyle w:val="19"/>
        <w:rPr>
          <w:rFonts w:hint="eastAsia"/>
          <w:sz w:val="24"/>
          <w:szCs w:val="24"/>
          <w:highlight w:val="none"/>
        </w:rPr>
      </w:pPr>
      <w:r>
        <w:rPr>
          <w:rFonts w:hint="eastAsia"/>
          <w:sz w:val="24"/>
          <w:szCs w:val="24"/>
          <w:highlight w:val="none"/>
        </w:rPr>
        <w:t>表4-12020</w:t>
      </w:r>
      <w:r>
        <w:rPr>
          <w:sz w:val="24"/>
          <w:szCs w:val="24"/>
          <w:highlight w:val="none"/>
        </w:rPr>
        <w:t>年</w:t>
      </w:r>
      <w:r>
        <w:rPr>
          <w:rFonts w:hint="eastAsia"/>
          <w:sz w:val="24"/>
          <w:szCs w:val="24"/>
          <w:highlight w:val="none"/>
          <w:lang w:eastAsia="zh-CN"/>
        </w:rPr>
        <w:t>经济合作事务中心</w:t>
      </w:r>
      <w:r>
        <w:rPr>
          <w:rFonts w:hint="eastAsia"/>
          <w:sz w:val="24"/>
          <w:szCs w:val="24"/>
          <w:highlight w:val="none"/>
        </w:rPr>
        <w:t>部门公用经费及非定额公用支出预决算情况表</w:t>
      </w:r>
    </w:p>
    <w:tbl>
      <w:tblPr>
        <w:tblStyle w:val="12"/>
        <w:tblpPr w:leftFromText="180" w:rightFromText="180" w:vertAnchor="text" w:horzAnchor="page" w:tblpX="1620" w:tblpY="372"/>
        <w:tblOverlap w:val="never"/>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243"/>
        <w:gridCol w:w="1121"/>
        <w:gridCol w:w="1121"/>
        <w:gridCol w:w="1121"/>
        <w:gridCol w:w="1121"/>
        <w:gridCol w:w="1123"/>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trPr>
        <w:tc>
          <w:tcPr>
            <w:tcW w:w="987" w:type="dxa"/>
            <w:vMerge w:val="restart"/>
            <w:vAlign w:val="center"/>
          </w:tcPr>
          <w:p>
            <w:pPr>
              <w:pStyle w:val="20"/>
              <w:jc w:val="center"/>
              <w:rPr>
                <w:rFonts w:hint="eastAsia" w:ascii="宋体" w:hAnsi="宋体" w:eastAsia="宋体" w:cs="宋体"/>
                <w:color w:val="auto"/>
                <w:highlight w:val="none"/>
              </w:rPr>
            </w:pPr>
          </w:p>
        </w:tc>
        <w:tc>
          <w:tcPr>
            <w:tcW w:w="1243" w:type="dxa"/>
            <w:vMerge w:val="restart"/>
            <w:vAlign w:val="center"/>
          </w:tcPr>
          <w:p>
            <w:pPr>
              <w:pStyle w:val="20"/>
              <w:jc w:val="center"/>
              <w:rPr>
                <w:rFonts w:hint="eastAsia" w:ascii="宋体" w:hAnsi="宋体" w:eastAsia="宋体" w:cs="宋体"/>
                <w:b/>
                <w:color w:val="auto"/>
                <w:highlight w:val="none"/>
                <w:lang w:val="en-US"/>
              </w:rPr>
            </w:pPr>
            <w:r>
              <w:rPr>
                <w:rFonts w:hint="eastAsia" w:ascii="宋体" w:hAnsi="宋体" w:eastAsia="宋体" w:cs="宋体"/>
                <w:b/>
                <w:color w:val="auto"/>
                <w:highlight w:val="none"/>
                <w:lang w:val="en-US"/>
              </w:rPr>
              <w:t>日常公用经费</w:t>
            </w:r>
          </w:p>
        </w:tc>
        <w:tc>
          <w:tcPr>
            <w:tcW w:w="5607" w:type="dxa"/>
            <w:gridSpan w:val="5"/>
            <w:vAlign w:val="center"/>
          </w:tcPr>
          <w:p>
            <w:pPr>
              <w:pStyle w:val="20"/>
              <w:jc w:val="center"/>
              <w:rPr>
                <w:rFonts w:hint="eastAsia" w:ascii="宋体" w:hAnsi="宋体" w:eastAsia="宋体" w:cs="宋体"/>
                <w:b/>
                <w:color w:val="auto"/>
                <w:highlight w:val="none"/>
                <w:lang w:val="en-US"/>
              </w:rPr>
            </w:pPr>
            <w:r>
              <w:rPr>
                <w:rFonts w:hint="eastAsia" w:ascii="宋体" w:hAnsi="宋体" w:eastAsia="宋体" w:cs="宋体"/>
                <w:b/>
                <w:color w:val="auto"/>
                <w:highlight w:val="none"/>
                <w:lang w:val="en-US"/>
              </w:rPr>
              <w:t>非定额公用支出</w:t>
            </w:r>
          </w:p>
        </w:tc>
        <w:tc>
          <w:tcPr>
            <w:tcW w:w="1181" w:type="dxa"/>
            <w:vMerge w:val="restart"/>
            <w:vAlign w:val="center"/>
          </w:tcPr>
          <w:p>
            <w:pPr>
              <w:pStyle w:val="20"/>
              <w:jc w:val="center"/>
              <w:rPr>
                <w:rFonts w:hint="eastAsia" w:ascii="宋体" w:hAnsi="宋体" w:eastAsia="宋体" w:cs="宋体"/>
                <w:b/>
                <w:color w:val="auto"/>
                <w:highlight w:val="none"/>
                <w:lang w:val="en-US"/>
              </w:rPr>
            </w:pPr>
            <w:r>
              <w:rPr>
                <w:rFonts w:hint="eastAsia" w:ascii="宋体" w:hAnsi="宋体" w:eastAsia="宋体" w:cs="宋体"/>
                <w:b/>
                <w:color w:val="auto"/>
                <w:highlight w:val="none"/>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87" w:type="dxa"/>
            <w:vMerge w:val="continue"/>
            <w:vAlign w:val="center"/>
          </w:tcPr>
          <w:p>
            <w:pPr>
              <w:pStyle w:val="20"/>
              <w:jc w:val="center"/>
              <w:rPr>
                <w:rFonts w:hint="eastAsia" w:ascii="宋体" w:hAnsi="宋体" w:eastAsia="宋体" w:cs="宋体"/>
                <w:color w:val="auto"/>
                <w:highlight w:val="none"/>
              </w:rPr>
            </w:pPr>
          </w:p>
        </w:tc>
        <w:tc>
          <w:tcPr>
            <w:tcW w:w="1243" w:type="dxa"/>
            <w:vMerge w:val="continue"/>
            <w:vAlign w:val="center"/>
          </w:tcPr>
          <w:p>
            <w:pPr>
              <w:pStyle w:val="20"/>
              <w:jc w:val="center"/>
              <w:rPr>
                <w:rFonts w:hint="eastAsia" w:ascii="宋体" w:hAnsi="宋体" w:eastAsia="宋体" w:cs="宋体"/>
                <w:color w:val="auto"/>
                <w:highlight w:val="none"/>
                <w:lang w:val="en-US"/>
              </w:rPr>
            </w:pPr>
          </w:p>
        </w:tc>
        <w:tc>
          <w:tcPr>
            <w:tcW w:w="1121" w:type="dxa"/>
            <w:vAlign w:val="center"/>
          </w:tcPr>
          <w:p>
            <w:pPr>
              <w:pStyle w:val="20"/>
              <w:jc w:val="center"/>
              <w:rPr>
                <w:rFonts w:hint="eastAsia" w:ascii="宋体" w:hAnsi="宋体" w:eastAsia="宋体" w:cs="宋体"/>
                <w:b/>
                <w:color w:val="auto"/>
                <w:highlight w:val="none"/>
                <w:lang w:val="en-US"/>
              </w:rPr>
            </w:pPr>
            <w:r>
              <w:rPr>
                <w:rFonts w:hint="eastAsia" w:ascii="宋体" w:hAnsi="宋体" w:eastAsia="宋体" w:cs="宋体"/>
                <w:b/>
                <w:color w:val="auto"/>
                <w:highlight w:val="none"/>
                <w:lang w:val="en-US"/>
              </w:rPr>
              <w:t>办公费</w:t>
            </w:r>
          </w:p>
        </w:tc>
        <w:tc>
          <w:tcPr>
            <w:tcW w:w="1121" w:type="dxa"/>
            <w:vAlign w:val="center"/>
          </w:tcPr>
          <w:p>
            <w:pPr>
              <w:pStyle w:val="20"/>
              <w:jc w:val="center"/>
              <w:rPr>
                <w:rFonts w:hint="eastAsia" w:ascii="宋体" w:hAnsi="宋体" w:eastAsia="宋体" w:cs="宋体"/>
                <w:b/>
                <w:color w:val="auto"/>
                <w:highlight w:val="none"/>
                <w:lang w:val="en-US"/>
              </w:rPr>
            </w:pPr>
            <w:r>
              <w:rPr>
                <w:rFonts w:hint="eastAsia" w:ascii="宋体" w:hAnsi="宋体" w:eastAsia="宋体" w:cs="宋体"/>
                <w:b/>
                <w:color w:val="auto"/>
                <w:highlight w:val="none"/>
                <w:lang w:val="en-US"/>
              </w:rPr>
              <w:t>印刷费</w:t>
            </w:r>
          </w:p>
        </w:tc>
        <w:tc>
          <w:tcPr>
            <w:tcW w:w="1121" w:type="dxa"/>
            <w:vAlign w:val="center"/>
          </w:tcPr>
          <w:p>
            <w:pPr>
              <w:pStyle w:val="20"/>
              <w:jc w:val="center"/>
              <w:rPr>
                <w:rFonts w:hint="eastAsia" w:ascii="宋体" w:hAnsi="宋体" w:eastAsia="宋体" w:cs="宋体"/>
                <w:b/>
                <w:color w:val="auto"/>
                <w:highlight w:val="none"/>
                <w:lang w:val="en-US"/>
              </w:rPr>
            </w:pPr>
            <w:r>
              <w:rPr>
                <w:rFonts w:hint="eastAsia" w:ascii="宋体" w:hAnsi="宋体" w:eastAsia="宋体" w:cs="宋体"/>
                <w:b/>
                <w:color w:val="auto"/>
                <w:highlight w:val="none"/>
                <w:lang w:val="en-US"/>
              </w:rPr>
              <w:t>水费</w:t>
            </w:r>
          </w:p>
        </w:tc>
        <w:tc>
          <w:tcPr>
            <w:tcW w:w="1121" w:type="dxa"/>
            <w:vAlign w:val="center"/>
          </w:tcPr>
          <w:p>
            <w:pPr>
              <w:pStyle w:val="20"/>
              <w:jc w:val="center"/>
              <w:rPr>
                <w:rFonts w:hint="eastAsia" w:ascii="宋体" w:hAnsi="宋体" w:eastAsia="宋体" w:cs="宋体"/>
                <w:b/>
                <w:color w:val="auto"/>
                <w:highlight w:val="none"/>
                <w:lang w:val="en-US"/>
              </w:rPr>
            </w:pPr>
            <w:r>
              <w:rPr>
                <w:rFonts w:hint="eastAsia" w:ascii="宋体" w:hAnsi="宋体" w:eastAsia="宋体" w:cs="宋体"/>
                <w:b/>
                <w:color w:val="auto"/>
                <w:highlight w:val="none"/>
                <w:lang w:val="en-US"/>
              </w:rPr>
              <w:t>电费</w:t>
            </w:r>
          </w:p>
        </w:tc>
        <w:tc>
          <w:tcPr>
            <w:tcW w:w="1123" w:type="dxa"/>
            <w:vAlign w:val="center"/>
          </w:tcPr>
          <w:p>
            <w:pPr>
              <w:pStyle w:val="20"/>
              <w:jc w:val="center"/>
              <w:rPr>
                <w:rFonts w:hint="eastAsia" w:ascii="宋体" w:hAnsi="宋体" w:eastAsia="宋体" w:cs="宋体"/>
                <w:b/>
                <w:color w:val="auto"/>
                <w:highlight w:val="none"/>
                <w:lang w:val="en-US"/>
              </w:rPr>
            </w:pPr>
            <w:r>
              <w:rPr>
                <w:rFonts w:hint="eastAsia" w:ascii="宋体" w:hAnsi="宋体" w:eastAsia="宋体" w:cs="宋体"/>
                <w:b/>
                <w:color w:val="auto"/>
                <w:highlight w:val="none"/>
                <w:lang w:val="en-US"/>
              </w:rPr>
              <w:t>物业管理费</w:t>
            </w:r>
          </w:p>
        </w:tc>
        <w:tc>
          <w:tcPr>
            <w:tcW w:w="1181" w:type="dxa"/>
            <w:vMerge w:val="continue"/>
            <w:vAlign w:val="center"/>
          </w:tcPr>
          <w:p>
            <w:pPr>
              <w:pStyle w:val="20"/>
              <w:jc w:val="center"/>
              <w:rPr>
                <w:rFonts w:hint="eastAsia" w:ascii="宋体" w:hAnsi="宋体" w:eastAsia="宋体" w:cs="宋体"/>
                <w:b/>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87" w:type="dxa"/>
            <w:vAlign w:val="center"/>
          </w:tcPr>
          <w:p>
            <w:pPr>
              <w:pStyle w:val="20"/>
              <w:jc w:val="center"/>
              <w:rPr>
                <w:rFonts w:hint="eastAsia" w:ascii="宋体" w:hAnsi="宋体" w:eastAsia="宋体" w:cs="宋体"/>
                <w:color w:val="auto"/>
                <w:highlight w:val="none"/>
                <w:lang w:val="en-US"/>
              </w:rPr>
            </w:pPr>
            <w:r>
              <w:rPr>
                <w:rFonts w:hint="eastAsia" w:ascii="宋体" w:hAnsi="宋体" w:eastAsia="宋体" w:cs="宋体"/>
                <w:b/>
                <w:bCs w:val="0"/>
                <w:color w:val="auto"/>
                <w:highlight w:val="none"/>
                <w:lang w:val="en-US"/>
              </w:rPr>
              <w:t>预算数</w:t>
            </w:r>
          </w:p>
        </w:tc>
        <w:tc>
          <w:tcPr>
            <w:tcW w:w="1243" w:type="dxa"/>
            <w:vAlign w:val="center"/>
          </w:tcPr>
          <w:p>
            <w:pPr>
              <w:pStyle w:val="2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4.7</w:t>
            </w:r>
          </w:p>
        </w:tc>
        <w:tc>
          <w:tcPr>
            <w:tcW w:w="1121" w:type="dxa"/>
            <w:vAlign w:val="center"/>
          </w:tcPr>
          <w:p>
            <w:pPr>
              <w:pStyle w:val="2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0</w:t>
            </w:r>
          </w:p>
        </w:tc>
        <w:tc>
          <w:tcPr>
            <w:tcW w:w="1121" w:type="dxa"/>
            <w:vAlign w:val="center"/>
          </w:tcPr>
          <w:p>
            <w:pPr>
              <w:pStyle w:val="2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0</w:t>
            </w:r>
          </w:p>
        </w:tc>
        <w:tc>
          <w:tcPr>
            <w:tcW w:w="1121" w:type="dxa"/>
            <w:vAlign w:val="center"/>
          </w:tcPr>
          <w:p>
            <w:pPr>
              <w:pStyle w:val="2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0</w:t>
            </w:r>
          </w:p>
        </w:tc>
        <w:tc>
          <w:tcPr>
            <w:tcW w:w="1121" w:type="dxa"/>
            <w:vAlign w:val="center"/>
          </w:tcPr>
          <w:p>
            <w:pPr>
              <w:pStyle w:val="2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0</w:t>
            </w:r>
          </w:p>
        </w:tc>
        <w:tc>
          <w:tcPr>
            <w:tcW w:w="1123" w:type="dxa"/>
            <w:vAlign w:val="center"/>
          </w:tcPr>
          <w:p>
            <w:pPr>
              <w:pStyle w:val="2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0</w:t>
            </w:r>
          </w:p>
        </w:tc>
        <w:tc>
          <w:tcPr>
            <w:tcW w:w="1181" w:type="dxa"/>
            <w:vAlign w:val="center"/>
          </w:tcPr>
          <w:p>
            <w:pPr>
              <w:pStyle w:val="2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87" w:type="dxa"/>
            <w:vAlign w:val="center"/>
          </w:tcPr>
          <w:p>
            <w:pPr>
              <w:pStyle w:val="20"/>
              <w:jc w:val="center"/>
              <w:rPr>
                <w:rFonts w:hint="eastAsia" w:ascii="宋体" w:hAnsi="宋体" w:eastAsia="宋体" w:cs="宋体"/>
                <w:b/>
                <w:color w:val="auto"/>
                <w:highlight w:val="none"/>
                <w:lang w:val="en-US"/>
              </w:rPr>
            </w:pPr>
            <w:r>
              <w:rPr>
                <w:rFonts w:hint="eastAsia" w:ascii="宋体" w:hAnsi="宋体" w:eastAsia="宋体" w:cs="宋体"/>
                <w:b/>
                <w:color w:val="auto"/>
                <w:highlight w:val="none"/>
                <w:lang w:val="en-US"/>
              </w:rPr>
              <w:t>决算数</w:t>
            </w:r>
          </w:p>
        </w:tc>
        <w:tc>
          <w:tcPr>
            <w:tcW w:w="1243" w:type="dxa"/>
            <w:vAlign w:val="center"/>
          </w:tcPr>
          <w:p>
            <w:pPr>
              <w:pStyle w:val="20"/>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2.58</w:t>
            </w:r>
          </w:p>
        </w:tc>
        <w:tc>
          <w:tcPr>
            <w:tcW w:w="1121" w:type="dxa"/>
            <w:vAlign w:val="center"/>
          </w:tcPr>
          <w:p>
            <w:pPr>
              <w:pStyle w:val="20"/>
              <w:jc w:val="center"/>
              <w:rPr>
                <w:rFonts w:hint="eastAsia" w:ascii="宋体" w:hAnsi="宋体" w:eastAsia="宋体" w:cs="宋体"/>
                <w:bCs w:val="0"/>
                <w:color w:val="auto"/>
                <w:highlight w:val="none"/>
                <w:lang w:val="en-US" w:eastAsia="zh-CN"/>
              </w:rPr>
            </w:pPr>
            <w:r>
              <w:rPr>
                <w:rFonts w:hint="eastAsia" w:ascii="宋体" w:hAnsi="宋体" w:eastAsia="宋体" w:cs="宋体"/>
                <w:bCs w:val="0"/>
                <w:color w:val="auto"/>
                <w:highlight w:val="none"/>
                <w:lang w:val="en-US" w:eastAsia="zh-CN"/>
              </w:rPr>
              <w:t>0</w:t>
            </w:r>
          </w:p>
        </w:tc>
        <w:tc>
          <w:tcPr>
            <w:tcW w:w="1121" w:type="dxa"/>
            <w:vAlign w:val="center"/>
          </w:tcPr>
          <w:p>
            <w:pPr>
              <w:pStyle w:val="20"/>
              <w:jc w:val="center"/>
              <w:rPr>
                <w:rFonts w:hint="eastAsia" w:ascii="宋体" w:hAnsi="宋体" w:eastAsia="宋体" w:cs="宋体"/>
                <w:bCs w:val="0"/>
                <w:color w:val="auto"/>
                <w:highlight w:val="none"/>
                <w:lang w:val="en-US" w:eastAsia="zh-CN"/>
              </w:rPr>
            </w:pPr>
            <w:r>
              <w:rPr>
                <w:rFonts w:hint="eastAsia" w:ascii="宋体" w:hAnsi="宋体" w:eastAsia="宋体" w:cs="宋体"/>
                <w:bCs w:val="0"/>
                <w:color w:val="auto"/>
                <w:highlight w:val="none"/>
                <w:lang w:val="en-US" w:eastAsia="zh-CN"/>
              </w:rPr>
              <w:t>0</w:t>
            </w:r>
          </w:p>
        </w:tc>
        <w:tc>
          <w:tcPr>
            <w:tcW w:w="1121" w:type="dxa"/>
            <w:vAlign w:val="center"/>
          </w:tcPr>
          <w:p>
            <w:pPr>
              <w:pStyle w:val="20"/>
              <w:jc w:val="center"/>
              <w:rPr>
                <w:rFonts w:hint="eastAsia" w:ascii="宋体" w:hAnsi="宋体" w:eastAsia="宋体" w:cs="宋体"/>
                <w:bCs w:val="0"/>
                <w:color w:val="auto"/>
                <w:highlight w:val="none"/>
                <w:lang w:val="en-US"/>
              </w:rPr>
            </w:pPr>
            <w:r>
              <w:rPr>
                <w:rFonts w:hint="eastAsia" w:ascii="宋体" w:hAnsi="宋体" w:eastAsia="宋体" w:cs="宋体"/>
                <w:bCs w:val="0"/>
                <w:color w:val="auto"/>
                <w:highlight w:val="none"/>
                <w:lang w:val="en-US"/>
              </w:rPr>
              <w:t>0</w:t>
            </w:r>
          </w:p>
        </w:tc>
        <w:tc>
          <w:tcPr>
            <w:tcW w:w="1121" w:type="dxa"/>
            <w:vAlign w:val="center"/>
          </w:tcPr>
          <w:p>
            <w:pPr>
              <w:pStyle w:val="20"/>
              <w:jc w:val="center"/>
              <w:rPr>
                <w:rFonts w:hint="eastAsia" w:ascii="宋体" w:hAnsi="宋体" w:eastAsia="宋体" w:cs="宋体"/>
                <w:bCs w:val="0"/>
                <w:color w:val="auto"/>
                <w:highlight w:val="none"/>
                <w:lang w:val="en-US" w:eastAsia="zh-CN"/>
              </w:rPr>
            </w:pPr>
            <w:r>
              <w:rPr>
                <w:rFonts w:hint="eastAsia" w:ascii="宋体" w:hAnsi="宋体" w:eastAsia="宋体" w:cs="宋体"/>
                <w:bCs w:val="0"/>
                <w:color w:val="auto"/>
                <w:highlight w:val="none"/>
                <w:lang w:val="en-US" w:eastAsia="zh-CN"/>
              </w:rPr>
              <w:t>0</w:t>
            </w:r>
          </w:p>
        </w:tc>
        <w:tc>
          <w:tcPr>
            <w:tcW w:w="1123" w:type="dxa"/>
            <w:vAlign w:val="center"/>
          </w:tcPr>
          <w:p>
            <w:pPr>
              <w:pStyle w:val="20"/>
              <w:jc w:val="center"/>
              <w:rPr>
                <w:rFonts w:hint="eastAsia" w:ascii="宋体" w:hAnsi="宋体" w:eastAsia="宋体" w:cs="宋体"/>
                <w:bCs w:val="0"/>
                <w:color w:val="auto"/>
                <w:highlight w:val="none"/>
                <w:lang w:val="en-US"/>
              </w:rPr>
            </w:pPr>
            <w:r>
              <w:rPr>
                <w:rFonts w:hint="eastAsia" w:ascii="宋体" w:hAnsi="宋体" w:eastAsia="宋体" w:cs="宋体"/>
                <w:bCs w:val="0"/>
                <w:color w:val="auto"/>
                <w:highlight w:val="none"/>
                <w:lang w:val="en-US"/>
              </w:rPr>
              <w:t>0</w:t>
            </w:r>
          </w:p>
        </w:tc>
        <w:tc>
          <w:tcPr>
            <w:tcW w:w="1181" w:type="dxa"/>
            <w:vAlign w:val="center"/>
          </w:tcPr>
          <w:p>
            <w:pPr>
              <w:pStyle w:val="20"/>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2.58</w:t>
            </w:r>
          </w:p>
        </w:tc>
      </w:tr>
    </w:tbl>
    <w:p>
      <w:pPr>
        <w:pStyle w:val="19"/>
        <w:jc w:val="right"/>
        <w:rPr>
          <w:sz w:val="21"/>
          <w:szCs w:val="21"/>
        </w:rPr>
      </w:pPr>
      <w:r>
        <w:rPr>
          <w:rFonts w:hint="eastAsia"/>
          <w:sz w:val="21"/>
          <w:szCs w:val="21"/>
        </w:rPr>
        <w:t>单位</w:t>
      </w:r>
      <w:r>
        <w:rPr>
          <w:sz w:val="21"/>
          <w:szCs w:val="21"/>
        </w:rPr>
        <w:t>：万元</w:t>
      </w:r>
    </w:p>
    <w:p>
      <w:pPr>
        <w:spacing w:line="56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该指标分值标准10分，根据指标评价标准和公式计算，预决算偏差程度</w:t>
      </w:r>
      <w:r>
        <w:rPr>
          <w:rFonts w:hint="eastAsia" w:ascii="仿宋_GB2312" w:eastAsia="仿宋_GB2312"/>
          <w:sz w:val="32"/>
          <w:szCs w:val="32"/>
          <w:lang w:eastAsia="zh-CN"/>
        </w:rPr>
        <w:t>未</w:t>
      </w:r>
      <w:r>
        <w:rPr>
          <w:rFonts w:hint="eastAsia" w:ascii="仿宋_GB2312" w:eastAsia="仿宋_GB2312"/>
          <w:sz w:val="32"/>
          <w:szCs w:val="32"/>
        </w:rPr>
        <w:t>超过20%，得</w:t>
      </w:r>
      <w:r>
        <w:rPr>
          <w:rFonts w:hint="eastAsia" w:ascii="仿宋_GB2312" w:eastAsia="仿宋_GB2312"/>
          <w:sz w:val="32"/>
          <w:szCs w:val="32"/>
          <w:lang w:val="en-US" w:eastAsia="zh-CN"/>
        </w:rPr>
        <w:t>7</w:t>
      </w:r>
      <w:r>
        <w:rPr>
          <w:rFonts w:hint="eastAsia" w:ascii="仿宋_GB2312" w:eastAsia="仿宋_GB2312"/>
          <w:sz w:val="32"/>
          <w:szCs w:val="32"/>
        </w:rPr>
        <w:t>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（2）动态调整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2020年，</w:t>
      </w:r>
      <w:r>
        <w:rPr>
          <w:rFonts w:hint="eastAsia" w:ascii="仿宋_GB2312" w:eastAsia="仿宋_GB2312"/>
          <w:sz w:val="32"/>
          <w:szCs w:val="32"/>
          <w:lang w:eastAsia="zh-CN"/>
        </w:rPr>
        <w:t>经济合作事务中心</w:t>
      </w:r>
      <w:r>
        <w:rPr>
          <w:rFonts w:hint="eastAsia" w:ascii="仿宋_GB2312" w:eastAsia="仿宋_GB2312"/>
          <w:sz w:val="32"/>
          <w:szCs w:val="32"/>
        </w:rPr>
        <w:t>绩效监控调整取消额为0元，预算结余注销额为0万元。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该指标分值标准10分，根据指标评价标准和公式计算，得分10分。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（3）执行进度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根据《旺苍县2021年度部门整体支出绩效评价指标体系》，部门预算执行进度在6、9、11月应达到序时进度的80%、90%、90%，即实际支出进度分别达到</w:t>
      </w:r>
      <w:r>
        <w:rPr>
          <w:rFonts w:hint="eastAsia" w:ascii="仿宋_GB2312" w:eastAsia="仿宋_GB2312"/>
          <w:sz w:val="32"/>
          <w:szCs w:val="32"/>
          <w:lang w:val="en-US" w:eastAsia="zh-CN"/>
        </w:rPr>
        <w:t>40.59</w:t>
      </w:r>
      <w:r>
        <w:rPr>
          <w:rFonts w:hint="eastAsia" w:ascii="仿宋_GB2312" w:eastAsia="仿宋_GB2312"/>
          <w:sz w:val="32"/>
          <w:szCs w:val="32"/>
        </w:rPr>
        <w:t>%、</w:t>
      </w:r>
      <w:r>
        <w:rPr>
          <w:rFonts w:hint="eastAsia" w:ascii="仿宋_GB2312" w:eastAsia="仿宋_GB2312"/>
          <w:sz w:val="32"/>
          <w:szCs w:val="32"/>
          <w:lang w:val="en-US" w:eastAsia="zh-CN"/>
        </w:rPr>
        <w:t>65.26</w:t>
      </w:r>
      <w:r>
        <w:rPr>
          <w:rFonts w:hint="eastAsia" w:ascii="仿宋_GB2312" w:eastAsia="仿宋_GB2312"/>
          <w:sz w:val="32"/>
          <w:szCs w:val="32"/>
        </w:rPr>
        <w:t>%、</w:t>
      </w:r>
      <w:r>
        <w:rPr>
          <w:rFonts w:hint="eastAsia" w:ascii="仿宋_GB2312" w:eastAsia="仿宋_GB2312"/>
          <w:sz w:val="32"/>
          <w:szCs w:val="32"/>
          <w:lang w:val="en-US" w:eastAsia="zh-CN"/>
        </w:rPr>
        <w:t>83.21</w:t>
      </w:r>
      <w:r>
        <w:rPr>
          <w:rFonts w:hint="eastAsia" w:ascii="仿宋_GB2312" w:eastAsia="仿宋_GB2312"/>
          <w:sz w:val="32"/>
          <w:szCs w:val="32"/>
        </w:rPr>
        <w:t>%。</w:t>
      </w:r>
      <w:r>
        <w:rPr>
          <w:rFonts w:hint="eastAsia" w:ascii="仿宋_GB2312" w:eastAsia="仿宋_GB2312"/>
          <w:sz w:val="32"/>
          <w:szCs w:val="32"/>
          <w:lang w:eastAsia="zh-CN"/>
        </w:rPr>
        <w:t>经济合作事务中心</w:t>
      </w:r>
      <w:r>
        <w:rPr>
          <w:rFonts w:hint="eastAsia" w:ascii="仿宋_GB2312" w:eastAsia="仿宋_GB2312"/>
          <w:sz w:val="32"/>
          <w:szCs w:val="32"/>
        </w:rPr>
        <w:t>2020年1-6月预算数</w:t>
      </w:r>
      <w:r>
        <w:rPr>
          <w:rFonts w:hint="eastAsia" w:ascii="仿宋_GB2312" w:eastAsia="仿宋_GB2312"/>
          <w:sz w:val="32"/>
          <w:szCs w:val="32"/>
          <w:lang w:val="en-US" w:eastAsia="zh-CN"/>
        </w:rPr>
        <w:t>241.85</w:t>
      </w:r>
      <w:r>
        <w:rPr>
          <w:rFonts w:hint="eastAsia" w:ascii="仿宋_GB2312" w:eastAsia="仿宋_GB2312"/>
          <w:sz w:val="32"/>
          <w:szCs w:val="32"/>
        </w:rPr>
        <w:t>万元，执行数</w:t>
      </w:r>
      <w:r>
        <w:rPr>
          <w:rFonts w:hint="eastAsia" w:ascii="仿宋_GB2312" w:eastAsia="仿宋_GB2312"/>
          <w:sz w:val="32"/>
          <w:szCs w:val="32"/>
          <w:lang w:val="en-US" w:eastAsia="zh-CN"/>
        </w:rPr>
        <w:t>98.14</w:t>
      </w:r>
      <w:r>
        <w:rPr>
          <w:rFonts w:hint="eastAsia" w:ascii="仿宋_GB2312" w:eastAsia="仿宋_GB2312"/>
          <w:sz w:val="32"/>
          <w:szCs w:val="32"/>
        </w:rPr>
        <w:t>万元，执行进度</w:t>
      </w:r>
      <w:r>
        <w:rPr>
          <w:rFonts w:hint="eastAsia" w:ascii="仿宋_GB2312" w:eastAsia="仿宋_GB2312"/>
          <w:sz w:val="32"/>
          <w:szCs w:val="32"/>
          <w:lang w:val="en-US" w:eastAsia="zh-CN"/>
        </w:rPr>
        <w:t>40.59</w:t>
      </w:r>
      <w:r>
        <w:rPr>
          <w:rFonts w:hint="eastAsia" w:ascii="仿宋_GB2312" w:eastAsia="仿宋_GB2312"/>
          <w:sz w:val="32"/>
          <w:szCs w:val="32"/>
        </w:rPr>
        <w:t>%；1-9月预算数</w:t>
      </w:r>
      <w:r>
        <w:rPr>
          <w:rFonts w:hint="eastAsia" w:ascii="仿宋_GB2312" w:eastAsia="仿宋_GB2312"/>
          <w:sz w:val="32"/>
          <w:szCs w:val="32"/>
          <w:lang w:val="en-US" w:eastAsia="zh-CN"/>
        </w:rPr>
        <w:t>241.85</w:t>
      </w:r>
      <w:r>
        <w:rPr>
          <w:rFonts w:hint="eastAsia" w:ascii="仿宋_GB2312" w:eastAsia="仿宋_GB2312"/>
          <w:sz w:val="32"/>
          <w:szCs w:val="32"/>
        </w:rPr>
        <w:t>万元，执行数</w:t>
      </w:r>
      <w:r>
        <w:rPr>
          <w:rFonts w:hint="eastAsia" w:ascii="仿宋_GB2312" w:eastAsia="仿宋_GB2312"/>
          <w:sz w:val="32"/>
          <w:szCs w:val="32"/>
          <w:lang w:val="en-US" w:eastAsia="zh-CN"/>
        </w:rPr>
        <w:t>157.83</w:t>
      </w:r>
      <w:r>
        <w:rPr>
          <w:rFonts w:hint="eastAsia" w:ascii="仿宋_GB2312" w:eastAsia="仿宋_GB2312"/>
          <w:sz w:val="32"/>
          <w:szCs w:val="32"/>
        </w:rPr>
        <w:t>万元，执行进度</w:t>
      </w:r>
      <w:r>
        <w:rPr>
          <w:rFonts w:hint="eastAsia" w:ascii="仿宋_GB2312" w:eastAsia="仿宋_GB2312"/>
          <w:sz w:val="32"/>
          <w:szCs w:val="32"/>
          <w:lang w:val="en-US" w:eastAsia="zh-CN"/>
        </w:rPr>
        <w:t>65.26</w:t>
      </w:r>
      <w:r>
        <w:rPr>
          <w:rFonts w:hint="eastAsia" w:ascii="仿宋_GB2312" w:eastAsia="仿宋_GB2312"/>
          <w:sz w:val="32"/>
          <w:szCs w:val="32"/>
        </w:rPr>
        <w:t>%；1-11月预算数</w:t>
      </w:r>
      <w:r>
        <w:rPr>
          <w:rFonts w:hint="eastAsia" w:ascii="仿宋_GB2312" w:eastAsia="仿宋_GB2312"/>
          <w:sz w:val="32"/>
          <w:szCs w:val="32"/>
          <w:lang w:val="en-US" w:eastAsia="zh-CN"/>
        </w:rPr>
        <w:t>241.85</w:t>
      </w:r>
      <w:r>
        <w:rPr>
          <w:rFonts w:hint="eastAsia" w:ascii="仿宋_GB2312" w:eastAsia="仿宋_GB2312"/>
          <w:sz w:val="32"/>
          <w:szCs w:val="32"/>
        </w:rPr>
        <w:t>万元，执行数</w:t>
      </w:r>
      <w:r>
        <w:rPr>
          <w:rFonts w:hint="eastAsia" w:ascii="仿宋_GB2312" w:eastAsia="仿宋_GB2312"/>
          <w:sz w:val="32"/>
          <w:szCs w:val="32"/>
          <w:lang w:val="en-US" w:eastAsia="zh-CN"/>
        </w:rPr>
        <w:t>201.25</w:t>
      </w:r>
      <w:r>
        <w:rPr>
          <w:rFonts w:hint="eastAsia" w:ascii="仿宋_GB2312" w:eastAsia="仿宋_GB2312"/>
          <w:sz w:val="32"/>
          <w:szCs w:val="32"/>
        </w:rPr>
        <w:t>万元，执行进度</w:t>
      </w:r>
      <w:r>
        <w:rPr>
          <w:rFonts w:hint="eastAsia" w:ascii="仿宋_GB2312" w:eastAsia="仿宋_GB2312"/>
          <w:sz w:val="32"/>
          <w:szCs w:val="32"/>
          <w:lang w:val="en-US" w:eastAsia="zh-CN"/>
        </w:rPr>
        <w:t>83.21</w:t>
      </w:r>
      <w:r>
        <w:rPr>
          <w:rFonts w:hint="eastAsia" w:ascii="仿宋_GB2312" w:eastAsia="仿宋_GB2312"/>
          <w:sz w:val="32"/>
          <w:szCs w:val="32"/>
        </w:rPr>
        <w:t>%。各阶段预算执行进度均未达到目标要求。</w:t>
      </w:r>
    </w:p>
    <w:p>
      <w:pPr>
        <w:pStyle w:val="19"/>
        <w:rPr>
          <w:sz w:val="28"/>
          <w:szCs w:val="28"/>
          <w:highlight w:val="none"/>
        </w:rPr>
      </w:pPr>
      <w:r>
        <w:rPr>
          <w:rFonts w:hint="eastAsia"/>
          <w:sz w:val="28"/>
          <w:szCs w:val="28"/>
          <w:highlight w:val="none"/>
        </w:rPr>
        <w:t>表4-22020</w:t>
      </w:r>
      <w:r>
        <w:rPr>
          <w:sz w:val="28"/>
          <w:szCs w:val="28"/>
          <w:highlight w:val="none"/>
        </w:rPr>
        <w:t>年</w:t>
      </w:r>
      <w:r>
        <w:rPr>
          <w:rFonts w:hint="eastAsia"/>
          <w:sz w:val="28"/>
          <w:szCs w:val="28"/>
          <w:highlight w:val="none"/>
          <w:lang w:eastAsia="zh-CN"/>
        </w:rPr>
        <w:t>经济合作事务中心</w:t>
      </w:r>
      <w:r>
        <w:rPr>
          <w:rFonts w:hint="eastAsia"/>
          <w:sz w:val="28"/>
          <w:szCs w:val="28"/>
          <w:highlight w:val="none"/>
        </w:rPr>
        <w:t>部门预算执行进度表</w:t>
      </w:r>
    </w:p>
    <w:p>
      <w:pPr>
        <w:pStyle w:val="19"/>
        <w:jc w:val="right"/>
        <w:rPr>
          <w:highlight w:val="none"/>
        </w:rPr>
      </w:pPr>
      <w:r>
        <w:rPr>
          <w:rFonts w:hint="eastAsia"/>
          <w:highlight w:val="none"/>
        </w:rPr>
        <w:t>单位</w:t>
      </w:r>
      <w:r>
        <w:rPr>
          <w:highlight w:val="none"/>
        </w:rPr>
        <w:t>：万元</w:t>
      </w:r>
    </w:p>
    <w:tbl>
      <w:tblPr>
        <w:tblStyle w:val="12"/>
        <w:tblpPr w:leftFromText="180" w:rightFromText="180" w:vertAnchor="text" w:horzAnchor="page" w:tblpX="2136" w:tblpY="213"/>
        <w:tblOverlap w:val="never"/>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2236"/>
        <w:gridCol w:w="2236"/>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69" w:type="dxa"/>
            <w:vAlign w:val="center"/>
          </w:tcPr>
          <w:p>
            <w:pPr>
              <w:pStyle w:val="20"/>
              <w:jc w:val="center"/>
              <w:rPr>
                <w:rFonts w:hint="eastAsia" w:ascii="宋体" w:hAnsi="宋体" w:eastAsia="宋体" w:cs="宋体"/>
                <w:color w:val="auto"/>
                <w:highlight w:val="none"/>
                <w:lang w:val="en-US"/>
              </w:rPr>
            </w:pPr>
            <w:r>
              <w:rPr>
                <w:rFonts w:hint="eastAsia" w:ascii="宋体" w:hAnsi="宋体" w:eastAsia="宋体" w:cs="宋体"/>
                <w:b/>
                <w:bCs w:val="0"/>
                <w:color w:val="auto"/>
                <w:highlight w:val="none"/>
                <w:lang w:val="en-US"/>
              </w:rPr>
              <w:t>月份</w:t>
            </w:r>
          </w:p>
        </w:tc>
        <w:tc>
          <w:tcPr>
            <w:tcW w:w="2236" w:type="dxa"/>
            <w:vAlign w:val="center"/>
          </w:tcPr>
          <w:p>
            <w:pPr>
              <w:pStyle w:val="2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预算数</w:t>
            </w:r>
          </w:p>
        </w:tc>
        <w:tc>
          <w:tcPr>
            <w:tcW w:w="2236" w:type="dxa"/>
            <w:vAlign w:val="center"/>
          </w:tcPr>
          <w:p>
            <w:pPr>
              <w:pStyle w:val="2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执行数</w:t>
            </w:r>
          </w:p>
        </w:tc>
        <w:tc>
          <w:tcPr>
            <w:tcW w:w="2236" w:type="dxa"/>
            <w:vAlign w:val="center"/>
          </w:tcPr>
          <w:p>
            <w:pPr>
              <w:pStyle w:val="2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实际支付进度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69" w:type="dxa"/>
            <w:vAlign w:val="center"/>
          </w:tcPr>
          <w:p>
            <w:pPr>
              <w:pStyle w:val="20"/>
              <w:jc w:val="center"/>
              <w:rPr>
                <w:rFonts w:hint="eastAsia" w:ascii="宋体" w:hAnsi="宋体" w:eastAsia="宋体" w:cs="宋体"/>
                <w:b/>
                <w:color w:val="auto"/>
                <w:highlight w:val="none"/>
                <w:lang w:val="en-US"/>
              </w:rPr>
            </w:pPr>
            <w:r>
              <w:rPr>
                <w:rFonts w:hint="eastAsia" w:ascii="宋体" w:hAnsi="宋体" w:eastAsia="宋体" w:cs="宋体"/>
                <w:b/>
                <w:color w:val="auto"/>
                <w:highlight w:val="none"/>
                <w:lang w:val="en-US"/>
              </w:rPr>
              <w:t>1-6月</w:t>
            </w:r>
          </w:p>
        </w:tc>
        <w:tc>
          <w:tcPr>
            <w:tcW w:w="2236" w:type="dxa"/>
            <w:vAlign w:val="center"/>
          </w:tcPr>
          <w:p>
            <w:pPr>
              <w:pStyle w:val="20"/>
              <w:jc w:val="center"/>
              <w:rPr>
                <w:rFonts w:hint="eastAsia" w:ascii="宋体" w:hAnsi="宋体" w:eastAsia="宋体" w:cs="宋体"/>
                <w:bCs w:val="0"/>
                <w:color w:val="auto"/>
                <w:highlight w:val="none"/>
                <w:lang w:val="en-US" w:eastAsia="zh-CN"/>
              </w:rPr>
            </w:pPr>
            <w:r>
              <w:rPr>
                <w:rFonts w:hint="eastAsia" w:ascii="宋体" w:hAnsi="宋体" w:eastAsia="宋体" w:cs="宋体"/>
                <w:bCs w:val="0"/>
                <w:color w:val="auto"/>
                <w:highlight w:val="none"/>
                <w:lang w:val="en-US" w:eastAsia="zh-CN"/>
              </w:rPr>
              <w:t>241.85</w:t>
            </w:r>
          </w:p>
        </w:tc>
        <w:tc>
          <w:tcPr>
            <w:tcW w:w="2236" w:type="dxa"/>
            <w:vAlign w:val="center"/>
          </w:tcPr>
          <w:p>
            <w:pPr>
              <w:pStyle w:val="20"/>
              <w:jc w:val="center"/>
              <w:rPr>
                <w:rFonts w:hint="eastAsia" w:ascii="宋体" w:hAnsi="宋体" w:eastAsia="宋体" w:cs="宋体"/>
                <w:bCs w:val="0"/>
                <w:color w:val="auto"/>
                <w:highlight w:val="none"/>
                <w:lang w:val="en-US" w:eastAsia="zh-CN"/>
              </w:rPr>
            </w:pPr>
            <w:r>
              <w:rPr>
                <w:rFonts w:hint="eastAsia" w:ascii="宋体" w:hAnsi="宋体" w:eastAsia="宋体" w:cs="宋体"/>
                <w:bCs w:val="0"/>
                <w:color w:val="auto"/>
                <w:highlight w:val="none"/>
                <w:lang w:val="en-US" w:eastAsia="zh-CN"/>
              </w:rPr>
              <w:t>98.14</w:t>
            </w:r>
          </w:p>
        </w:tc>
        <w:tc>
          <w:tcPr>
            <w:tcW w:w="2236" w:type="dxa"/>
            <w:vAlign w:val="center"/>
          </w:tcPr>
          <w:p>
            <w:pPr>
              <w:pStyle w:val="20"/>
              <w:jc w:val="center"/>
              <w:rPr>
                <w:rFonts w:hint="eastAsia" w:ascii="宋体" w:hAnsi="宋体" w:eastAsia="宋体" w:cs="宋体"/>
                <w:bCs w:val="0"/>
                <w:color w:val="auto"/>
                <w:highlight w:val="none"/>
                <w:lang w:val="en-US"/>
              </w:rPr>
            </w:pPr>
            <w:r>
              <w:rPr>
                <w:rFonts w:hint="eastAsia" w:ascii="宋体" w:hAnsi="宋体" w:eastAsia="宋体" w:cs="宋体"/>
                <w:bCs w:val="0"/>
                <w:color w:val="auto"/>
                <w:highlight w:val="none"/>
                <w:lang w:val="en-US" w:eastAsia="zh-CN"/>
              </w:rPr>
              <w:t>40.59</w:t>
            </w:r>
            <w:r>
              <w:rPr>
                <w:rFonts w:hint="eastAsia" w:ascii="宋体" w:hAnsi="宋体" w:eastAsia="宋体" w:cs="宋体"/>
                <w:bCs w:val="0"/>
                <w:color w:val="auto"/>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69" w:type="dxa"/>
            <w:vAlign w:val="center"/>
          </w:tcPr>
          <w:p>
            <w:pPr>
              <w:pStyle w:val="20"/>
              <w:jc w:val="center"/>
              <w:rPr>
                <w:rFonts w:hint="eastAsia" w:ascii="宋体" w:hAnsi="宋体" w:eastAsia="宋体" w:cs="宋体"/>
                <w:b/>
                <w:color w:val="auto"/>
                <w:highlight w:val="none"/>
                <w:lang w:val="en-US"/>
              </w:rPr>
            </w:pPr>
            <w:r>
              <w:rPr>
                <w:rFonts w:hint="eastAsia" w:ascii="宋体" w:hAnsi="宋体" w:eastAsia="宋体" w:cs="宋体"/>
                <w:b/>
                <w:color w:val="auto"/>
                <w:highlight w:val="none"/>
                <w:lang w:val="en-US"/>
              </w:rPr>
              <w:t>1-9月</w:t>
            </w:r>
          </w:p>
        </w:tc>
        <w:tc>
          <w:tcPr>
            <w:tcW w:w="2236" w:type="dxa"/>
            <w:vAlign w:val="center"/>
          </w:tcPr>
          <w:p>
            <w:pPr>
              <w:pStyle w:val="20"/>
              <w:jc w:val="center"/>
              <w:rPr>
                <w:rFonts w:hint="eastAsia" w:ascii="宋体" w:hAnsi="宋体" w:eastAsia="宋体" w:cs="宋体"/>
                <w:bCs w:val="0"/>
                <w:color w:val="auto"/>
                <w:highlight w:val="none"/>
                <w:lang w:val="en-US" w:eastAsia="zh-CN"/>
              </w:rPr>
            </w:pPr>
            <w:r>
              <w:rPr>
                <w:rFonts w:hint="eastAsia" w:ascii="宋体" w:hAnsi="宋体" w:eastAsia="宋体" w:cs="宋体"/>
                <w:bCs w:val="0"/>
                <w:color w:val="auto"/>
                <w:highlight w:val="none"/>
                <w:lang w:val="en-US" w:eastAsia="zh-CN"/>
              </w:rPr>
              <w:t>241.85</w:t>
            </w:r>
          </w:p>
        </w:tc>
        <w:tc>
          <w:tcPr>
            <w:tcW w:w="2236" w:type="dxa"/>
            <w:vAlign w:val="center"/>
          </w:tcPr>
          <w:p>
            <w:pPr>
              <w:pStyle w:val="20"/>
              <w:jc w:val="center"/>
              <w:rPr>
                <w:rFonts w:hint="eastAsia" w:ascii="宋体" w:hAnsi="宋体" w:eastAsia="宋体" w:cs="宋体"/>
                <w:bCs w:val="0"/>
                <w:color w:val="auto"/>
                <w:highlight w:val="none"/>
                <w:lang w:val="en-US" w:eastAsia="zh-CN"/>
              </w:rPr>
            </w:pPr>
            <w:r>
              <w:rPr>
                <w:rFonts w:hint="eastAsia" w:ascii="宋体" w:hAnsi="宋体" w:eastAsia="宋体" w:cs="宋体"/>
                <w:bCs w:val="0"/>
                <w:color w:val="auto"/>
                <w:highlight w:val="none"/>
                <w:lang w:val="en-US" w:eastAsia="zh-CN"/>
              </w:rPr>
              <w:t>157.83</w:t>
            </w:r>
          </w:p>
        </w:tc>
        <w:tc>
          <w:tcPr>
            <w:tcW w:w="2236" w:type="dxa"/>
            <w:vAlign w:val="center"/>
          </w:tcPr>
          <w:p>
            <w:pPr>
              <w:pStyle w:val="20"/>
              <w:jc w:val="center"/>
              <w:rPr>
                <w:rFonts w:hint="eastAsia" w:ascii="宋体" w:hAnsi="宋体" w:eastAsia="宋体" w:cs="宋体"/>
                <w:bCs w:val="0"/>
                <w:color w:val="auto"/>
                <w:highlight w:val="none"/>
                <w:lang w:val="en-US"/>
              </w:rPr>
            </w:pPr>
            <w:r>
              <w:rPr>
                <w:rFonts w:hint="eastAsia" w:ascii="宋体" w:hAnsi="宋体" w:eastAsia="宋体" w:cs="宋体"/>
                <w:bCs w:val="0"/>
                <w:color w:val="auto"/>
                <w:highlight w:val="none"/>
                <w:lang w:val="en-US" w:eastAsia="zh-CN"/>
              </w:rPr>
              <w:t>65.26</w:t>
            </w:r>
            <w:r>
              <w:rPr>
                <w:rFonts w:hint="eastAsia" w:ascii="宋体" w:hAnsi="宋体" w:eastAsia="宋体" w:cs="宋体"/>
                <w:bCs w:val="0"/>
                <w:color w:val="auto"/>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69" w:type="dxa"/>
            <w:vAlign w:val="center"/>
          </w:tcPr>
          <w:p>
            <w:pPr>
              <w:pStyle w:val="20"/>
              <w:jc w:val="center"/>
              <w:rPr>
                <w:rFonts w:hint="eastAsia" w:ascii="宋体" w:hAnsi="宋体" w:eastAsia="宋体" w:cs="宋体"/>
                <w:b/>
                <w:color w:val="auto"/>
                <w:highlight w:val="none"/>
                <w:lang w:val="en-US"/>
              </w:rPr>
            </w:pPr>
            <w:r>
              <w:rPr>
                <w:rFonts w:hint="eastAsia" w:ascii="宋体" w:hAnsi="宋体" w:eastAsia="宋体" w:cs="宋体"/>
                <w:b/>
                <w:color w:val="auto"/>
                <w:highlight w:val="none"/>
                <w:lang w:val="en-US"/>
              </w:rPr>
              <w:t>1-11月</w:t>
            </w:r>
          </w:p>
        </w:tc>
        <w:tc>
          <w:tcPr>
            <w:tcW w:w="2236" w:type="dxa"/>
            <w:vAlign w:val="center"/>
          </w:tcPr>
          <w:p>
            <w:pPr>
              <w:pStyle w:val="20"/>
              <w:jc w:val="center"/>
              <w:rPr>
                <w:rFonts w:hint="eastAsia" w:ascii="宋体" w:hAnsi="宋体" w:eastAsia="宋体" w:cs="宋体"/>
                <w:bCs w:val="0"/>
                <w:color w:val="auto"/>
                <w:highlight w:val="none"/>
                <w:lang w:val="en-US" w:eastAsia="zh-CN"/>
              </w:rPr>
            </w:pPr>
            <w:r>
              <w:rPr>
                <w:rFonts w:hint="eastAsia" w:ascii="宋体" w:hAnsi="宋体" w:eastAsia="宋体" w:cs="宋体"/>
                <w:bCs w:val="0"/>
                <w:color w:val="auto"/>
                <w:highlight w:val="none"/>
                <w:lang w:val="en-US" w:eastAsia="zh-CN"/>
              </w:rPr>
              <w:t>241.85</w:t>
            </w:r>
          </w:p>
        </w:tc>
        <w:tc>
          <w:tcPr>
            <w:tcW w:w="2236" w:type="dxa"/>
            <w:vAlign w:val="center"/>
          </w:tcPr>
          <w:p>
            <w:pPr>
              <w:pStyle w:val="20"/>
              <w:jc w:val="center"/>
              <w:rPr>
                <w:rFonts w:hint="eastAsia" w:ascii="宋体" w:hAnsi="宋体" w:eastAsia="宋体" w:cs="宋体"/>
                <w:bCs w:val="0"/>
                <w:color w:val="auto"/>
                <w:highlight w:val="none"/>
                <w:lang w:val="en-US" w:eastAsia="zh-CN"/>
              </w:rPr>
            </w:pPr>
            <w:r>
              <w:rPr>
                <w:rFonts w:hint="eastAsia" w:ascii="宋体" w:hAnsi="宋体" w:eastAsia="宋体" w:cs="宋体"/>
                <w:bCs w:val="0"/>
                <w:color w:val="auto"/>
                <w:highlight w:val="none"/>
                <w:lang w:val="en-US" w:eastAsia="zh-CN"/>
              </w:rPr>
              <w:t>201.25</w:t>
            </w:r>
          </w:p>
        </w:tc>
        <w:tc>
          <w:tcPr>
            <w:tcW w:w="2236" w:type="dxa"/>
            <w:vAlign w:val="center"/>
          </w:tcPr>
          <w:p>
            <w:pPr>
              <w:pStyle w:val="20"/>
              <w:jc w:val="center"/>
              <w:rPr>
                <w:rFonts w:hint="eastAsia" w:ascii="宋体" w:hAnsi="宋体" w:eastAsia="宋体" w:cs="宋体"/>
                <w:bCs w:val="0"/>
                <w:color w:val="auto"/>
                <w:highlight w:val="none"/>
                <w:lang w:val="en-US"/>
              </w:rPr>
            </w:pPr>
            <w:r>
              <w:rPr>
                <w:rFonts w:hint="eastAsia" w:ascii="宋体" w:hAnsi="宋体" w:eastAsia="宋体" w:cs="宋体"/>
                <w:bCs w:val="0"/>
                <w:color w:val="auto"/>
                <w:highlight w:val="none"/>
                <w:lang w:val="en-US" w:eastAsia="zh-CN"/>
              </w:rPr>
              <w:t>83.21</w:t>
            </w:r>
            <w:r>
              <w:rPr>
                <w:rFonts w:hint="eastAsia" w:ascii="宋体" w:hAnsi="宋体" w:eastAsia="宋体" w:cs="宋体"/>
                <w:bCs w:val="0"/>
                <w:color w:val="auto"/>
                <w:highlight w:val="none"/>
                <w:lang w:val="en-US"/>
              </w:rPr>
              <w:t>%</w:t>
            </w:r>
          </w:p>
        </w:tc>
      </w:tr>
    </w:tbl>
    <w:p>
      <w:pPr>
        <w:pStyle w:val="19"/>
        <w:ind w:firstLine="482" w:firstLineChars="200"/>
        <w:jc w:val="right"/>
      </w:pP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该指标分值标准10分，根据指标评价标准和公式计算，得7.</w:t>
      </w:r>
      <w:r>
        <w:rPr>
          <w:rFonts w:hint="eastAsia" w:ascii="仿宋_GB2312" w:eastAsia="仿宋_GB2312"/>
          <w:sz w:val="32"/>
          <w:szCs w:val="32"/>
          <w:lang w:val="en-US" w:eastAsia="zh-CN"/>
        </w:rPr>
        <w:t>8</w:t>
      </w:r>
      <w:r>
        <w:rPr>
          <w:rFonts w:hint="eastAsia" w:ascii="仿宋_GB2312" w:eastAsia="仿宋_GB2312"/>
          <w:sz w:val="32"/>
          <w:szCs w:val="32"/>
        </w:rPr>
        <w:t>分。</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3.完成结果</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（1）预算完成</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sz w:val="32"/>
          <w:szCs w:val="32"/>
        </w:rPr>
      </w:pPr>
      <w:r>
        <w:rPr>
          <w:rFonts w:hint="eastAsia" w:ascii="仿宋_GB2312" w:eastAsia="仿宋_GB2312"/>
          <w:sz w:val="32"/>
          <w:szCs w:val="32"/>
          <w:lang w:eastAsia="zh-CN"/>
        </w:rPr>
        <w:t>经济合作事务中心</w:t>
      </w:r>
      <w:r>
        <w:rPr>
          <w:rFonts w:hint="eastAsia" w:ascii="仿宋_GB2312" w:eastAsia="仿宋_GB2312"/>
          <w:sz w:val="32"/>
          <w:szCs w:val="32"/>
        </w:rPr>
        <w:t>2020年部门财政收入预算</w:t>
      </w:r>
      <w:r>
        <w:rPr>
          <w:rFonts w:hint="eastAsia" w:ascii="仿宋_GB2312" w:eastAsia="仿宋_GB2312"/>
          <w:sz w:val="32"/>
          <w:szCs w:val="32"/>
          <w:lang w:val="en-US" w:eastAsia="zh-CN"/>
        </w:rPr>
        <w:t>241.85</w:t>
      </w:r>
      <w:r>
        <w:rPr>
          <w:rFonts w:hint="eastAsia" w:ascii="仿宋_GB2312" w:eastAsia="仿宋_GB2312"/>
          <w:sz w:val="32"/>
          <w:szCs w:val="32"/>
        </w:rPr>
        <w:t>万元，全年实际执行</w:t>
      </w:r>
      <w:r>
        <w:rPr>
          <w:rFonts w:hint="eastAsia" w:ascii="仿宋_GB2312" w:eastAsia="仿宋_GB2312"/>
          <w:sz w:val="32"/>
          <w:szCs w:val="32"/>
          <w:lang w:val="en-US" w:eastAsia="zh-CN"/>
        </w:rPr>
        <w:t>223.72</w:t>
      </w:r>
      <w:r>
        <w:rPr>
          <w:rFonts w:hint="eastAsia" w:ascii="仿宋_GB2312" w:eastAsia="仿宋_GB2312"/>
          <w:sz w:val="32"/>
          <w:szCs w:val="32"/>
        </w:rPr>
        <w:t>万元，执行进度</w:t>
      </w:r>
      <w:r>
        <w:rPr>
          <w:rFonts w:hint="eastAsia"/>
          <w:sz w:val="32"/>
          <w:szCs w:val="32"/>
          <w:highlight w:val="none"/>
          <w:lang w:val="en-US" w:eastAsia="zh-CN"/>
        </w:rPr>
        <w:t>92.5</w:t>
      </w:r>
      <w:r>
        <w:rPr>
          <w:rFonts w:hint="eastAsia"/>
          <w:sz w:val="32"/>
          <w:szCs w:val="32"/>
          <w:highlight w:val="none"/>
        </w:rPr>
        <w:t>%。</w:t>
      </w:r>
    </w:p>
    <w:p>
      <w:pPr>
        <w:pStyle w:val="2"/>
        <w:keepNext w:val="0"/>
        <w:keepLines w:val="0"/>
        <w:pageBreakBefore w:val="0"/>
        <w:widowControl w:val="0"/>
        <w:kinsoku/>
        <w:wordWrap/>
        <w:overflowPunct/>
        <w:topLinePunct w:val="0"/>
        <w:autoSpaceDE/>
        <w:autoSpaceDN/>
        <w:bidi w:val="0"/>
        <w:adjustRightInd/>
        <w:spacing w:beforeLines="0"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sz w:val="32"/>
          <w:szCs w:val="32"/>
        </w:rPr>
        <w:t>该指标分值标准10分，根据指标评价标准和公式计算，得</w:t>
      </w:r>
      <w:r>
        <w:rPr>
          <w:rFonts w:hint="eastAsia" w:ascii="仿宋_GB2312" w:hAnsi="Times New Roman" w:eastAsia="仿宋_GB2312" w:cs="Times New Roman"/>
          <w:kern w:val="2"/>
          <w:sz w:val="32"/>
          <w:szCs w:val="32"/>
          <w:lang w:val="en-US" w:eastAsia="zh-CN" w:bidi="ar-SA"/>
        </w:rPr>
        <w:t>分8.7分。</w:t>
      </w:r>
    </w:p>
    <w:p>
      <w:pPr>
        <w:pStyle w:val="2"/>
        <w:keepNext w:val="0"/>
        <w:keepLines w:val="0"/>
        <w:pageBreakBefore w:val="0"/>
        <w:widowControl w:val="0"/>
        <w:kinsoku/>
        <w:wordWrap/>
        <w:overflowPunct/>
        <w:topLinePunct w:val="0"/>
        <w:autoSpaceDE/>
        <w:autoSpaceDN/>
        <w:bidi w:val="0"/>
        <w:adjustRightInd/>
        <w:spacing w:beforeLines="0"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（2）违规记录 </w:t>
      </w:r>
    </w:p>
    <w:p>
      <w:pPr>
        <w:pStyle w:val="2"/>
        <w:keepNext w:val="0"/>
        <w:keepLines w:val="0"/>
        <w:pageBreakBefore w:val="0"/>
        <w:widowControl w:val="0"/>
        <w:kinsoku/>
        <w:wordWrap/>
        <w:overflowPunct/>
        <w:topLinePunct w:val="0"/>
        <w:autoSpaceDE/>
        <w:autoSpaceDN/>
        <w:bidi w:val="0"/>
        <w:adjustRightInd/>
        <w:spacing w:beforeLines="0" w:line="576" w:lineRule="exact"/>
        <w:ind w:firstLine="640" w:firstLineChars="200"/>
        <w:textAlignment w:val="auto"/>
        <w:rPr>
          <w:rFonts w:hint="eastAsia"/>
          <w:sz w:val="32"/>
          <w:szCs w:val="32"/>
          <w:lang w:val="en-US" w:eastAsia="zh-CN"/>
        </w:rPr>
      </w:pPr>
      <w:r>
        <w:rPr>
          <w:rFonts w:hint="eastAsia" w:ascii="仿宋_GB2312" w:hAnsi="Times New Roman" w:eastAsia="仿宋_GB2312" w:cs="Times New Roman"/>
          <w:kern w:val="2"/>
          <w:sz w:val="32"/>
          <w:szCs w:val="32"/>
          <w:lang w:val="en-US" w:eastAsia="zh-CN" w:bidi="ar-SA"/>
        </w:rPr>
        <w:t>依据《旺苍县财政局关于开展“三公”经费、违纪违规乱发钱物等专项检查的通知》（旺财办〔2020〕23号）文件要求，</w:t>
      </w:r>
      <w:r>
        <w:rPr>
          <w:rFonts w:hint="eastAsia"/>
          <w:sz w:val="32"/>
          <w:szCs w:val="32"/>
        </w:rPr>
        <w:t>旺苍县财政局对</w:t>
      </w:r>
      <w:r>
        <w:rPr>
          <w:rFonts w:hint="eastAsia"/>
          <w:sz w:val="32"/>
          <w:szCs w:val="32"/>
          <w:lang w:eastAsia="zh-CN"/>
        </w:rPr>
        <w:t>经济合作事务中心</w:t>
      </w:r>
      <w:r>
        <w:rPr>
          <w:rFonts w:hint="eastAsia"/>
          <w:sz w:val="32"/>
          <w:szCs w:val="32"/>
        </w:rPr>
        <w:t>开展检查时发现存在以下问题：公务接待方面存在“三单”不全现象</w:t>
      </w:r>
      <w:r>
        <w:rPr>
          <w:rFonts w:hint="eastAsia"/>
          <w:sz w:val="32"/>
          <w:szCs w:val="32"/>
          <w:lang w:val="en-US" w:eastAsia="zh-CN"/>
        </w:rPr>
        <w:t>,公务接待酒水宴请的问题。</w:t>
      </w:r>
    </w:p>
    <w:p>
      <w:pPr>
        <w:pStyle w:val="2"/>
        <w:keepNext w:val="0"/>
        <w:keepLines w:val="0"/>
        <w:pageBreakBefore w:val="0"/>
        <w:widowControl w:val="0"/>
        <w:kinsoku/>
        <w:wordWrap/>
        <w:overflowPunct/>
        <w:topLinePunct w:val="0"/>
        <w:autoSpaceDE/>
        <w:autoSpaceDN/>
        <w:bidi w:val="0"/>
        <w:adjustRightInd/>
        <w:spacing w:beforeLines="0"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该指标分值标准10分，根据指标评价标准和公式计算，得分 9.5分。扣0.5分。</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（二）绩效结果应用分析</w:t>
      </w:r>
    </w:p>
    <w:p>
      <w:pPr>
        <w:keepNext w:val="0"/>
        <w:keepLines w:val="0"/>
        <w:pageBreakBefore w:val="0"/>
        <w:widowControl w:val="0"/>
        <w:tabs>
          <w:tab w:val="left" w:pos="5696"/>
        </w:tabs>
        <w:kinsoku/>
        <w:wordWrap/>
        <w:overflowPunct/>
        <w:topLinePunct w:val="0"/>
        <w:autoSpaceDE/>
        <w:autoSpaceDN/>
        <w:bidi w:val="0"/>
        <w:adjustRightInd/>
        <w:spacing w:line="576" w:lineRule="exact"/>
        <w:ind w:firstLine="643" w:firstLineChars="200"/>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1.自评质量</w:t>
      </w:r>
    </w:p>
    <w:p>
      <w:pPr>
        <w:pStyle w:val="2"/>
        <w:keepNext w:val="0"/>
        <w:keepLines w:val="0"/>
        <w:pageBreakBefore w:val="0"/>
        <w:widowControl w:val="0"/>
        <w:kinsoku/>
        <w:wordWrap/>
        <w:overflowPunct/>
        <w:topLinePunct w:val="0"/>
        <w:autoSpaceDE/>
        <w:autoSpaceDN/>
        <w:bidi w:val="0"/>
        <w:adjustRightInd/>
        <w:spacing w:beforeLines="0"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经济合作事务中心2020年部门整体支出绩效自评得分78分（除自评质量指标外，满分96分）。根据现场评价情况，评价组对经济合作事务中心的考评得分为75.5分（除自评质量指标外，满分96分）。经济合作事务中心自评得分与评价组考评分的差异为3.3%。</w:t>
      </w:r>
    </w:p>
    <w:p>
      <w:pPr>
        <w:pStyle w:val="2"/>
        <w:keepNext w:val="0"/>
        <w:keepLines w:val="0"/>
        <w:pageBreakBefore w:val="0"/>
        <w:widowControl w:val="0"/>
        <w:kinsoku/>
        <w:wordWrap/>
        <w:overflowPunct/>
        <w:topLinePunct w:val="0"/>
        <w:autoSpaceDE/>
        <w:autoSpaceDN/>
        <w:bidi w:val="0"/>
        <w:adjustRightInd/>
        <w:spacing w:beforeLines="0"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该指标分值标准4分，根据指标评价标准和公式计算，得分3分。</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2.信息公开</w:t>
      </w:r>
    </w:p>
    <w:p>
      <w:pPr>
        <w:pStyle w:val="2"/>
        <w:keepNext w:val="0"/>
        <w:keepLines w:val="0"/>
        <w:pageBreakBefore w:val="0"/>
        <w:widowControl w:val="0"/>
        <w:tabs>
          <w:tab w:val="left" w:pos="362"/>
        </w:tabs>
        <w:kinsoku/>
        <w:wordWrap/>
        <w:overflowPunct/>
        <w:topLinePunct w:val="0"/>
        <w:autoSpaceDE/>
        <w:autoSpaceDN/>
        <w:bidi w:val="0"/>
        <w:adjustRightInd/>
        <w:spacing w:beforeLines="0"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（1）目标公开</w:t>
      </w:r>
    </w:p>
    <w:p>
      <w:pPr>
        <w:pStyle w:val="2"/>
        <w:keepNext w:val="0"/>
        <w:keepLines w:val="0"/>
        <w:pageBreakBefore w:val="0"/>
        <w:widowControl w:val="0"/>
        <w:kinsoku/>
        <w:wordWrap/>
        <w:overflowPunct/>
        <w:topLinePunct w:val="0"/>
        <w:autoSpaceDE/>
        <w:autoSpaceDN/>
        <w:bidi w:val="0"/>
        <w:adjustRightInd/>
        <w:spacing w:beforeLines="0"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按照财政局要求，经济合作事务中心绩效目标说明已按要求随部门预算在政府网站向社会公开。</w:t>
      </w:r>
    </w:p>
    <w:p>
      <w:pPr>
        <w:pStyle w:val="2"/>
        <w:keepNext w:val="0"/>
        <w:keepLines w:val="0"/>
        <w:pageBreakBefore w:val="0"/>
        <w:widowControl w:val="0"/>
        <w:kinsoku/>
        <w:wordWrap/>
        <w:overflowPunct/>
        <w:topLinePunct w:val="0"/>
        <w:autoSpaceDE/>
        <w:autoSpaceDN/>
        <w:bidi w:val="0"/>
        <w:adjustRightInd/>
        <w:spacing w:beforeLines="0"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该指标分值标准4分，根据指标评价标准和公式计算，得分4分。</w:t>
      </w:r>
    </w:p>
    <w:p>
      <w:pPr>
        <w:pStyle w:val="2"/>
        <w:keepNext w:val="0"/>
        <w:keepLines w:val="0"/>
        <w:pageBreakBefore w:val="0"/>
        <w:widowControl w:val="0"/>
        <w:kinsoku/>
        <w:wordWrap/>
        <w:overflowPunct/>
        <w:topLinePunct w:val="0"/>
        <w:autoSpaceDE/>
        <w:autoSpaceDN/>
        <w:bidi w:val="0"/>
        <w:adjustRightInd/>
        <w:spacing w:beforeLines="0"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（2）自评公开。</w:t>
      </w:r>
    </w:p>
    <w:p>
      <w:pPr>
        <w:pStyle w:val="2"/>
        <w:keepNext w:val="0"/>
        <w:keepLines w:val="0"/>
        <w:pageBreakBefore w:val="0"/>
        <w:widowControl w:val="0"/>
        <w:kinsoku/>
        <w:wordWrap/>
        <w:overflowPunct/>
        <w:topLinePunct w:val="0"/>
        <w:autoSpaceDE/>
        <w:autoSpaceDN/>
        <w:bidi w:val="0"/>
        <w:adjustRightInd/>
        <w:spacing w:beforeLines="0"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按照财政局要求，经济合作事务中心并将部门整体绩效自评情况和自行组织的评价情况随同决算公开。 </w:t>
      </w:r>
    </w:p>
    <w:p>
      <w:pPr>
        <w:pStyle w:val="2"/>
        <w:keepNext w:val="0"/>
        <w:keepLines w:val="0"/>
        <w:pageBreakBefore w:val="0"/>
        <w:widowControl w:val="0"/>
        <w:kinsoku/>
        <w:wordWrap/>
        <w:overflowPunct/>
        <w:topLinePunct w:val="0"/>
        <w:autoSpaceDE/>
        <w:autoSpaceDN/>
        <w:bidi w:val="0"/>
        <w:adjustRightInd/>
        <w:spacing w:beforeLines="0"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该指标分值标准4分，根据指标评价标准和公式计算，得分4分。</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3.整改反馈</w:t>
      </w:r>
    </w:p>
    <w:p>
      <w:pPr>
        <w:pStyle w:val="2"/>
        <w:keepNext w:val="0"/>
        <w:keepLines w:val="0"/>
        <w:pageBreakBefore w:val="0"/>
        <w:widowControl w:val="0"/>
        <w:kinsoku/>
        <w:wordWrap/>
        <w:overflowPunct/>
        <w:topLinePunct w:val="0"/>
        <w:autoSpaceDE/>
        <w:autoSpaceDN/>
        <w:bidi w:val="0"/>
        <w:adjustRightInd/>
        <w:spacing w:beforeLines="0"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经济合作事务中心按照《旺苍县财政局关于“三公”经费、违纪违规乱发钱物等专项检查发现问题的整改通知》（旺财办〔2020〕46号）要求按时将整改报告报送财政局，并整改到位，不扣分。做到了按时向财政部门报送相应绩效自评报告，不扣分。</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该指标分值标准4分，根据指标评价标准和公式计算，得分4分。</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四、存在的主要问题</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hint="eastAsia" w:ascii="仿宋_GB2312"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（一）内控管理水平有待提高。</w:t>
      </w:r>
      <w:r>
        <w:rPr>
          <w:rFonts w:hint="eastAsia" w:ascii="仿宋_GB2312" w:hAnsi="Times New Roman" w:eastAsia="仿宋_GB2312" w:cs="Times New Roman"/>
          <w:kern w:val="2"/>
          <w:sz w:val="32"/>
          <w:szCs w:val="32"/>
          <w:lang w:val="en-US" w:eastAsia="zh-CN" w:bidi="ar-SA"/>
        </w:rPr>
        <w:t>缺乏专业的内控管理人才，经办人员习惯按部就班，缺乏创新意识，工作中在精度和深度上还需下功夫。</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hint="eastAsia" w:ascii="仿宋_GB2312"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（二）对于绩效评价的认识不足。</w:t>
      </w:r>
      <w:r>
        <w:rPr>
          <w:rFonts w:hint="eastAsia" w:ascii="仿宋_GB2312" w:hAnsi="Times New Roman" w:eastAsia="仿宋_GB2312" w:cs="Times New Roman"/>
          <w:kern w:val="2"/>
          <w:sz w:val="32"/>
          <w:szCs w:val="32"/>
          <w:lang w:val="en-US" w:eastAsia="zh-CN" w:bidi="ar-SA"/>
        </w:rPr>
        <w:t>没有系统的评价方法，评价水平不高。</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hint="eastAsia" w:ascii="仿宋_GB2312"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（三）预算执行力有待加强。</w:t>
      </w:r>
      <w:r>
        <w:rPr>
          <w:rFonts w:hint="eastAsia" w:ascii="仿宋_GB2312" w:hAnsi="Times New Roman" w:eastAsia="仿宋_GB2312" w:cs="Times New Roman"/>
          <w:kern w:val="2"/>
          <w:sz w:val="32"/>
          <w:szCs w:val="32"/>
          <w:lang w:val="en-US" w:eastAsia="zh-CN" w:bidi="ar-SA"/>
        </w:rPr>
        <w:t>各项费用开支要按标准执行，厉行节约，做到精打细算。</w:t>
      </w:r>
    </w:p>
    <w:p>
      <w:pPr>
        <w:pStyle w:val="2"/>
        <w:keepNext w:val="0"/>
        <w:keepLines w:val="0"/>
        <w:pageBreakBefore w:val="0"/>
        <w:widowControl w:val="0"/>
        <w:numPr>
          <w:ilvl w:val="0"/>
          <w:numId w:val="0"/>
        </w:numPr>
        <w:kinsoku/>
        <w:wordWrap/>
        <w:overflowPunct/>
        <w:topLinePunct w:val="0"/>
        <w:autoSpaceDE/>
        <w:autoSpaceDN/>
        <w:bidi w:val="0"/>
        <w:adjustRightInd/>
        <w:spacing w:beforeLines="0" w:line="576" w:lineRule="exact"/>
        <w:ind w:firstLine="643" w:firstLineChars="200"/>
        <w:textAlignment w:val="auto"/>
        <w:rPr>
          <w:rFonts w:hint="eastAsia" w:ascii="仿宋_GB2312"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w:t>
      </w:r>
      <w:r>
        <w:rPr>
          <w:rFonts w:hint="eastAsia" w:ascii="仿宋_GB2312" w:hAnsi="仿宋_GB2312" w:eastAsia="仿宋_GB2312" w:cs="仿宋_GB2312"/>
          <w:b w:val="0"/>
          <w:bCs w:val="0"/>
          <w:kern w:val="2"/>
          <w:sz w:val="32"/>
          <w:szCs w:val="32"/>
          <w:lang w:val="en-US" w:eastAsia="zh-CN" w:bidi="ar-SA"/>
        </w:rPr>
        <w:t>1.</w:t>
      </w:r>
      <w:r>
        <w:rPr>
          <w:rFonts w:hint="eastAsia" w:ascii="仿宋_GB2312" w:hAnsi="Times New Roman" w:eastAsia="仿宋_GB2312" w:cs="Times New Roman"/>
          <w:kern w:val="2"/>
          <w:sz w:val="32"/>
          <w:szCs w:val="32"/>
          <w:lang w:val="en-US" w:eastAsia="zh-CN" w:bidi="ar-SA"/>
        </w:rPr>
        <w:t>财务人员力量薄弱，业务技能有待提高。2.项目绩效评价工作不够扎实。3.公务卡支付力度不到位。</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五、整改措施及建议</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建议进一步加强预算需求分析，提高预算编制准确度。加强项目管理，提高项目资金使用绩效。进一步强化预算绩效目标编制管理工作，完善内部沟通协调机制。积极探索在新形势下部门预算、国库集中支付等财政支出改革的特点，更新思路，进一步规范财务收支和控制经费增长，改进完善财务管理办法按照财政支出绩效管理的要求，进一步健全和完善财务管理制度及内部控制制度、加强财务人员力量、提高财务人员业务水平，建立科学的财政资金效益考评制度体系，牢固树立行政成本意识，不断提高财政资金使用管理的水平和效率。</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Times New Roman" w:eastAsia="仿宋_GB2312" w:cs="Times New Roman"/>
          <w:kern w:val="2"/>
          <w:sz w:val="32"/>
          <w:szCs w:val="32"/>
          <w:lang w:val="en-US" w:eastAsia="zh-CN" w:bidi="ar-SA"/>
        </w:rPr>
      </w:pPr>
    </w:p>
    <w:p>
      <w:pPr>
        <w:rPr>
          <w:rFonts w:hint="eastAsia"/>
        </w:rPr>
      </w:pPr>
      <w:r>
        <w:rPr>
          <w:rFonts w:hint="eastAsia"/>
        </w:rPr>
        <w:br w:type="page"/>
      </w:r>
    </w:p>
    <w:p>
      <w:pPr>
        <w:adjustRightInd w:val="0"/>
        <w:snapToGrid w:val="0"/>
        <w:spacing w:line="240" w:lineRule="atLeast"/>
        <w:jc w:val="center"/>
        <w:rPr>
          <w:rFonts w:ascii="方正小标宋简体" w:hAnsi="华文中宋" w:eastAsia="方正小标宋简体"/>
          <w:b/>
          <w:sz w:val="48"/>
          <w:szCs w:val="48"/>
        </w:rPr>
      </w:pPr>
      <w:r>
        <w:rPr>
          <w:rFonts w:hint="eastAsia" w:ascii="方正小标宋简体" w:hAnsi="华文中宋" w:eastAsia="方正小标宋简体"/>
          <w:b/>
          <w:sz w:val="48"/>
          <w:szCs w:val="48"/>
        </w:rPr>
        <w:t>中共县委老干部服务中心部门整体支出</w:t>
      </w: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绩</w:t>
      </w: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效</w:t>
      </w: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评</w:t>
      </w: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价</w:t>
      </w: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报</w:t>
      </w: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告</w:t>
      </w: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pStyle w:val="2"/>
        <w:spacing w:before="93"/>
      </w:pPr>
    </w:p>
    <w:p>
      <w:pPr>
        <w:tabs>
          <w:tab w:val="left" w:pos="3885"/>
        </w:tabs>
        <w:snapToGrid w:val="0"/>
        <w:spacing w:line="600" w:lineRule="atLeast"/>
        <w:ind w:firstLine="964" w:firstLineChars="300"/>
        <w:jc w:val="left"/>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评价部门：旺苍县财政局</w:t>
      </w:r>
    </w:p>
    <w:p>
      <w:pPr>
        <w:tabs>
          <w:tab w:val="left" w:pos="3885"/>
        </w:tabs>
        <w:snapToGrid w:val="0"/>
        <w:spacing w:line="600" w:lineRule="atLeast"/>
        <w:ind w:firstLine="964" w:firstLineChars="300"/>
        <w:jc w:val="left"/>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评价人员：何蓉  何爱民  周艳玲</w:t>
      </w:r>
    </w:p>
    <w:p>
      <w:pPr>
        <w:tabs>
          <w:tab w:val="left" w:pos="3885"/>
        </w:tabs>
        <w:snapToGrid w:val="0"/>
        <w:spacing w:line="600" w:lineRule="atLeast"/>
        <w:ind w:firstLine="964" w:firstLineChars="300"/>
        <w:jc w:val="left"/>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报告时间： 2021年10月20日</w:t>
      </w:r>
    </w:p>
    <w:p>
      <w:pPr>
        <w:pStyle w:val="2"/>
        <w:rPr>
          <w:rFonts w:hint="eastAsia"/>
        </w:rPr>
      </w:pP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sectPr>
          <w:headerReference r:id="rId9" w:type="default"/>
          <w:footerReference r:id="rId10" w:type="default"/>
          <w:footerReference r:id="rId11" w:type="even"/>
          <w:pgSz w:w="11906" w:h="16838"/>
          <w:pgMar w:top="2098" w:right="1474" w:bottom="1985" w:left="1588" w:header="851" w:footer="1559" w:gutter="0"/>
          <w:pgNumType w:fmt="numberInDash" w:start="1"/>
          <w:cols w:space="720" w:num="1"/>
          <w:docGrid w:type="lines" w:linePitch="312" w:charSpace="0"/>
        </w:sectPr>
      </w:pP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一、部门概况</w:t>
      </w:r>
    </w:p>
    <w:p>
      <w:pPr>
        <w:pStyle w:val="5"/>
        <w:pageBreakBefore w:val="0"/>
        <w:numPr>
          <w:ilvl w:val="1"/>
          <w:numId w:val="0"/>
        </w:numPr>
        <w:tabs>
          <w:tab w:val="left" w:pos="445"/>
        </w:tabs>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（一）机构组成</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中共旺苍县委老干部服务中心（简称县委老干部服务中心）是县委直属参公事业单位，为正科级。县委老干部服务中心设内设机构2个。</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办公室</w:t>
      </w:r>
    </w:p>
    <w:p>
      <w:pPr>
        <w:pageBreakBefore w:val="0"/>
        <w:widowControl/>
        <w:kinsoku/>
        <w:wordWrap/>
        <w:overflowPunct/>
        <w:topLinePunct w:val="0"/>
        <w:autoSpaceDE/>
        <w:autoSpaceDN/>
        <w:bidi w:val="0"/>
        <w:adjustRightInd/>
        <w:snapToGrid/>
        <w:spacing w:line="576"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处理中心日常事务，综合协调、组织督查重要工作部署、决定的贯彻实施情况，组织安排重要会议和大型活动；负责机关文秘、工作信息、文件收发、目标管理、学习培训、人事、档案、群团、保密等行政管理工作；负责机关财务、车辆保障、固定资产管理、接待等后勤服务工作；负责组织落实机关创卫、安全保卫、综合治理、党风廉政建设、精神文明建设等工作；指导协助老干部活动中心开展业务工作，会同有关部门做好老干部的医疗保障和健康休养工作。</w:t>
      </w:r>
    </w:p>
    <w:p>
      <w:pPr>
        <w:pageBreakBefore w:val="0"/>
        <w:widowControl/>
        <w:kinsoku/>
        <w:wordWrap/>
        <w:overflowPunct/>
        <w:topLinePunct w:val="0"/>
        <w:autoSpaceDE/>
        <w:autoSpaceDN/>
        <w:bidi w:val="0"/>
        <w:adjustRightInd/>
        <w:snapToGrid/>
        <w:spacing w:line="576"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2.安置股</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指导离休干部及享受副县级以上退休干部的安置管理工作；协调解决老干部的政治、生活待遇有关问题；指导协助老干部活动中心管理服务工作；协调异地安置离休干部有关工作；协调有关部门解决离休干部和享受副县级以上退休干部的有关问题；指导协助有关部门做好老干部的思想政治工作；协调组织老干部开展参观考察活动；安排组织重大节日看望、慰问、座谈工作；指导协调有关部门办理老干部去世后治丧事宜，了解反映离休干部遗孀有关情况；负责对在落实老干部待遇中出现的新情况、新问题进行调查研究，为出台政策规定提供情况和建议；负责有关老干部信息及统计工作；负责老干部工作综合性的政策解答；负责有关老干部的来信来访接待工作。</w:t>
      </w:r>
    </w:p>
    <w:p>
      <w:pPr>
        <w:pStyle w:val="5"/>
        <w:pageBreakBefore w:val="0"/>
        <w:numPr>
          <w:ilvl w:val="1"/>
          <w:numId w:val="0"/>
        </w:numPr>
        <w:tabs>
          <w:tab w:val="left" w:pos="445"/>
        </w:tabs>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（二）基本职能</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职能主要是负责贯彻落实党中央关于老干部工作的方针政策和省委、市委、县委的决策部署，在履行职责过程中坚持和加强党对老干部工作的集中统一领导。指导协调离休干部和副县级以上退休干部的安置、管理和服务工作；检查、督促其政治、生活待遇的落实；统筹管理老干部工作的各项经费；完成县委交办的其他任务。</w:t>
      </w:r>
    </w:p>
    <w:p>
      <w:pPr>
        <w:pStyle w:val="5"/>
        <w:pageBreakBefore w:val="0"/>
        <w:numPr>
          <w:ilvl w:val="1"/>
          <w:numId w:val="0"/>
        </w:numPr>
        <w:tabs>
          <w:tab w:val="left" w:pos="445"/>
        </w:tabs>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（三）人员结构及相关情况</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县委老干部服务中心参公事业编制6名，下属事业单位旺苍县老干部活动中心，事业编制2名。在职人员总数10人，其中公务员5人，机关工勤3人，事业编制2人。</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二、部门财政资金收支情况</w:t>
      </w:r>
    </w:p>
    <w:p>
      <w:pPr>
        <w:pStyle w:val="5"/>
        <w:pageBreakBefore w:val="0"/>
        <w:numPr>
          <w:ilvl w:val="1"/>
          <w:numId w:val="0"/>
        </w:numPr>
        <w:tabs>
          <w:tab w:val="left" w:pos="445"/>
        </w:tabs>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（一）部门决策情况</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县委老干部服务中心2020年重点工作如下：（1）政治引领，党建护航。积极组织老干部政治学习，促进老干部与时俱进，适应形势发展要求，保持党中央、地方党委一致。（2）全面保障老干部工作经费，优化配置老干部工作队伍。坚持把老干部工作经费和老干部活动经费纳入财政预算，做好老干部健康体检、健康修养以及重大节日慰问等活动和企业离休干部困难补助调标给予足额保障。</w:t>
      </w:r>
      <w:r>
        <w:rPr>
          <w:rFonts w:hint="eastAsia" w:ascii="仿宋_GB2312" w:hAnsi="仿宋_GB2312" w:eastAsia="仿宋_GB2312" w:cs="仿宋_GB2312"/>
          <w:sz w:val="32"/>
          <w:szCs w:val="32"/>
        </w:rPr>
        <w:t>（3）搭建平台，精选载体，积极开展“永葆本色守初心”系列正能量活动，通过学习研讨、征文活动、文学艺术创作等，激发他们不忘革命初心、永葆政治本色，增强老干部政治建设实效性。</w:t>
      </w:r>
    </w:p>
    <w:p>
      <w:pPr>
        <w:pStyle w:val="5"/>
        <w:pageBreakBefore w:val="0"/>
        <w:numPr>
          <w:ilvl w:val="1"/>
          <w:numId w:val="0"/>
        </w:numPr>
        <w:tabs>
          <w:tab w:val="left" w:pos="445"/>
        </w:tabs>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部门财政资金收入情况</w:t>
      </w:r>
    </w:p>
    <w:p>
      <w:pPr>
        <w:pageBreakBefore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2020年县委老干部服务中心收入合计128.71万元，其中：一般公共预算财政拨款收入128.71万元，占100%；政府性基金预算财政拨款收入0万元，占0%；上级补助收入0万元，占0%；事业收入0万元，占0%；经营收入0万元，占0%；附属单位上缴收入0万元，占0%；其他收入0万元，占0%。上年结转43.67万元。具体情况见表1-1:</w:t>
      </w:r>
    </w:p>
    <w:p>
      <w:pPr>
        <w:pStyle w:val="19"/>
        <w:spacing w:after="0"/>
        <w:ind w:firstLine="562" w:firstLineChars="200"/>
        <w:rPr>
          <w:sz w:val="28"/>
          <w:szCs w:val="28"/>
        </w:rPr>
      </w:pPr>
      <w:r>
        <w:rPr>
          <w:rFonts w:hint="eastAsia"/>
          <w:sz w:val="28"/>
          <w:szCs w:val="28"/>
        </w:rPr>
        <w:t>表1</w:t>
      </w:r>
      <w:r>
        <w:rPr>
          <w:sz w:val="28"/>
          <w:szCs w:val="28"/>
        </w:rPr>
        <w:t>-</w:t>
      </w:r>
      <w:r>
        <w:rPr>
          <w:rFonts w:hint="eastAsia"/>
          <w:sz w:val="28"/>
          <w:szCs w:val="28"/>
        </w:rPr>
        <w:t>1 2020</w:t>
      </w:r>
      <w:r>
        <w:rPr>
          <w:sz w:val="28"/>
          <w:szCs w:val="28"/>
        </w:rPr>
        <w:t>年</w:t>
      </w:r>
      <w:r>
        <w:rPr>
          <w:rFonts w:hint="eastAsia"/>
          <w:sz w:val="28"/>
          <w:szCs w:val="28"/>
        </w:rPr>
        <w:t>县委老干部服务中心</w:t>
      </w:r>
      <w:r>
        <w:rPr>
          <w:sz w:val="28"/>
          <w:szCs w:val="28"/>
        </w:rPr>
        <w:t>收入预决算情况表</w:t>
      </w:r>
    </w:p>
    <w:tbl>
      <w:tblPr>
        <w:tblStyle w:val="23"/>
        <w:tblpPr w:leftFromText="180" w:rightFromText="180" w:vertAnchor="text" w:horzAnchor="page" w:tblpX="1380" w:tblpY="639"/>
        <w:tblOverlap w:val="never"/>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9"/>
        <w:gridCol w:w="2217"/>
        <w:gridCol w:w="1968"/>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trPr>
        <w:tc>
          <w:tcPr>
            <w:tcW w:w="3259" w:type="dxa"/>
            <w:vAlign w:val="center"/>
          </w:tcPr>
          <w:p>
            <w:pPr>
              <w:pStyle w:val="20"/>
              <w:ind w:firstLine="440" w:firstLineChars="200"/>
              <w:rPr>
                <w:rFonts w:hint="eastAsia" w:ascii="宋体" w:hAnsi="宋体" w:eastAsia="宋体" w:cs="宋体"/>
                <w:color w:val="auto"/>
              </w:rPr>
            </w:pPr>
          </w:p>
        </w:tc>
        <w:tc>
          <w:tcPr>
            <w:tcW w:w="2217" w:type="dxa"/>
            <w:vAlign w:val="center"/>
          </w:tcPr>
          <w:p>
            <w:pPr>
              <w:pStyle w:val="20"/>
              <w:rPr>
                <w:rFonts w:hint="eastAsia" w:ascii="宋体" w:hAnsi="宋体" w:eastAsia="宋体" w:cs="宋体"/>
                <w:b/>
                <w:bCs w:val="0"/>
                <w:color w:val="auto"/>
              </w:rPr>
            </w:pPr>
            <w:r>
              <w:rPr>
                <w:rFonts w:hint="eastAsia" w:ascii="宋体" w:hAnsi="宋体" w:eastAsia="宋体" w:cs="宋体"/>
                <w:b/>
                <w:bCs w:val="0"/>
                <w:color w:val="auto"/>
              </w:rPr>
              <w:t>收入预算数</w:t>
            </w:r>
          </w:p>
        </w:tc>
        <w:tc>
          <w:tcPr>
            <w:tcW w:w="1968" w:type="dxa"/>
            <w:vAlign w:val="center"/>
          </w:tcPr>
          <w:p>
            <w:pPr>
              <w:pStyle w:val="20"/>
              <w:rPr>
                <w:rFonts w:hint="eastAsia" w:ascii="宋体" w:hAnsi="宋体" w:eastAsia="宋体" w:cs="宋体"/>
                <w:b/>
                <w:bCs w:val="0"/>
                <w:color w:val="auto"/>
              </w:rPr>
            </w:pPr>
            <w:r>
              <w:rPr>
                <w:rFonts w:hint="eastAsia" w:ascii="宋体" w:hAnsi="宋体" w:eastAsia="宋体" w:cs="宋体"/>
                <w:b/>
                <w:bCs w:val="0"/>
                <w:color w:val="auto"/>
              </w:rPr>
              <w:t>收入调整数</w:t>
            </w:r>
          </w:p>
        </w:tc>
        <w:tc>
          <w:tcPr>
            <w:tcW w:w="1953" w:type="dxa"/>
            <w:vAlign w:val="center"/>
          </w:tcPr>
          <w:p>
            <w:pPr>
              <w:pStyle w:val="20"/>
              <w:rPr>
                <w:rFonts w:hint="eastAsia" w:ascii="宋体" w:hAnsi="宋体" w:eastAsia="宋体" w:cs="宋体"/>
                <w:b/>
                <w:bCs w:val="0"/>
                <w:color w:val="auto"/>
              </w:rPr>
            </w:pPr>
            <w:r>
              <w:rPr>
                <w:rFonts w:hint="eastAsia" w:ascii="宋体" w:hAnsi="宋体" w:eastAsia="宋体" w:cs="宋体"/>
                <w:b/>
                <w:bCs w:val="0"/>
                <w:color w:val="auto"/>
              </w:rPr>
              <w:t>收入决算数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259" w:type="dxa"/>
            <w:vAlign w:val="center"/>
          </w:tcPr>
          <w:p>
            <w:pPr>
              <w:pStyle w:val="20"/>
              <w:rPr>
                <w:rFonts w:hint="eastAsia" w:ascii="宋体" w:hAnsi="宋体" w:eastAsia="宋体" w:cs="宋体"/>
                <w:color w:val="auto"/>
              </w:rPr>
            </w:pPr>
            <w:r>
              <w:rPr>
                <w:rFonts w:hint="eastAsia" w:ascii="宋体" w:hAnsi="宋体" w:eastAsia="宋体" w:cs="宋体"/>
                <w:color w:val="auto"/>
              </w:rPr>
              <w:t>一般公共预算财政拨款收入</w:t>
            </w:r>
          </w:p>
        </w:tc>
        <w:tc>
          <w:tcPr>
            <w:tcW w:w="2217" w:type="dxa"/>
            <w:vAlign w:val="center"/>
          </w:tcPr>
          <w:p>
            <w:pPr>
              <w:pStyle w:val="20"/>
              <w:ind w:firstLine="440" w:firstLineChars="200"/>
              <w:rPr>
                <w:rFonts w:hint="eastAsia" w:ascii="宋体" w:hAnsi="宋体" w:eastAsia="宋体" w:cs="宋体"/>
                <w:color w:val="auto"/>
                <w:lang w:val="en-US"/>
              </w:rPr>
            </w:pPr>
            <w:r>
              <w:rPr>
                <w:rFonts w:hint="eastAsia" w:ascii="宋体" w:hAnsi="宋体" w:eastAsia="宋体" w:cs="宋体"/>
                <w:color w:val="auto"/>
                <w:lang w:val="en-US"/>
              </w:rPr>
              <w:t>89.91</w:t>
            </w:r>
          </w:p>
        </w:tc>
        <w:tc>
          <w:tcPr>
            <w:tcW w:w="1968" w:type="dxa"/>
            <w:vAlign w:val="center"/>
          </w:tcPr>
          <w:p>
            <w:pPr>
              <w:pStyle w:val="20"/>
              <w:ind w:firstLine="440" w:firstLineChars="200"/>
              <w:rPr>
                <w:rFonts w:hint="eastAsia" w:ascii="宋体" w:hAnsi="宋体" w:eastAsia="宋体" w:cs="宋体"/>
                <w:color w:val="auto"/>
                <w:lang w:val="en-US"/>
              </w:rPr>
            </w:pPr>
            <w:r>
              <w:rPr>
                <w:rFonts w:hint="eastAsia" w:ascii="宋体" w:hAnsi="宋体" w:eastAsia="宋体" w:cs="宋体"/>
                <w:color w:val="auto"/>
                <w:lang w:val="en-US"/>
              </w:rPr>
              <w:t>128.71</w:t>
            </w:r>
          </w:p>
        </w:tc>
        <w:tc>
          <w:tcPr>
            <w:tcW w:w="1953" w:type="dxa"/>
            <w:vAlign w:val="center"/>
          </w:tcPr>
          <w:p>
            <w:pPr>
              <w:pStyle w:val="20"/>
              <w:ind w:firstLine="440" w:firstLineChars="200"/>
              <w:rPr>
                <w:rFonts w:hint="eastAsia" w:ascii="宋体" w:hAnsi="宋体" w:eastAsia="宋体" w:cs="宋体"/>
                <w:color w:val="auto"/>
                <w:lang w:val="en-US"/>
              </w:rPr>
            </w:pPr>
            <w:r>
              <w:rPr>
                <w:rFonts w:hint="eastAsia" w:ascii="宋体" w:hAnsi="宋体" w:eastAsia="宋体" w:cs="宋体"/>
                <w:color w:val="auto"/>
                <w:lang w:val="en-US"/>
              </w:rPr>
              <w:t>128.71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259" w:type="dxa"/>
            <w:vAlign w:val="center"/>
          </w:tcPr>
          <w:p>
            <w:pPr>
              <w:pStyle w:val="20"/>
              <w:rPr>
                <w:rFonts w:hint="eastAsia" w:ascii="宋体" w:hAnsi="宋体" w:eastAsia="宋体" w:cs="宋体"/>
                <w:color w:val="auto"/>
              </w:rPr>
            </w:pPr>
            <w:r>
              <w:rPr>
                <w:rFonts w:hint="eastAsia" w:ascii="宋体" w:hAnsi="宋体" w:eastAsia="宋体" w:cs="宋体"/>
                <w:color w:val="auto"/>
              </w:rPr>
              <w:t>政府性基金预算财政拨款收入</w:t>
            </w:r>
          </w:p>
        </w:tc>
        <w:tc>
          <w:tcPr>
            <w:tcW w:w="2217" w:type="dxa"/>
            <w:vAlign w:val="center"/>
          </w:tcPr>
          <w:p>
            <w:pPr>
              <w:pStyle w:val="20"/>
              <w:ind w:firstLine="440" w:firstLineChars="200"/>
              <w:rPr>
                <w:rFonts w:hint="eastAsia" w:ascii="宋体" w:hAnsi="宋体" w:eastAsia="宋体" w:cs="宋体"/>
                <w:color w:val="auto"/>
                <w:lang w:val="en-US"/>
              </w:rPr>
            </w:pPr>
          </w:p>
        </w:tc>
        <w:tc>
          <w:tcPr>
            <w:tcW w:w="1968" w:type="dxa"/>
            <w:vAlign w:val="center"/>
          </w:tcPr>
          <w:p>
            <w:pPr>
              <w:pStyle w:val="20"/>
              <w:ind w:firstLine="440" w:firstLineChars="200"/>
              <w:rPr>
                <w:rFonts w:hint="eastAsia" w:ascii="宋体" w:hAnsi="宋体" w:eastAsia="宋体" w:cs="宋体"/>
                <w:color w:val="auto"/>
                <w:lang w:val="en-US"/>
              </w:rPr>
            </w:pPr>
          </w:p>
        </w:tc>
        <w:tc>
          <w:tcPr>
            <w:tcW w:w="1953" w:type="dxa"/>
            <w:vAlign w:val="center"/>
          </w:tcPr>
          <w:p>
            <w:pPr>
              <w:pStyle w:val="20"/>
              <w:ind w:firstLine="440" w:firstLineChars="200"/>
              <w:rPr>
                <w:rFonts w:hint="eastAsia" w:ascii="宋体" w:hAnsi="宋体" w:eastAsia="宋体" w:cs="宋体"/>
                <w:color w:va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259" w:type="dxa"/>
            <w:vAlign w:val="center"/>
          </w:tcPr>
          <w:p>
            <w:pPr>
              <w:pStyle w:val="20"/>
              <w:rPr>
                <w:rFonts w:hint="eastAsia" w:ascii="宋体" w:hAnsi="宋体" w:eastAsia="宋体" w:cs="宋体"/>
                <w:color w:val="auto"/>
              </w:rPr>
            </w:pPr>
            <w:r>
              <w:rPr>
                <w:rFonts w:hint="eastAsia" w:ascii="宋体" w:hAnsi="宋体" w:eastAsia="宋体" w:cs="宋体"/>
                <w:color w:val="auto"/>
              </w:rPr>
              <w:t>经营收入</w:t>
            </w:r>
          </w:p>
        </w:tc>
        <w:tc>
          <w:tcPr>
            <w:tcW w:w="2217" w:type="dxa"/>
            <w:vAlign w:val="center"/>
          </w:tcPr>
          <w:p>
            <w:pPr>
              <w:pStyle w:val="20"/>
              <w:ind w:firstLine="440" w:firstLineChars="200"/>
              <w:rPr>
                <w:rFonts w:hint="eastAsia" w:ascii="宋体" w:hAnsi="宋体" w:eastAsia="宋体" w:cs="宋体"/>
                <w:color w:val="auto"/>
              </w:rPr>
            </w:pPr>
          </w:p>
        </w:tc>
        <w:tc>
          <w:tcPr>
            <w:tcW w:w="1968" w:type="dxa"/>
            <w:vAlign w:val="center"/>
          </w:tcPr>
          <w:p>
            <w:pPr>
              <w:pStyle w:val="20"/>
              <w:ind w:firstLine="440" w:firstLineChars="200"/>
              <w:rPr>
                <w:rFonts w:hint="eastAsia" w:ascii="宋体" w:hAnsi="宋体" w:eastAsia="宋体" w:cs="宋体"/>
                <w:color w:val="auto"/>
              </w:rPr>
            </w:pPr>
          </w:p>
        </w:tc>
        <w:tc>
          <w:tcPr>
            <w:tcW w:w="1953" w:type="dxa"/>
            <w:vAlign w:val="center"/>
          </w:tcPr>
          <w:p>
            <w:pPr>
              <w:pStyle w:val="20"/>
              <w:ind w:firstLine="440" w:firstLineChars="20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259" w:type="dxa"/>
            <w:vAlign w:val="center"/>
          </w:tcPr>
          <w:p>
            <w:pPr>
              <w:pStyle w:val="20"/>
              <w:rPr>
                <w:rFonts w:hint="eastAsia" w:ascii="宋体" w:hAnsi="宋体" w:eastAsia="宋体" w:cs="宋体"/>
                <w:color w:val="auto"/>
              </w:rPr>
            </w:pPr>
            <w:r>
              <w:rPr>
                <w:rFonts w:hint="eastAsia" w:ascii="宋体" w:hAnsi="宋体" w:eastAsia="宋体" w:cs="宋体"/>
                <w:color w:val="auto"/>
              </w:rPr>
              <w:t>其他收入</w:t>
            </w:r>
          </w:p>
        </w:tc>
        <w:tc>
          <w:tcPr>
            <w:tcW w:w="2217" w:type="dxa"/>
            <w:vAlign w:val="center"/>
          </w:tcPr>
          <w:p>
            <w:pPr>
              <w:pStyle w:val="20"/>
              <w:ind w:firstLine="440" w:firstLineChars="200"/>
              <w:rPr>
                <w:rFonts w:hint="eastAsia" w:ascii="宋体" w:hAnsi="宋体" w:eastAsia="宋体" w:cs="宋体"/>
                <w:color w:val="auto"/>
              </w:rPr>
            </w:pPr>
          </w:p>
        </w:tc>
        <w:tc>
          <w:tcPr>
            <w:tcW w:w="1968" w:type="dxa"/>
            <w:vAlign w:val="center"/>
          </w:tcPr>
          <w:p>
            <w:pPr>
              <w:pStyle w:val="20"/>
              <w:ind w:firstLine="440" w:firstLineChars="200"/>
              <w:rPr>
                <w:rFonts w:hint="eastAsia" w:ascii="宋体" w:hAnsi="宋体" w:eastAsia="宋体" w:cs="宋体"/>
                <w:color w:val="auto"/>
              </w:rPr>
            </w:pPr>
          </w:p>
        </w:tc>
        <w:tc>
          <w:tcPr>
            <w:tcW w:w="1953" w:type="dxa"/>
            <w:vAlign w:val="center"/>
          </w:tcPr>
          <w:p>
            <w:pPr>
              <w:pStyle w:val="20"/>
              <w:ind w:firstLine="440" w:firstLineChars="20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59" w:type="dxa"/>
            <w:vAlign w:val="center"/>
          </w:tcPr>
          <w:p>
            <w:pPr>
              <w:pStyle w:val="20"/>
              <w:rPr>
                <w:rFonts w:hint="eastAsia" w:ascii="宋体" w:hAnsi="宋体" w:eastAsia="宋体" w:cs="宋体"/>
                <w:color w:val="auto"/>
              </w:rPr>
            </w:pPr>
            <w:r>
              <w:rPr>
                <w:rFonts w:hint="eastAsia" w:ascii="宋体" w:hAnsi="宋体" w:eastAsia="宋体" w:cs="宋体"/>
                <w:color w:val="auto"/>
              </w:rPr>
              <w:t>年初结转结余</w:t>
            </w:r>
          </w:p>
        </w:tc>
        <w:tc>
          <w:tcPr>
            <w:tcW w:w="2217" w:type="dxa"/>
            <w:vAlign w:val="center"/>
          </w:tcPr>
          <w:p>
            <w:pPr>
              <w:widowControl/>
              <w:spacing w:line="576"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17.89</w:t>
            </w:r>
          </w:p>
        </w:tc>
        <w:tc>
          <w:tcPr>
            <w:tcW w:w="1968" w:type="dxa"/>
            <w:vAlign w:val="center"/>
          </w:tcPr>
          <w:p>
            <w:pPr>
              <w:widowControl/>
              <w:spacing w:line="576"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43.67</w:t>
            </w:r>
          </w:p>
        </w:tc>
        <w:tc>
          <w:tcPr>
            <w:tcW w:w="1953" w:type="dxa"/>
            <w:vAlign w:val="center"/>
          </w:tcPr>
          <w:p>
            <w:pPr>
              <w:widowControl/>
              <w:spacing w:line="576"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59" w:type="dxa"/>
            <w:vAlign w:val="center"/>
          </w:tcPr>
          <w:p>
            <w:pPr>
              <w:pStyle w:val="20"/>
              <w:ind w:firstLine="442" w:firstLineChars="200"/>
              <w:rPr>
                <w:rFonts w:hint="eastAsia" w:ascii="宋体" w:hAnsi="宋体" w:eastAsia="宋体" w:cs="宋体"/>
                <w:b/>
                <w:bCs w:val="0"/>
                <w:color w:val="auto"/>
              </w:rPr>
            </w:pPr>
            <w:r>
              <w:rPr>
                <w:rFonts w:hint="eastAsia" w:ascii="宋体" w:hAnsi="宋体" w:eastAsia="宋体" w:cs="宋体"/>
                <w:b/>
                <w:bCs w:val="0"/>
                <w:color w:val="auto"/>
              </w:rPr>
              <w:t>合计</w:t>
            </w:r>
          </w:p>
        </w:tc>
        <w:tc>
          <w:tcPr>
            <w:tcW w:w="2217" w:type="dxa"/>
            <w:vAlign w:val="center"/>
          </w:tcPr>
          <w:p>
            <w:pPr>
              <w:widowControl/>
              <w:spacing w:line="576"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107.80</w:t>
            </w:r>
          </w:p>
        </w:tc>
        <w:tc>
          <w:tcPr>
            <w:tcW w:w="1968" w:type="dxa"/>
            <w:vAlign w:val="center"/>
          </w:tcPr>
          <w:p>
            <w:pPr>
              <w:widowControl/>
              <w:spacing w:line="576"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172.38</w:t>
            </w:r>
          </w:p>
        </w:tc>
        <w:tc>
          <w:tcPr>
            <w:tcW w:w="1953" w:type="dxa"/>
            <w:vAlign w:val="center"/>
          </w:tcPr>
          <w:p>
            <w:pPr>
              <w:widowControl/>
              <w:spacing w:line="576"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172.38</w:t>
            </w:r>
          </w:p>
        </w:tc>
      </w:tr>
    </w:tbl>
    <w:p>
      <w:pPr>
        <w:pStyle w:val="19"/>
        <w:spacing w:after="0"/>
        <w:ind w:firstLine="482" w:firstLineChars="200"/>
        <w:jc w:val="right"/>
      </w:pPr>
      <w:r>
        <w:rPr>
          <w:rFonts w:hint="eastAsia"/>
        </w:rPr>
        <w:t>单位</w:t>
      </w:r>
      <w:r>
        <w:t>：万元</w:t>
      </w:r>
    </w:p>
    <w:p>
      <w:pPr>
        <w:tabs>
          <w:tab w:val="left" w:pos="1265"/>
        </w:tabs>
        <w:spacing w:line="560" w:lineRule="exact"/>
        <w:ind w:firstLine="643" w:firstLineChars="200"/>
        <w:rPr>
          <w:rFonts w:ascii="楷体_GB2312" w:eastAsia="楷体_GB2312"/>
          <w:b/>
          <w:sz w:val="32"/>
          <w:szCs w:val="32"/>
        </w:rPr>
      </w:pPr>
    </w:p>
    <w:p>
      <w:pPr>
        <w:tabs>
          <w:tab w:val="left" w:pos="1265"/>
        </w:tabs>
        <w:spacing w:line="560" w:lineRule="exact"/>
        <w:ind w:firstLine="643" w:firstLineChars="200"/>
        <w:rPr>
          <w:rFonts w:ascii="楷体_GB2312" w:eastAsia="楷体_GB2312"/>
          <w:b/>
          <w:sz w:val="32"/>
          <w:szCs w:val="32"/>
        </w:rPr>
      </w:pPr>
      <w:r>
        <w:rPr>
          <w:rFonts w:hint="eastAsia" w:ascii="楷体_GB2312" w:eastAsia="楷体_GB2312"/>
          <w:b/>
          <w:sz w:val="32"/>
          <w:szCs w:val="32"/>
        </w:rPr>
        <w:t>（三）部门财政资金支出情况</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县委老干部服务中心支出合计163.46万元，其中：基本支出119.25万元，占72.95%；项目支出44.21万元，占27.05%；上缴上级支出0万元，占0%；经营支出0万元，占0%；对附属单位补助支出0万元，占0%。年初支出预算数为107.80万元，支出调整预算数为172.38万元，支出决算数为163.46万元。具体情况见表1-2:</w:t>
      </w:r>
    </w:p>
    <w:p>
      <w:pPr>
        <w:pStyle w:val="19"/>
        <w:spacing w:after="0"/>
        <w:ind w:firstLine="562" w:firstLineChars="200"/>
        <w:rPr>
          <w:sz w:val="28"/>
          <w:szCs w:val="28"/>
        </w:rPr>
      </w:pPr>
      <w:r>
        <w:rPr>
          <w:rFonts w:hint="eastAsia"/>
          <w:sz w:val="28"/>
          <w:szCs w:val="28"/>
        </w:rPr>
        <w:t>表1</w:t>
      </w:r>
      <w:r>
        <w:rPr>
          <w:sz w:val="28"/>
          <w:szCs w:val="28"/>
        </w:rPr>
        <w:t>-</w:t>
      </w:r>
      <w:r>
        <w:rPr>
          <w:rFonts w:hint="eastAsia"/>
          <w:sz w:val="28"/>
          <w:szCs w:val="28"/>
        </w:rPr>
        <w:t>2  2020</w:t>
      </w:r>
      <w:r>
        <w:rPr>
          <w:sz w:val="28"/>
          <w:szCs w:val="28"/>
        </w:rPr>
        <w:t>年</w:t>
      </w:r>
      <w:r>
        <w:rPr>
          <w:rFonts w:hint="eastAsia"/>
          <w:sz w:val="28"/>
          <w:szCs w:val="28"/>
        </w:rPr>
        <w:t>县委老干部服务中心支出</w:t>
      </w:r>
      <w:r>
        <w:rPr>
          <w:sz w:val="28"/>
          <w:szCs w:val="28"/>
        </w:rPr>
        <w:t>预决算情况表</w:t>
      </w:r>
    </w:p>
    <w:p>
      <w:pPr>
        <w:pStyle w:val="19"/>
        <w:spacing w:after="0"/>
        <w:ind w:firstLine="562" w:firstLineChars="200"/>
        <w:rPr>
          <w:sz w:val="28"/>
          <w:szCs w:val="28"/>
        </w:rPr>
      </w:pPr>
      <w:r>
        <w:rPr>
          <w:rFonts w:hint="eastAsia"/>
          <w:sz w:val="28"/>
          <w:szCs w:val="28"/>
          <w:lang w:val="en-US" w:eastAsia="zh-CN"/>
        </w:rPr>
        <w:t xml:space="preserve">                                                </w:t>
      </w:r>
      <w:r>
        <w:rPr>
          <w:rFonts w:hint="eastAsia"/>
        </w:rPr>
        <w:t>单位</w:t>
      </w:r>
      <w:r>
        <w:t>：万元</w:t>
      </w:r>
    </w:p>
    <w:tbl>
      <w:tblPr>
        <w:tblStyle w:val="12"/>
        <w:tblpPr w:leftFromText="180" w:rightFromText="180" w:vertAnchor="text" w:horzAnchor="page" w:tblpX="1575" w:tblpY="286"/>
        <w:tblOverlap w:val="never"/>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2303"/>
        <w:gridCol w:w="2033"/>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trPr>
        <w:tc>
          <w:tcPr>
            <w:tcW w:w="2304" w:type="dxa"/>
            <w:vAlign w:val="center"/>
          </w:tcPr>
          <w:p>
            <w:pPr>
              <w:pStyle w:val="20"/>
              <w:ind w:firstLine="440" w:firstLineChars="200"/>
              <w:rPr>
                <w:rFonts w:hint="eastAsia" w:ascii="宋体" w:hAnsi="宋体" w:eastAsia="宋体" w:cs="宋体"/>
                <w:color w:val="auto"/>
              </w:rPr>
            </w:pPr>
          </w:p>
        </w:tc>
        <w:tc>
          <w:tcPr>
            <w:tcW w:w="2303" w:type="dxa"/>
            <w:vAlign w:val="center"/>
          </w:tcPr>
          <w:p>
            <w:pPr>
              <w:pStyle w:val="20"/>
              <w:ind w:firstLine="442" w:firstLineChars="200"/>
              <w:rPr>
                <w:rFonts w:hint="eastAsia" w:ascii="宋体" w:hAnsi="宋体" w:eastAsia="宋体" w:cs="宋体"/>
                <w:b/>
                <w:color w:val="auto"/>
              </w:rPr>
            </w:pPr>
            <w:r>
              <w:rPr>
                <w:rFonts w:hint="eastAsia" w:ascii="宋体" w:hAnsi="宋体" w:eastAsia="宋体" w:cs="宋体"/>
                <w:b/>
                <w:color w:val="auto"/>
              </w:rPr>
              <w:t>支出预算数</w:t>
            </w:r>
          </w:p>
        </w:tc>
        <w:tc>
          <w:tcPr>
            <w:tcW w:w="2033" w:type="dxa"/>
            <w:vAlign w:val="center"/>
          </w:tcPr>
          <w:p>
            <w:pPr>
              <w:pStyle w:val="20"/>
              <w:ind w:firstLine="442" w:firstLineChars="200"/>
              <w:rPr>
                <w:rFonts w:hint="eastAsia" w:ascii="宋体" w:hAnsi="宋体" w:eastAsia="宋体" w:cs="宋体"/>
                <w:b/>
                <w:color w:val="auto"/>
              </w:rPr>
            </w:pPr>
            <w:r>
              <w:rPr>
                <w:rFonts w:hint="eastAsia" w:ascii="宋体" w:hAnsi="宋体" w:eastAsia="宋体" w:cs="宋体"/>
                <w:b/>
                <w:color w:val="auto"/>
              </w:rPr>
              <w:t>支出调整数</w:t>
            </w:r>
          </w:p>
        </w:tc>
        <w:tc>
          <w:tcPr>
            <w:tcW w:w="2250" w:type="dxa"/>
            <w:vAlign w:val="center"/>
          </w:tcPr>
          <w:p>
            <w:pPr>
              <w:pStyle w:val="20"/>
              <w:ind w:firstLine="442" w:firstLineChars="200"/>
              <w:rPr>
                <w:rFonts w:hint="eastAsia" w:ascii="宋体" w:hAnsi="宋体" w:eastAsia="宋体" w:cs="宋体"/>
                <w:b/>
                <w:color w:val="auto"/>
              </w:rPr>
            </w:pPr>
            <w:r>
              <w:rPr>
                <w:rFonts w:hint="eastAsia" w:ascii="宋体" w:hAnsi="宋体" w:eastAsia="宋体" w:cs="宋体"/>
                <w:b/>
                <w:color w:val="auto"/>
              </w:rPr>
              <w:t>支出决算数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304" w:type="dxa"/>
            <w:vAlign w:val="center"/>
          </w:tcPr>
          <w:p>
            <w:pPr>
              <w:pStyle w:val="20"/>
              <w:ind w:firstLine="440" w:firstLineChars="200"/>
              <w:rPr>
                <w:rFonts w:hint="eastAsia" w:ascii="宋体" w:hAnsi="宋体" w:eastAsia="宋体" w:cs="宋体"/>
                <w:color w:val="auto"/>
              </w:rPr>
            </w:pPr>
            <w:r>
              <w:rPr>
                <w:rFonts w:hint="eastAsia" w:ascii="宋体" w:hAnsi="宋体" w:eastAsia="宋体" w:cs="宋体"/>
                <w:color w:val="auto"/>
              </w:rPr>
              <w:t>基本支出</w:t>
            </w:r>
          </w:p>
        </w:tc>
        <w:tc>
          <w:tcPr>
            <w:tcW w:w="2303" w:type="dxa"/>
            <w:vAlign w:val="center"/>
          </w:tcPr>
          <w:p>
            <w:pPr>
              <w:widowControl/>
              <w:spacing w:line="576"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80.91</w:t>
            </w:r>
          </w:p>
        </w:tc>
        <w:tc>
          <w:tcPr>
            <w:tcW w:w="2033" w:type="dxa"/>
            <w:vAlign w:val="center"/>
          </w:tcPr>
          <w:p>
            <w:pPr>
              <w:widowControl/>
              <w:spacing w:line="576"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119.25</w:t>
            </w:r>
          </w:p>
        </w:tc>
        <w:tc>
          <w:tcPr>
            <w:tcW w:w="2250" w:type="dxa"/>
            <w:vAlign w:val="center"/>
          </w:tcPr>
          <w:p>
            <w:pPr>
              <w:widowControl/>
              <w:spacing w:line="576"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119.25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304" w:type="dxa"/>
            <w:vAlign w:val="center"/>
          </w:tcPr>
          <w:p>
            <w:pPr>
              <w:pStyle w:val="20"/>
              <w:ind w:firstLine="440" w:firstLineChars="200"/>
              <w:rPr>
                <w:rFonts w:hint="eastAsia" w:ascii="宋体" w:hAnsi="宋体" w:eastAsia="宋体" w:cs="宋体"/>
                <w:color w:val="auto"/>
              </w:rPr>
            </w:pPr>
            <w:r>
              <w:rPr>
                <w:rFonts w:hint="eastAsia" w:ascii="宋体" w:hAnsi="宋体" w:eastAsia="宋体" w:cs="宋体"/>
                <w:color w:val="auto"/>
              </w:rPr>
              <w:t>项目支出</w:t>
            </w:r>
          </w:p>
        </w:tc>
        <w:tc>
          <w:tcPr>
            <w:tcW w:w="2303" w:type="dxa"/>
            <w:vAlign w:val="center"/>
          </w:tcPr>
          <w:p>
            <w:pPr>
              <w:widowControl/>
              <w:spacing w:line="576"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26.89</w:t>
            </w:r>
          </w:p>
        </w:tc>
        <w:tc>
          <w:tcPr>
            <w:tcW w:w="2033" w:type="dxa"/>
            <w:vAlign w:val="center"/>
          </w:tcPr>
          <w:p>
            <w:pPr>
              <w:widowControl/>
              <w:spacing w:line="576"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53.13</w:t>
            </w:r>
          </w:p>
        </w:tc>
        <w:tc>
          <w:tcPr>
            <w:tcW w:w="2250" w:type="dxa"/>
            <w:vAlign w:val="center"/>
          </w:tcPr>
          <w:p>
            <w:pPr>
              <w:widowControl/>
              <w:spacing w:line="576"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4" w:type="dxa"/>
            <w:vAlign w:val="center"/>
          </w:tcPr>
          <w:p>
            <w:pPr>
              <w:pStyle w:val="20"/>
              <w:ind w:firstLine="440" w:firstLineChars="200"/>
              <w:rPr>
                <w:rFonts w:hint="eastAsia" w:ascii="宋体" w:hAnsi="宋体" w:eastAsia="宋体" w:cs="宋体"/>
                <w:color w:val="auto"/>
              </w:rPr>
            </w:pPr>
            <w:r>
              <w:rPr>
                <w:rFonts w:hint="eastAsia" w:ascii="宋体" w:hAnsi="宋体" w:eastAsia="宋体" w:cs="宋体"/>
                <w:color w:val="auto"/>
              </w:rPr>
              <w:t>经营支出</w:t>
            </w:r>
          </w:p>
        </w:tc>
        <w:tc>
          <w:tcPr>
            <w:tcW w:w="2303" w:type="dxa"/>
            <w:vAlign w:val="center"/>
          </w:tcPr>
          <w:p>
            <w:pPr>
              <w:pStyle w:val="20"/>
              <w:ind w:firstLine="440" w:firstLineChars="200"/>
              <w:rPr>
                <w:rFonts w:hint="eastAsia" w:ascii="宋体" w:hAnsi="宋体" w:eastAsia="宋体" w:cs="宋体"/>
                <w:color w:val="auto"/>
              </w:rPr>
            </w:pPr>
          </w:p>
        </w:tc>
        <w:tc>
          <w:tcPr>
            <w:tcW w:w="2033" w:type="dxa"/>
            <w:vAlign w:val="center"/>
          </w:tcPr>
          <w:p>
            <w:pPr>
              <w:pStyle w:val="20"/>
              <w:ind w:firstLine="440" w:firstLineChars="200"/>
              <w:rPr>
                <w:rFonts w:hint="eastAsia" w:ascii="宋体" w:hAnsi="宋体" w:eastAsia="宋体" w:cs="宋体"/>
                <w:color w:val="auto"/>
              </w:rPr>
            </w:pPr>
          </w:p>
        </w:tc>
        <w:tc>
          <w:tcPr>
            <w:tcW w:w="2250" w:type="dxa"/>
            <w:vAlign w:val="center"/>
          </w:tcPr>
          <w:p>
            <w:pPr>
              <w:pStyle w:val="20"/>
              <w:ind w:firstLine="440" w:firstLineChars="20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4" w:type="dxa"/>
            <w:vAlign w:val="center"/>
          </w:tcPr>
          <w:p>
            <w:pPr>
              <w:pStyle w:val="20"/>
              <w:ind w:firstLine="440" w:firstLineChars="200"/>
              <w:rPr>
                <w:rFonts w:hint="eastAsia" w:ascii="宋体" w:hAnsi="宋体" w:eastAsia="宋体" w:cs="宋体"/>
                <w:color w:val="auto"/>
              </w:rPr>
            </w:pPr>
            <w:r>
              <w:rPr>
                <w:rFonts w:hint="eastAsia" w:ascii="宋体" w:hAnsi="宋体" w:eastAsia="宋体" w:cs="宋体"/>
                <w:color w:val="auto"/>
              </w:rPr>
              <w:t>结余分配</w:t>
            </w:r>
          </w:p>
        </w:tc>
        <w:tc>
          <w:tcPr>
            <w:tcW w:w="2303" w:type="dxa"/>
            <w:vAlign w:val="center"/>
          </w:tcPr>
          <w:p>
            <w:pPr>
              <w:pStyle w:val="20"/>
              <w:ind w:firstLine="440" w:firstLineChars="200"/>
              <w:rPr>
                <w:rFonts w:hint="eastAsia" w:ascii="宋体" w:hAnsi="宋体" w:eastAsia="宋体" w:cs="宋体"/>
                <w:color w:val="auto"/>
              </w:rPr>
            </w:pPr>
          </w:p>
        </w:tc>
        <w:tc>
          <w:tcPr>
            <w:tcW w:w="2033" w:type="dxa"/>
            <w:vAlign w:val="center"/>
          </w:tcPr>
          <w:p>
            <w:pPr>
              <w:pStyle w:val="20"/>
              <w:ind w:firstLine="440" w:firstLineChars="200"/>
              <w:rPr>
                <w:rFonts w:hint="eastAsia" w:ascii="宋体" w:hAnsi="宋体" w:eastAsia="宋体" w:cs="宋体"/>
                <w:color w:val="auto"/>
              </w:rPr>
            </w:pPr>
          </w:p>
        </w:tc>
        <w:tc>
          <w:tcPr>
            <w:tcW w:w="2250" w:type="dxa"/>
            <w:vAlign w:val="center"/>
          </w:tcPr>
          <w:p>
            <w:pPr>
              <w:pStyle w:val="20"/>
              <w:ind w:firstLine="440" w:firstLineChars="20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304" w:type="dxa"/>
            <w:vAlign w:val="center"/>
          </w:tcPr>
          <w:p>
            <w:pPr>
              <w:pStyle w:val="20"/>
              <w:ind w:firstLine="440" w:firstLineChars="200"/>
              <w:rPr>
                <w:rFonts w:hint="eastAsia" w:ascii="宋体" w:hAnsi="宋体" w:eastAsia="宋体" w:cs="宋体"/>
                <w:color w:val="auto"/>
              </w:rPr>
            </w:pPr>
            <w:r>
              <w:rPr>
                <w:rFonts w:hint="eastAsia" w:ascii="宋体" w:hAnsi="宋体" w:eastAsia="宋体" w:cs="宋体"/>
                <w:color w:val="auto"/>
              </w:rPr>
              <w:t>年末结转结余</w:t>
            </w:r>
          </w:p>
        </w:tc>
        <w:tc>
          <w:tcPr>
            <w:tcW w:w="2303" w:type="dxa"/>
            <w:vAlign w:val="center"/>
          </w:tcPr>
          <w:p>
            <w:pPr>
              <w:spacing w:line="576" w:lineRule="exact"/>
              <w:jc w:val="center"/>
              <w:rPr>
                <w:rFonts w:hint="eastAsia" w:ascii="宋体" w:hAnsi="宋体" w:eastAsia="宋体" w:cs="宋体"/>
                <w:color w:val="000000"/>
                <w:sz w:val="22"/>
                <w:szCs w:val="22"/>
              </w:rPr>
            </w:pPr>
          </w:p>
        </w:tc>
        <w:tc>
          <w:tcPr>
            <w:tcW w:w="2033" w:type="dxa"/>
            <w:vAlign w:val="center"/>
          </w:tcPr>
          <w:p>
            <w:pPr>
              <w:spacing w:line="576" w:lineRule="exact"/>
              <w:jc w:val="center"/>
              <w:rPr>
                <w:rFonts w:hint="eastAsia" w:ascii="宋体" w:hAnsi="宋体" w:eastAsia="宋体" w:cs="宋体"/>
                <w:color w:val="000000"/>
                <w:sz w:val="22"/>
                <w:szCs w:val="22"/>
              </w:rPr>
            </w:pPr>
          </w:p>
        </w:tc>
        <w:tc>
          <w:tcPr>
            <w:tcW w:w="2250" w:type="dxa"/>
            <w:vAlign w:val="center"/>
          </w:tcPr>
          <w:p>
            <w:pPr>
              <w:widowControl/>
              <w:spacing w:line="576"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304" w:type="dxa"/>
            <w:vAlign w:val="center"/>
          </w:tcPr>
          <w:p>
            <w:pPr>
              <w:pStyle w:val="20"/>
              <w:ind w:firstLine="442" w:firstLineChars="200"/>
              <w:rPr>
                <w:rFonts w:hint="eastAsia" w:ascii="宋体" w:hAnsi="宋体" w:eastAsia="宋体" w:cs="宋体"/>
                <w:b/>
                <w:color w:val="auto"/>
              </w:rPr>
            </w:pPr>
            <w:r>
              <w:rPr>
                <w:rFonts w:hint="eastAsia" w:ascii="宋体" w:hAnsi="宋体" w:eastAsia="宋体" w:cs="宋体"/>
                <w:b/>
                <w:color w:val="auto"/>
              </w:rPr>
              <w:t>合计</w:t>
            </w:r>
          </w:p>
        </w:tc>
        <w:tc>
          <w:tcPr>
            <w:tcW w:w="2303" w:type="dxa"/>
            <w:vAlign w:val="center"/>
          </w:tcPr>
          <w:p>
            <w:pPr>
              <w:widowControl/>
              <w:spacing w:line="576"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107.8</w:t>
            </w:r>
          </w:p>
        </w:tc>
        <w:tc>
          <w:tcPr>
            <w:tcW w:w="2033" w:type="dxa"/>
            <w:vAlign w:val="center"/>
          </w:tcPr>
          <w:p>
            <w:pPr>
              <w:widowControl/>
              <w:spacing w:line="576"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172.38</w:t>
            </w:r>
          </w:p>
        </w:tc>
        <w:tc>
          <w:tcPr>
            <w:tcW w:w="2250" w:type="dxa"/>
            <w:vAlign w:val="center"/>
          </w:tcPr>
          <w:p>
            <w:pPr>
              <w:widowControl/>
              <w:spacing w:line="576"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172.38</w:t>
            </w:r>
          </w:p>
        </w:tc>
      </w:tr>
    </w:tbl>
    <w:p>
      <w:pPr>
        <w:pStyle w:val="19"/>
        <w:spacing w:after="0"/>
        <w:ind w:firstLine="482" w:firstLineChars="200"/>
        <w:jc w:val="right"/>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三、评价结论和绩效分析</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（一）评价结论</w:t>
      </w:r>
    </w:p>
    <w:p>
      <w:pPr>
        <w:pStyle w:val="22"/>
        <w:rPr>
          <w:rFonts w:hint="eastAsia" w:ascii="仿宋_GB2312" w:hAnsi="仿宋_GB2312" w:eastAsia="仿宋_GB2312" w:cs="仿宋_GB2312"/>
        </w:rPr>
      </w:pPr>
      <w:r>
        <w:rPr>
          <w:rFonts w:hint="eastAsia" w:ascii="仿宋_GB2312" w:hAnsi="仿宋_GB2312" w:eastAsia="仿宋_GB2312" w:cs="仿宋_GB2312"/>
          <w:lang w:val="en-US"/>
        </w:rPr>
        <w:t>县委老干部服务中心</w:t>
      </w:r>
      <w:r>
        <w:rPr>
          <w:rFonts w:hint="eastAsia" w:ascii="仿宋_GB2312" w:hAnsi="仿宋_GB2312" w:eastAsia="仿宋_GB2312" w:cs="仿宋_GB2312"/>
        </w:rPr>
        <w:t>预算测算过程较为完整，在</w:t>
      </w:r>
      <w:r>
        <w:rPr>
          <w:rFonts w:hint="eastAsia" w:ascii="仿宋_GB2312" w:hAnsi="仿宋_GB2312" w:eastAsia="仿宋_GB2312" w:cs="仿宋_GB2312"/>
          <w:lang w:val="en-US"/>
        </w:rPr>
        <w:t>预算编制、</w:t>
      </w:r>
      <w:r>
        <w:rPr>
          <w:rFonts w:hint="eastAsia" w:ascii="仿宋_GB2312" w:hAnsi="仿宋_GB2312" w:eastAsia="仿宋_GB2312" w:cs="仿宋_GB2312"/>
        </w:rPr>
        <w:t>信息公开等综合管理方面执行较好，部门整体支出绩效完成情况良好。但评价中也发现</w:t>
      </w:r>
      <w:r>
        <w:rPr>
          <w:rFonts w:hint="eastAsia" w:ascii="仿宋_GB2312" w:hAnsi="仿宋_GB2312" w:eastAsia="仿宋_GB2312" w:cs="仿宋_GB2312"/>
          <w:lang w:val="en-US"/>
        </w:rPr>
        <w:t>部门预算执行方面</w:t>
      </w:r>
      <w:r>
        <w:rPr>
          <w:rFonts w:hint="eastAsia" w:ascii="仿宋_GB2312" w:hAnsi="仿宋_GB2312" w:eastAsia="仿宋_GB2312" w:cs="仿宋_GB2312"/>
        </w:rPr>
        <w:t>存在一些问题，本次整体支出绩效评级综合得分情况如下：预算管理指标权重为</w:t>
      </w:r>
      <w:r>
        <w:rPr>
          <w:rFonts w:hint="eastAsia" w:ascii="仿宋_GB2312" w:hAnsi="仿宋_GB2312" w:eastAsia="仿宋_GB2312" w:cs="仿宋_GB2312"/>
          <w:lang w:val="en-US"/>
        </w:rPr>
        <w:t>80</w:t>
      </w:r>
      <w:r>
        <w:rPr>
          <w:rFonts w:hint="eastAsia" w:ascii="仿宋_GB2312" w:hAnsi="仿宋_GB2312" w:eastAsia="仿宋_GB2312" w:cs="仿宋_GB2312"/>
        </w:rPr>
        <w:t>分，得分为</w:t>
      </w:r>
      <w:r>
        <w:rPr>
          <w:rFonts w:hint="eastAsia" w:ascii="仿宋_GB2312" w:hAnsi="仿宋_GB2312" w:eastAsia="仿宋_GB2312" w:cs="仿宋_GB2312"/>
          <w:lang w:val="en-US"/>
        </w:rPr>
        <w:t>55</w:t>
      </w:r>
      <w:r>
        <w:rPr>
          <w:rFonts w:hint="eastAsia" w:ascii="仿宋_GB2312" w:hAnsi="仿宋_GB2312" w:eastAsia="仿宋_GB2312" w:cs="仿宋_GB2312"/>
        </w:rPr>
        <w:t>分，得分率为</w:t>
      </w:r>
      <w:r>
        <w:rPr>
          <w:rFonts w:hint="eastAsia" w:ascii="仿宋_GB2312" w:hAnsi="仿宋_GB2312" w:eastAsia="仿宋_GB2312" w:cs="仿宋_GB2312"/>
          <w:lang w:val="en-US"/>
        </w:rPr>
        <w:t>68</w:t>
      </w:r>
      <w:r>
        <w:rPr>
          <w:rFonts w:hint="eastAsia" w:ascii="仿宋_GB2312" w:hAnsi="仿宋_GB2312" w:eastAsia="仿宋_GB2312" w:cs="仿宋_GB2312"/>
        </w:rPr>
        <w:t>%；</w:t>
      </w:r>
      <w:r>
        <w:rPr>
          <w:rFonts w:hint="eastAsia" w:ascii="仿宋_GB2312" w:hAnsi="仿宋_GB2312" w:eastAsia="仿宋_GB2312" w:cs="仿宋_GB2312"/>
          <w:lang w:val="en-US"/>
        </w:rPr>
        <w:t>绩效结果运用</w:t>
      </w:r>
      <w:r>
        <w:rPr>
          <w:rFonts w:hint="eastAsia" w:ascii="仿宋_GB2312" w:hAnsi="仿宋_GB2312" w:eastAsia="仿宋_GB2312" w:cs="仿宋_GB2312"/>
        </w:rPr>
        <w:t>指标权重为</w:t>
      </w:r>
      <w:r>
        <w:rPr>
          <w:rFonts w:hint="eastAsia" w:ascii="仿宋_GB2312" w:hAnsi="仿宋_GB2312" w:eastAsia="仿宋_GB2312" w:cs="仿宋_GB2312"/>
          <w:lang w:val="en-US"/>
        </w:rPr>
        <w:t>20</w:t>
      </w:r>
      <w:r>
        <w:rPr>
          <w:rFonts w:hint="eastAsia" w:ascii="仿宋_GB2312" w:hAnsi="仿宋_GB2312" w:eastAsia="仿宋_GB2312" w:cs="仿宋_GB2312"/>
        </w:rPr>
        <w:t>分，得分为</w:t>
      </w:r>
      <w:r>
        <w:rPr>
          <w:rFonts w:hint="eastAsia" w:ascii="仿宋_GB2312" w:hAnsi="仿宋_GB2312" w:eastAsia="仿宋_GB2312" w:cs="仿宋_GB2312"/>
          <w:lang w:val="en-US"/>
        </w:rPr>
        <w:t>19</w:t>
      </w:r>
      <w:r>
        <w:rPr>
          <w:rFonts w:hint="eastAsia" w:ascii="仿宋_GB2312" w:hAnsi="仿宋_GB2312" w:eastAsia="仿宋_GB2312" w:cs="仿宋_GB2312"/>
        </w:rPr>
        <w:t>分，得分率为</w:t>
      </w:r>
      <w:r>
        <w:rPr>
          <w:rFonts w:hint="eastAsia" w:ascii="仿宋_GB2312" w:hAnsi="仿宋_GB2312" w:eastAsia="仿宋_GB2312" w:cs="仿宋_GB2312"/>
          <w:lang w:val="en-US"/>
        </w:rPr>
        <w:t>95</w:t>
      </w:r>
      <w:r>
        <w:rPr>
          <w:rFonts w:hint="eastAsia" w:ascii="仿宋_GB2312" w:hAnsi="仿宋_GB2312" w:eastAsia="仿宋_GB2312" w:cs="仿宋_GB2312"/>
        </w:rPr>
        <w:t>%；本项目总分为</w:t>
      </w:r>
      <w:r>
        <w:rPr>
          <w:rFonts w:hint="eastAsia" w:ascii="仿宋_GB2312" w:hAnsi="仿宋_GB2312" w:eastAsia="仿宋_GB2312" w:cs="仿宋_GB2312"/>
          <w:lang w:val="en-US"/>
        </w:rPr>
        <w:t>74</w:t>
      </w:r>
      <w:r>
        <w:rPr>
          <w:rFonts w:hint="eastAsia" w:ascii="仿宋_GB2312" w:hAnsi="仿宋_GB2312" w:eastAsia="仿宋_GB2312" w:cs="仿宋_GB2312"/>
        </w:rPr>
        <w:t>分。详情见下表</w:t>
      </w:r>
      <w:r>
        <w:rPr>
          <w:rFonts w:hint="eastAsia" w:ascii="仿宋_GB2312" w:hAnsi="仿宋_GB2312" w:eastAsia="仿宋_GB2312" w:cs="仿宋_GB2312"/>
          <w:lang w:val="en-US"/>
        </w:rPr>
        <w:t>2</w:t>
      </w:r>
      <w:r>
        <w:rPr>
          <w:rFonts w:hint="eastAsia" w:ascii="仿宋_GB2312" w:hAnsi="仿宋_GB2312" w:eastAsia="仿宋_GB2312" w:cs="仿宋_GB2312"/>
        </w:rPr>
        <w:t>-1。</w:t>
      </w:r>
    </w:p>
    <w:p>
      <w:pPr>
        <w:pStyle w:val="19"/>
        <w:spacing w:after="0"/>
        <w:ind w:firstLine="562" w:firstLineChars="200"/>
        <w:rPr>
          <w:sz w:val="28"/>
          <w:szCs w:val="28"/>
        </w:rPr>
      </w:pPr>
      <w:r>
        <w:rPr>
          <w:sz w:val="28"/>
          <w:szCs w:val="28"/>
        </w:rPr>
        <w:t>表</w:t>
      </w:r>
      <w:r>
        <w:rPr>
          <w:rFonts w:hint="eastAsia"/>
          <w:sz w:val="28"/>
          <w:szCs w:val="28"/>
        </w:rPr>
        <w:t>2-1 2020年县委老干部服务中心</w:t>
      </w:r>
      <w:r>
        <w:rPr>
          <w:sz w:val="28"/>
          <w:szCs w:val="28"/>
        </w:rPr>
        <w:t>部门整体支出绩效得分情况表</w:t>
      </w:r>
    </w:p>
    <w:tbl>
      <w:tblPr>
        <w:tblStyle w:val="12"/>
        <w:tblW w:w="9138" w:type="dxa"/>
        <w:tblInd w:w="0" w:type="dxa"/>
        <w:tblLayout w:type="fixed"/>
        <w:tblCellMar>
          <w:top w:w="15" w:type="dxa"/>
          <w:left w:w="15" w:type="dxa"/>
          <w:bottom w:w="15" w:type="dxa"/>
          <w:right w:w="15" w:type="dxa"/>
        </w:tblCellMar>
      </w:tblPr>
      <w:tblGrid>
        <w:gridCol w:w="2117"/>
        <w:gridCol w:w="1081"/>
        <w:gridCol w:w="1688"/>
        <w:gridCol w:w="1196"/>
        <w:gridCol w:w="1031"/>
        <w:gridCol w:w="1031"/>
        <w:gridCol w:w="994"/>
      </w:tblGrid>
      <w:tr>
        <w:tblPrEx>
          <w:tblCellMar>
            <w:top w:w="15" w:type="dxa"/>
            <w:left w:w="15" w:type="dxa"/>
            <w:bottom w:w="15" w:type="dxa"/>
            <w:right w:w="15" w:type="dxa"/>
          </w:tblCellMar>
        </w:tblPrEx>
        <w:trPr>
          <w:trHeight w:val="428" w:hRule="atLeast"/>
        </w:trPr>
        <w:tc>
          <w:tcPr>
            <w:tcW w:w="4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绩效指标</w:t>
            </w:r>
          </w:p>
        </w:tc>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指标分值</w:t>
            </w:r>
          </w:p>
        </w:tc>
        <w:tc>
          <w:tcPr>
            <w:tcW w:w="103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kern w:val="0"/>
                <w:sz w:val="20"/>
                <w:szCs w:val="20"/>
              </w:rPr>
            </w:pPr>
            <w:r>
              <w:rPr>
                <w:rFonts w:hint="eastAsia" w:ascii="仿宋" w:hAnsi="仿宋" w:eastAsia="仿宋" w:cs="仿宋"/>
                <w:b/>
                <w:color w:val="000000"/>
                <w:kern w:val="0"/>
                <w:sz w:val="20"/>
                <w:szCs w:val="20"/>
              </w:rPr>
              <w:t>自评得分</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评价得分</w:t>
            </w:r>
          </w:p>
        </w:tc>
        <w:tc>
          <w:tcPr>
            <w:tcW w:w="99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kern w:val="0"/>
                <w:sz w:val="20"/>
                <w:szCs w:val="20"/>
              </w:rPr>
            </w:pPr>
            <w:r>
              <w:rPr>
                <w:rFonts w:hint="eastAsia" w:ascii="仿宋" w:hAnsi="仿宋" w:eastAsia="仿宋" w:cs="仿宋"/>
                <w:b/>
                <w:color w:val="000000"/>
                <w:kern w:val="0"/>
                <w:sz w:val="20"/>
                <w:szCs w:val="20"/>
              </w:rPr>
              <w:t>备注</w:t>
            </w:r>
          </w:p>
        </w:tc>
      </w:tr>
      <w:tr>
        <w:tblPrEx>
          <w:tblCellMar>
            <w:top w:w="15" w:type="dxa"/>
            <w:left w:w="15" w:type="dxa"/>
            <w:bottom w:w="15" w:type="dxa"/>
            <w:right w:w="15" w:type="dxa"/>
          </w:tblCellMar>
        </w:tblPrEx>
        <w:trPr>
          <w:trHeight w:val="428" w:hRule="atLeast"/>
        </w:trPr>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一级指标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三级指标</w:t>
            </w: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103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99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r>
      <w:tr>
        <w:tblPrEx>
          <w:tblCellMar>
            <w:top w:w="15" w:type="dxa"/>
            <w:left w:w="15" w:type="dxa"/>
            <w:bottom w:w="15" w:type="dxa"/>
            <w:right w:w="15" w:type="dxa"/>
          </w:tblCellMar>
        </w:tblPrEx>
        <w:trPr>
          <w:trHeight w:val="363" w:hRule="atLeast"/>
        </w:trPr>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部门预算管理（80分）</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预算</w:t>
            </w:r>
          </w:p>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编制</w:t>
            </w:r>
          </w:p>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（30分）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目标制定</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 xml:space="preserve"> 10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r>
      <w:tr>
        <w:tblPrEx>
          <w:tblCellMar>
            <w:top w:w="15" w:type="dxa"/>
            <w:left w:w="15" w:type="dxa"/>
            <w:bottom w:w="15" w:type="dxa"/>
            <w:right w:w="15" w:type="dxa"/>
          </w:tblCellMar>
        </w:tblPrEx>
        <w:trPr>
          <w:trHeight w:val="304" w:hRule="atLeast"/>
        </w:trPr>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目标完成</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 xml:space="preserve"> 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8.5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r>
      <w:tr>
        <w:tblPrEx>
          <w:tblCellMar>
            <w:top w:w="15" w:type="dxa"/>
            <w:left w:w="15" w:type="dxa"/>
            <w:bottom w:w="15" w:type="dxa"/>
            <w:right w:w="15" w:type="dxa"/>
          </w:tblCellMar>
        </w:tblPrEx>
        <w:trPr>
          <w:trHeight w:val="328" w:hRule="atLeast"/>
        </w:trPr>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编制准确</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 xml:space="preserve"> 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r>
      <w:tr>
        <w:tblPrEx>
          <w:tblCellMar>
            <w:top w:w="15" w:type="dxa"/>
            <w:left w:w="15" w:type="dxa"/>
            <w:bottom w:w="15" w:type="dxa"/>
            <w:right w:w="15" w:type="dxa"/>
          </w:tblCellMar>
        </w:tblPrEx>
        <w:trPr>
          <w:trHeight w:val="255" w:hRule="atLeast"/>
        </w:trPr>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360" w:firstLineChars="200"/>
              <w:textAlignment w:val="center"/>
              <w:rPr>
                <w:rFonts w:ascii="宋体" w:hAnsi="宋体" w:cs="宋体"/>
                <w:color w:val="000000"/>
                <w:kern w:val="0"/>
                <w:sz w:val="18"/>
                <w:szCs w:val="18"/>
              </w:rPr>
            </w:pPr>
            <w:r>
              <w:rPr>
                <w:rFonts w:hint="eastAsia" w:ascii="宋体" w:hAnsi="宋体" w:cs="宋体"/>
                <w:color w:val="000000"/>
                <w:kern w:val="0"/>
                <w:sz w:val="18"/>
                <w:szCs w:val="18"/>
              </w:rPr>
              <w:t>预算</w:t>
            </w:r>
          </w:p>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执行</w:t>
            </w:r>
          </w:p>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（30分）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支出控制</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 xml:space="preserve"> 8.6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r>
      <w:tr>
        <w:tblPrEx>
          <w:tblCellMar>
            <w:top w:w="15" w:type="dxa"/>
            <w:left w:w="15" w:type="dxa"/>
            <w:bottom w:w="15" w:type="dxa"/>
            <w:right w:w="15" w:type="dxa"/>
          </w:tblCellMar>
        </w:tblPrEx>
        <w:trPr>
          <w:trHeight w:val="316" w:hRule="atLeast"/>
        </w:trPr>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动态调整</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 xml:space="preserve"> 10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10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r>
      <w:tr>
        <w:tblPrEx>
          <w:tblCellMar>
            <w:top w:w="15" w:type="dxa"/>
            <w:left w:w="15" w:type="dxa"/>
            <w:bottom w:w="15" w:type="dxa"/>
            <w:right w:w="15" w:type="dxa"/>
          </w:tblCellMar>
        </w:tblPrEx>
        <w:trPr>
          <w:trHeight w:val="309" w:hRule="atLeast"/>
        </w:trPr>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执行进度</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 xml:space="preserve"> 9</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6.5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r>
      <w:tr>
        <w:tblPrEx>
          <w:tblCellMar>
            <w:top w:w="15" w:type="dxa"/>
            <w:left w:w="15" w:type="dxa"/>
            <w:bottom w:w="15" w:type="dxa"/>
            <w:right w:w="15" w:type="dxa"/>
          </w:tblCellMar>
        </w:tblPrEx>
        <w:trPr>
          <w:trHeight w:val="394" w:hRule="atLeast"/>
        </w:trPr>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完成</w:t>
            </w:r>
          </w:p>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结果</w:t>
            </w:r>
          </w:p>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（20分）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预算完成</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7.5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r>
      <w:tr>
        <w:tblPrEx>
          <w:tblCellMar>
            <w:top w:w="15" w:type="dxa"/>
            <w:left w:w="15" w:type="dxa"/>
            <w:bottom w:w="15" w:type="dxa"/>
            <w:right w:w="15" w:type="dxa"/>
          </w:tblCellMar>
        </w:tblPrEx>
        <w:trPr>
          <w:trHeight w:val="334" w:hRule="atLeast"/>
        </w:trPr>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违规记录</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 xml:space="preserve"> 10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r>
      <w:tr>
        <w:tblPrEx>
          <w:tblCellMar>
            <w:top w:w="15" w:type="dxa"/>
            <w:left w:w="15" w:type="dxa"/>
            <w:bottom w:w="15" w:type="dxa"/>
            <w:right w:w="15" w:type="dxa"/>
          </w:tblCellMar>
        </w:tblPrEx>
        <w:trPr>
          <w:trHeight w:val="1008" w:hRule="atLeast"/>
        </w:trPr>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绩效结果应用（20分）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自评</w:t>
            </w:r>
          </w:p>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质量</w:t>
            </w:r>
          </w:p>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（4分）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自评准确</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 xml:space="preserve"> 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r>
      <w:tr>
        <w:tblPrEx>
          <w:tblCellMar>
            <w:top w:w="15" w:type="dxa"/>
            <w:left w:w="15" w:type="dxa"/>
            <w:bottom w:w="15" w:type="dxa"/>
            <w:right w:w="15" w:type="dxa"/>
          </w:tblCellMar>
        </w:tblPrEx>
        <w:trPr>
          <w:trHeight w:val="365" w:hRule="atLeast"/>
        </w:trPr>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信息</w:t>
            </w:r>
          </w:p>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公开</w:t>
            </w:r>
          </w:p>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（8分）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目标公开</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r>
      <w:tr>
        <w:tblPrEx>
          <w:tblCellMar>
            <w:top w:w="15" w:type="dxa"/>
            <w:left w:w="15" w:type="dxa"/>
            <w:bottom w:w="15" w:type="dxa"/>
            <w:right w:w="15" w:type="dxa"/>
          </w:tblCellMar>
        </w:tblPrEx>
        <w:trPr>
          <w:trHeight w:val="350" w:hRule="atLeast"/>
        </w:trPr>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自评公开</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r>
      <w:tr>
        <w:tblPrEx>
          <w:tblCellMar>
            <w:top w:w="15" w:type="dxa"/>
            <w:left w:w="15" w:type="dxa"/>
            <w:bottom w:w="15" w:type="dxa"/>
            <w:right w:w="15" w:type="dxa"/>
          </w:tblCellMar>
        </w:tblPrEx>
        <w:trPr>
          <w:trHeight w:val="393" w:hRule="atLeast"/>
        </w:trPr>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整改</w:t>
            </w:r>
          </w:p>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反馈</w:t>
            </w:r>
          </w:p>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（8分）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结果整改</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r>
      <w:tr>
        <w:tblPrEx>
          <w:tblCellMar>
            <w:top w:w="15" w:type="dxa"/>
            <w:left w:w="15" w:type="dxa"/>
            <w:bottom w:w="15" w:type="dxa"/>
            <w:right w:w="15" w:type="dxa"/>
          </w:tblCellMar>
        </w:tblPrEx>
        <w:trPr>
          <w:trHeight w:val="498" w:hRule="atLeast"/>
        </w:trPr>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应用反馈</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r>
              <w:rPr>
                <w:rFonts w:hint="eastAsia" w:ascii="宋体" w:hAnsi="宋体" w:cs="宋体"/>
                <w:color w:val="000000"/>
                <w:sz w:val="18"/>
                <w:szCs w:val="18"/>
              </w:rPr>
              <w:t>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18"/>
                <w:szCs w:val="18"/>
              </w:rPr>
            </w:pPr>
          </w:p>
        </w:tc>
      </w:tr>
      <w:tr>
        <w:tblPrEx>
          <w:tblCellMar>
            <w:top w:w="15" w:type="dxa"/>
            <w:left w:w="15" w:type="dxa"/>
            <w:bottom w:w="15" w:type="dxa"/>
            <w:right w:w="15" w:type="dxa"/>
          </w:tblCellMar>
        </w:tblPrEx>
        <w:trPr>
          <w:trHeight w:val="408" w:hRule="atLeast"/>
        </w:trPr>
        <w:tc>
          <w:tcPr>
            <w:tcW w:w="4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宋体" w:hAnsi="宋体" w:cs="宋体"/>
                <w:color w:val="000000"/>
                <w:sz w:val="18"/>
                <w:szCs w:val="18"/>
              </w:rPr>
            </w:pPr>
            <w:r>
              <w:rPr>
                <w:rFonts w:hint="eastAsia" w:ascii="宋体" w:hAnsi="宋体" w:cs="宋体"/>
                <w:color w:val="000000"/>
                <w:kern w:val="0"/>
                <w:sz w:val="18"/>
                <w:szCs w:val="18"/>
              </w:rPr>
              <w:t>总分合计</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24"/>
              </w:rPr>
            </w:pPr>
            <w:r>
              <w:rPr>
                <w:rFonts w:hint="eastAsia" w:ascii="宋体" w:hAnsi="宋体" w:cs="宋体"/>
                <w:color w:val="000000"/>
                <w:sz w:val="24"/>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24"/>
              </w:rPr>
            </w:pPr>
            <w:r>
              <w:rPr>
                <w:rFonts w:hint="eastAsia" w:ascii="宋体" w:hAnsi="宋体" w:cs="宋体"/>
                <w:color w:val="000000"/>
                <w:sz w:val="24"/>
              </w:rPr>
              <w:t xml:space="preserve">90.1 </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24"/>
              </w:rPr>
            </w:pPr>
            <w:r>
              <w:rPr>
                <w:rFonts w:hint="eastAsia" w:ascii="宋体" w:hAnsi="宋体" w:cs="宋体"/>
                <w:color w:val="000000"/>
                <w:sz w:val="24"/>
              </w:rPr>
              <w:t>74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ascii="宋体" w:hAnsi="宋体" w:cs="宋体"/>
                <w:color w:val="000000"/>
                <w:sz w:val="24"/>
              </w:rPr>
            </w:pPr>
          </w:p>
        </w:tc>
      </w:tr>
    </w:tbl>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（二）部门预算管理情况分析</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1.预算编制情况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（1）目标制定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县委老干部服务中心</w:t>
      </w:r>
      <w:r>
        <w:rPr>
          <w:rFonts w:hint="eastAsia" w:ascii="仿宋_GB2312" w:hAnsi="仿宋_GB2312" w:eastAsia="仿宋_GB2312" w:cs="仿宋_GB2312"/>
          <w:sz w:val="32"/>
          <w:szCs w:val="32"/>
        </w:rPr>
        <w:t>按照2020年部门预算编制要求，积极开展预算编报工作，在规定时间内完成了部门预算编制任务。部门预算编制准确、规范、完整无漏项，在县委的领导下，保障好自身运转，切实落实好老干部的政治待遇和生活待遇。单位编制、人员情况与供养人员横向联网系统数据一致。部门整体支出绩效目标表申报表填报中“脱贫攻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以及完成本单位正常工作和根据县委县政府下达的绩效目标任务数量指标未细化。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该指标满分10分，</w:t>
      </w:r>
      <w:r>
        <w:rPr>
          <w:rFonts w:hint="eastAsia" w:ascii="仿宋_GB2312" w:eastAsia="仿宋_GB2312"/>
          <w:sz w:val="32"/>
          <w:szCs w:val="32"/>
        </w:rPr>
        <w:t>根据指标评价标准和公式计算，</w:t>
      </w:r>
      <w:r>
        <w:rPr>
          <w:rFonts w:hint="eastAsia" w:ascii="仿宋_GB2312" w:hAnsi="仿宋_GB2312" w:eastAsia="仿宋_GB2312" w:cs="仿宋_GB2312"/>
          <w:sz w:val="32"/>
          <w:szCs w:val="32"/>
        </w:rPr>
        <w:t>得分9.0分。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（2）目标完成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rPr>
        <w:t>2020年中共旺苍县委老干部服务中心共设置绩效目标4个，均全部完成，</w:t>
      </w:r>
      <w:r>
        <w:rPr>
          <w:rFonts w:hint="eastAsia" w:ascii="仿宋_GB2312" w:eastAsia="仿宋_GB2312"/>
          <w:sz w:val="32"/>
          <w:szCs w:val="32"/>
        </w:rPr>
        <w:t>数量指标的完成情况详见表3-1：</w:t>
      </w:r>
    </w:p>
    <w:p>
      <w:pPr>
        <w:pStyle w:val="2"/>
        <w:spacing w:before="93"/>
        <w:jc w:val="center"/>
        <w:rPr>
          <w:sz w:val="32"/>
          <w:szCs w:val="32"/>
        </w:rPr>
      </w:pPr>
      <w:r>
        <w:rPr>
          <w:b/>
          <w:bCs/>
          <w:sz w:val="32"/>
          <w:szCs w:val="32"/>
        </w:rPr>
        <w:t>表</w:t>
      </w:r>
      <w:r>
        <w:rPr>
          <w:rFonts w:hint="eastAsia"/>
          <w:b/>
          <w:bCs/>
          <w:sz w:val="32"/>
          <w:szCs w:val="32"/>
        </w:rPr>
        <w:t>3-1 2020年县委老干部中心绩效目标完成情况</w:t>
      </w:r>
    </w:p>
    <w:tbl>
      <w:tblPr>
        <w:tblStyle w:val="12"/>
        <w:tblW w:w="9159" w:type="dxa"/>
        <w:tblInd w:w="93" w:type="dxa"/>
        <w:tblLayout w:type="autofit"/>
        <w:tblCellMar>
          <w:top w:w="0" w:type="dxa"/>
          <w:left w:w="108" w:type="dxa"/>
          <w:bottom w:w="0" w:type="dxa"/>
          <w:right w:w="108" w:type="dxa"/>
        </w:tblCellMar>
      </w:tblPr>
      <w:tblGrid>
        <w:gridCol w:w="2400"/>
        <w:gridCol w:w="5265"/>
        <w:gridCol w:w="1494"/>
      </w:tblGrid>
      <w:tr>
        <w:tblPrEx>
          <w:tblCellMar>
            <w:top w:w="0" w:type="dxa"/>
            <w:left w:w="108" w:type="dxa"/>
            <w:bottom w:w="0" w:type="dxa"/>
            <w:right w:w="108" w:type="dxa"/>
          </w:tblCellMar>
        </w:tblPrEx>
        <w:trPr>
          <w:trHeight w:val="441" w:hRule="atLeast"/>
        </w:trPr>
        <w:tc>
          <w:tcPr>
            <w:tcW w:w="2400"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Arial" w:hAnsi="Arial" w:cs="Arial"/>
                <w:b/>
                <w:bCs/>
                <w:color w:val="000000"/>
                <w:sz w:val="20"/>
              </w:rPr>
            </w:pPr>
            <w:r>
              <w:rPr>
                <w:rFonts w:ascii="Arial" w:hAnsi="Arial" w:cs="Arial"/>
                <w:b/>
                <w:bCs/>
                <w:color w:val="000000"/>
                <w:kern w:val="0"/>
                <w:sz w:val="20"/>
              </w:rPr>
              <w:t>项目名称</w:t>
            </w:r>
          </w:p>
        </w:tc>
        <w:tc>
          <w:tcPr>
            <w:tcW w:w="5265"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宋体" w:hAnsi="宋体" w:cs="宋体"/>
                <w:b/>
                <w:bCs/>
                <w:color w:val="000000"/>
                <w:sz w:val="20"/>
              </w:rPr>
            </w:pPr>
            <w:r>
              <w:rPr>
                <w:rFonts w:hint="eastAsia" w:ascii="宋体" w:hAnsi="宋体" w:cs="宋体"/>
                <w:b/>
                <w:bCs/>
                <w:color w:val="000000"/>
                <w:kern w:val="0"/>
                <w:sz w:val="20"/>
              </w:rPr>
              <w:t>项目完成指标</w:t>
            </w:r>
          </w:p>
        </w:tc>
        <w:tc>
          <w:tcPr>
            <w:tcW w:w="1494"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宋体" w:hAnsi="宋体" w:cs="宋体"/>
                <w:b/>
                <w:bCs/>
                <w:color w:val="000000"/>
                <w:sz w:val="20"/>
              </w:rPr>
            </w:pPr>
            <w:r>
              <w:rPr>
                <w:rFonts w:hint="eastAsia" w:ascii="宋体" w:hAnsi="宋体" w:cs="宋体"/>
                <w:b/>
                <w:bCs/>
                <w:color w:val="000000"/>
                <w:kern w:val="0"/>
                <w:sz w:val="20"/>
              </w:rPr>
              <w:t>实际完成情况</w:t>
            </w:r>
          </w:p>
        </w:tc>
      </w:tr>
      <w:tr>
        <w:tblPrEx>
          <w:tblCellMar>
            <w:top w:w="0" w:type="dxa"/>
            <w:left w:w="108" w:type="dxa"/>
            <w:bottom w:w="0" w:type="dxa"/>
            <w:right w:w="108" w:type="dxa"/>
          </w:tblCellMar>
        </w:tblPrEx>
        <w:trPr>
          <w:trHeight w:val="441" w:hRule="atLeast"/>
        </w:trPr>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宋体" w:hAnsi="宋体" w:cs="宋体"/>
                <w:color w:val="000000"/>
                <w:sz w:val="20"/>
              </w:rPr>
            </w:pPr>
            <w:r>
              <w:rPr>
                <w:rFonts w:hint="eastAsia" w:ascii="宋体" w:hAnsi="宋体" w:cs="宋体"/>
                <w:color w:val="000000"/>
                <w:kern w:val="0"/>
                <w:sz w:val="20"/>
              </w:rPr>
              <w:t>党组织活动经费</w:t>
            </w:r>
          </w:p>
        </w:tc>
        <w:tc>
          <w:tcPr>
            <w:tcW w:w="5265"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宋体" w:hAnsi="宋体" w:cs="宋体"/>
                <w:color w:val="000000"/>
                <w:sz w:val="20"/>
              </w:rPr>
            </w:pPr>
            <w:r>
              <w:rPr>
                <w:rFonts w:hint="eastAsia" w:ascii="宋体" w:hAnsi="宋体" w:cs="宋体"/>
                <w:color w:val="000000"/>
                <w:kern w:val="0"/>
                <w:sz w:val="20"/>
              </w:rPr>
              <w:t>开展组织活动12次</w:t>
            </w:r>
          </w:p>
        </w:tc>
        <w:tc>
          <w:tcPr>
            <w:tcW w:w="1494"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宋体" w:hAnsi="宋体" w:cs="宋体"/>
                <w:color w:val="000000"/>
                <w:sz w:val="20"/>
              </w:rPr>
            </w:pPr>
            <w:r>
              <w:rPr>
                <w:rFonts w:hint="eastAsia" w:ascii="宋体" w:hAnsi="宋体" w:cs="宋体"/>
                <w:color w:val="000000"/>
                <w:kern w:val="0"/>
                <w:sz w:val="20"/>
              </w:rPr>
              <w:t>完成</w:t>
            </w:r>
          </w:p>
        </w:tc>
      </w:tr>
      <w:tr>
        <w:tblPrEx>
          <w:tblCellMar>
            <w:top w:w="0" w:type="dxa"/>
            <w:left w:w="108" w:type="dxa"/>
            <w:bottom w:w="0" w:type="dxa"/>
            <w:right w:w="108" w:type="dxa"/>
          </w:tblCellMar>
        </w:tblPrEx>
        <w:trPr>
          <w:trHeight w:val="441" w:hRule="atLeast"/>
        </w:trPr>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exact"/>
              <w:jc w:val="center"/>
              <w:rPr>
                <w:rFonts w:ascii="宋体" w:hAnsi="宋体" w:cs="宋体"/>
                <w:color w:val="000000"/>
                <w:sz w:val="20"/>
              </w:rPr>
            </w:pPr>
          </w:p>
        </w:tc>
        <w:tc>
          <w:tcPr>
            <w:tcW w:w="5265"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宋体" w:hAnsi="宋体" w:cs="宋体"/>
                <w:color w:val="000000"/>
                <w:sz w:val="20"/>
              </w:rPr>
            </w:pPr>
            <w:r>
              <w:rPr>
                <w:rFonts w:hint="eastAsia" w:ascii="宋体" w:hAnsi="宋体" w:cs="宋体"/>
                <w:color w:val="000000"/>
                <w:kern w:val="0"/>
                <w:sz w:val="20"/>
              </w:rPr>
              <w:t>开展党员教育培训（含外出开展活动），每季度一次党课</w:t>
            </w:r>
          </w:p>
        </w:tc>
        <w:tc>
          <w:tcPr>
            <w:tcW w:w="1494"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宋体" w:hAnsi="宋体" w:cs="宋体"/>
                <w:color w:val="000000"/>
                <w:sz w:val="20"/>
              </w:rPr>
            </w:pPr>
            <w:r>
              <w:rPr>
                <w:rFonts w:hint="eastAsia" w:ascii="宋体" w:hAnsi="宋体" w:cs="宋体"/>
                <w:color w:val="000000"/>
                <w:kern w:val="0"/>
                <w:sz w:val="20"/>
              </w:rPr>
              <w:t>完成</w:t>
            </w:r>
          </w:p>
        </w:tc>
      </w:tr>
      <w:tr>
        <w:tblPrEx>
          <w:tblCellMar>
            <w:top w:w="0" w:type="dxa"/>
            <w:left w:w="108" w:type="dxa"/>
            <w:bottom w:w="0" w:type="dxa"/>
            <w:right w:w="108" w:type="dxa"/>
          </w:tblCellMar>
        </w:tblPrEx>
        <w:trPr>
          <w:trHeight w:val="441" w:hRule="atLeast"/>
        </w:trPr>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exact"/>
              <w:jc w:val="center"/>
              <w:rPr>
                <w:rFonts w:ascii="宋体" w:hAnsi="宋体" w:cs="宋体"/>
                <w:color w:val="000000"/>
                <w:sz w:val="20"/>
              </w:rPr>
            </w:pPr>
          </w:p>
        </w:tc>
        <w:tc>
          <w:tcPr>
            <w:tcW w:w="5265"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宋体" w:hAnsi="宋体" w:cs="宋体"/>
                <w:color w:val="000000"/>
                <w:sz w:val="20"/>
              </w:rPr>
            </w:pPr>
            <w:r>
              <w:rPr>
                <w:rFonts w:hint="eastAsia" w:ascii="宋体" w:hAnsi="宋体" w:cs="宋体"/>
                <w:color w:val="000000"/>
                <w:kern w:val="0"/>
                <w:sz w:val="20"/>
              </w:rPr>
              <w:t>订阅购买党建资料（含党报党刊）10份</w:t>
            </w:r>
          </w:p>
        </w:tc>
        <w:tc>
          <w:tcPr>
            <w:tcW w:w="1494"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宋体" w:hAnsi="宋体" w:cs="宋体"/>
                <w:color w:val="000000"/>
                <w:sz w:val="20"/>
              </w:rPr>
            </w:pPr>
            <w:r>
              <w:rPr>
                <w:rFonts w:hint="eastAsia" w:ascii="宋体" w:hAnsi="宋体" w:cs="宋体"/>
                <w:color w:val="000000"/>
                <w:kern w:val="0"/>
                <w:sz w:val="20"/>
              </w:rPr>
              <w:t>完成</w:t>
            </w:r>
          </w:p>
        </w:tc>
      </w:tr>
      <w:tr>
        <w:tblPrEx>
          <w:tblCellMar>
            <w:top w:w="0" w:type="dxa"/>
            <w:left w:w="108" w:type="dxa"/>
            <w:bottom w:w="0" w:type="dxa"/>
            <w:right w:w="108" w:type="dxa"/>
          </w:tblCellMar>
        </w:tblPrEx>
        <w:trPr>
          <w:trHeight w:val="441" w:hRule="atLeast"/>
        </w:trPr>
        <w:tc>
          <w:tcPr>
            <w:tcW w:w="2400"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Arial" w:hAnsi="Arial" w:cs="Arial"/>
                <w:color w:val="000000"/>
                <w:sz w:val="20"/>
              </w:rPr>
            </w:pPr>
            <w:r>
              <w:rPr>
                <w:rFonts w:ascii="Arial" w:hAnsi="Arial" w:cs="Arial"/>
                <w:color w:val="000000"/>
                <w:kern w:val="0"/>
                <w:sz w:val="20"/>
              </w:rPr>
              <w:t>国庆慰问费</w:t>
            </w:r>
          </w:p>
        </w:tc>
        <w:tc>
          <w:tcPr>
            <w:tcW w:w="5265"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宋体" w:hAnsi="宋体" w:cs="宋体"/>
                <w:color w:val="000000"/>
                <w:sz w:val="20"/>
              </w:rPr>
            </w:pPr>
            <w:r>
              <w:rPr>
                <w:rFonts w:hint="eastAsia" w:ascii="宋体" w:hAnsi="宋体" w:cs="宋体"/>
                <w:color w:val="000000"/>
                <w:kern w:val="0"/>
                <w:sz w:val="20"/>
              </w:rPr>
              <w:t>国庆节前看望慰问副县级以上离退休老干部174人</w:t>
            </w:r>
          </w:p>
        </w:tc>
        <w:tc>
          <w:tcPr>
            <w:tcW w:w="1494"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宋体" w:hAnsi="宋体" w:cs="宋体"/>
                <w:color w:val="000000"/>
                <w:sz w:val="20"/>
              </w:rPr>
            </w:pPr>
            <w:r>
              <w:rPr>
                <w:rFonts w:hint="eastAsia" w:ascii="宋体" w:hAnsi="宋体" w:cs="宋体"/>
                <w:color w:val="000000"/>
                <w:kern w:val="0"/>
                <w:sz w:val="20"/>
              </w:rPr>
              <w:t>完成</w:t>
            </w:r>
          </w:p>
        </w:tc>
      </w:tr>
      <w:tr>
        <w:tblPrEx>
          <w:tblCellMar>
            <w:top w:w="0" w:type="dxa"/>
            <w:left w:w="108" w:type="dxa"/>
            <w:bottom w:w="0" w:type="dxa"/>
            <w:right w:w="108" w:type="dxa"/>
          </w:tblCellMar>
        </w:tblPrEx>
        <w:trPr>
          <w:trHeight w:val="441" w:hRule="atLeast"/>
        </w:trPr>
        <w:tc>
          <w:tcPr>
            <w:tcW w:w="2400"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Arial" w:hAnsi="Arial" w:cs="Arial"/>
                <w:color w:val="000000"/>
                <w:sz w:val="20"/>
              </w:rPr>
            </w:pPr>
            <w:r>
              <w:rPr>
                <w:rFonts w:ascii="Arial" w:hAnsi="Arial" w:cs="Arial"/>
                <w:color w:val="000000"/>
                <w:kern w:val="0"/>
                <w:sz w:val="20"/>
              </w:rPr>
              <w:t>老干部体检费</w:t>
            </w:r>
          </w:p>
        </w:tc>
        <w:tc>
          <w:tcPr>
            <w:tcW w:w="5265"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宋体" w:hAnsi="宋体" w:cs="宋体"/>
                <w:color w:val="000000"/>
                <w:sz w:val="20"/>
              </w:rPr>
            </w:pPr>
            <w:r>
              <w:rPr>
                <w:rFonts w:hint="eastAsia" w:ascii="宋体" w:hAnsi="宋体" w:cs="宋体"/>
                <w:color w:val="000000"/>
                <w:kern w:val="0"/>
                <w:sz w:val="20"/>
              </w:rPr>
              <w:t>组织178副县级以上离退休干部进行健康体检</w:t>
            </w:r>
          </w:p>
        </w:tc>
        <w:tc>
          <w:tcPr>
            <w:tcW w:w="1494"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宋体" w:hAnsi="宋体" w:cs="宋体"/>
                <w:color w:val="000000"/>
                <w:sz w:val="20"/>
              </w:rPr>
            </w:pPr>
            <w:r>
              <w:rPr>
                <w:rFonts w:hint="eastAsia" w:ascii="宋体" w:hAnsi="宋体" w:cs="宋体"/>
                <w:color w:val="000000"/>
                <w:kern w:val="0"/>
                <w:sz w:val="20"/>
              </w:rPr>
              <w:t>完成</w:t>
            </w:r>
          </w:p>
        </w:tc>
      </w:tr>
      <w:tr>
        <w:tblPrEx>
          <w:tblCellMar>
            <w:top w:w="0" w:type="dxa"/>
            <w:left w:w="108" w:type="dxa"/>
            <w:bottom w:w="0" w:type="dxa"/>
            <w:right w:w="108" w:type="dxa"/>
          </w:tblCellMar>
        </w:tblPrEx>
        <w:trPr>
          <w:trHeight w:val="449" w:hRule="atLeast"/>
        </w:trPr>
        <w:tc>
          <w:tcPr>
            <w:tcW w:w="2400"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Arial" w:hAnsi="Arial" w:cs="Arial"/>
                <w:color w:val="000000"/>
                <w:sz w:val="20"/>
              </w:rPr>
            </w:pPr>
            <w:r>
              <w:rPr>
                <w:rFonts w:ascii="Arial" w:hAnsi="Arial" w:cs="Arial"/>
                <w:color w:val="000000"/>
                <w:kern w:val="0"/>
                <w:sz w:val="20"/>
              </w:rPr>
              <w:t>绵阳老干部活动经费</w:t>
            </w:r>
          </w:p>
        </w:tc>
        <w:tc>
          <w:tcPr>
            <w:tcW w:w="5265"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宋体" w:hAnsi="宋体" w:cs="宋体"/>
                <w:color w:val="000000"/>
                <w:sz w:val="20"/>
              </w:rPr>
            </w:pPr>
            <w:r>
              <w:rPr>
                <w:rFonts w:hint="eastAsia" w:ascii="宋体" w:hAnsi="宋体" w:cs="宋体"/>
                <w:color w:val="000000"/>
                <w:kern w:val="0"/>
                <w:sz w:val="20"/>
              </w:rPr>
              <w:t>预算下达后，</w:t>
            </w:r>
            <w:r>
              <w:rPr>
                <w:rStyle w:val="24"/>
              </w:rPr>
              <w:t>1</w:t>
            </w:r>
            <w:r>
              <w:rPr>
                <w:rStyle w:val="25"/>
                <w:rFonts w:hint="default"/>
              </w:rPr>
              <w:t>个月内将经费转账给绵阳老干部</w:t>
            </w:r>
          </w:p>
        </w:tc>
        <w:tc>
          <w:tcPr>
            <w:tcW w:w="1494"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宋体" w:hAnsi="宋体" w:cs="宋体"/>
                <w:color w:val="000000"/>
                <w:sz w:val="20"/>
              </w:rPr>
            </w:pPr>
            <w:r>
              <w:rPr>
                <w:rFonts w:hint="eastAsia" w:ascii="宋体" w:hAnsi="宋体" w:cs="宋体"/>
                <w:color w:val="000000"/>
                <w:kern w:val="0"/>
                <w:sz w:val="20"/>
              </w:rPr>
              <w:t>完成</w:t>
            </w: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该指标分值标准10分，根据指标评价标准和公式计算，综合参考2020年综合目标绩效考评结果，得分8.5分。</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Ansi="仿宋_GB2312" w:cs="仿宋_GB2312"/>
          <w:sz w:val="32"/>
          <w:szCs w:val="32"/>
        </w:rPr>
      </w:pPr>
      <w:r>
        <w:rPr>
          <w:rFonts w:hint="eastAsia" w:hAnsi="仿宋_GB2312" w:cs="仿宋_GB2312"/>
          <w:sz w:val="32"/>
          <w:szCs w:val="32"/>
        </w:rPr>
        <w:t>（3）编制准确</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Ansi="仿宋_GB2312" w:cs="仿宋_GB2312"/>
          <w:sz w:val="32"/>
          <w:szCs w:val="32"/>
        </w:rPr>
      </w:pPr>
      <w:r>
        <w:rPr>
          <w:rFonts w:hint="eastAsia" w:hAnsi="仿宋_GB2312" w:cs="仿宋_GB2312"/>
          <w:sz w:val="32"/>
          <w:szCs w:val="32"/>
        </w:rPr>
        <w:t>县委老干部服务中心部门年初预算数为89.91万元，预算调整数为128.71万元，依据指标体系计分标准:指标得分=1-年初预算数(一上)/(财政下达数(一下)+预算调整数)基本支出资金，预决算偏差程度为34.73%。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该项指标满分10分，根据指标评价标准和公式计算，预决算程度偏差超过20%，不得分。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2.预算执行情况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（1）支出控制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2020年，中共旺苍县委老干部服务中心部门公用经费及非定额公用支出预算金额为16.53万元，其中：日常公用经费预算数16.53万元，项目支出中办公费、印刷费、水费、电费、物业管理费预算数分别为0万元、0万元、0万元、0万元、0万元。决算金额为16.53万元，其中：日常公用经费决算数16.53万。本单位日常公用经费、项目支出中“办公费、印刷费、水费、电费、物业管理费”等科目年初预算数与决算数偏差为27.24%。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该项满分10分，得分4分。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（2）动态调整</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Ansi="仿宋_GB2312" w:cs="仿宋_GB2312"/>
          <w:sz w:val="32"/>
          <w:szCs w:val="32"/>
        </w:rPr>
      </w:pPr>
      <w:r>
        <w:rPr>
          <w:rFonts w:hint="eastAsia" w:hAnsi="仿宋_GB2312" w:cs="仿宋_GB2312"/>
          <w:sz w:val="32"/>
          <w:szCs w:val="32"/>
        </w:rPr>
        <w:t>本单位严格执行预算，执行中未调整预算项目。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该指标分值标准10分，该项在执行预算过程中，执行情况较好，根据指标评价标准和公式计算，得分10分。</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Ansi="仿宋_GB2312" w:cs="仿宋_GB2312"/>
          <w:sz w:val="32"/>
          <w:szCs w:val="32"/>
        </w:rPr>
      </w:pPr>
      <w:r>
        <w:rPr>
          <w:rFonts w:hint="eastAsia" w:hAnsi="仿宋_GB2312" w:cs="仿宋_GB2312"/>
          <w:sz w:val="32"/>
          <w:szCs w:val="32"/>
        </w:rPr>
        <w:t>（3）执行进度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根据《旺苍县2021年度部门整体支出绩效评价指标体系》，部门预算执行进度在6、9、11月应达到序时进度的80%、90%、90%,本单位预算执行进度在6月、9月、11月分别达到了40%、67.5%、82.5%。2020年1-6月预算数89.91万元，执行数54.88万元，执行进度61.04%；1-9月预算数102.96万元，执行数82.52万元，执行进度80.15%；1-11月预算数102.96万元，执行数92.28万元，执行进度89.61%.各阶段预算执行进度未达到目标要求。            </w:t>
      </w:r>
    </w:p>
    <w:p>
      <w:pPr>
        <w:pStyle w:val="19"/>
        <w:spacing w:before="0" w:after="0" w:line="576" w:lineRule="exact"/>
        <w:rPr>
          <w:rFonts w:ascii="仿宋_GB2312" w:hAnsi="仿宋_GB2312" w:cs="仿宋_GB2312"/>
          <w:sz w:val="28"/>
          <w:szCs w:val="28"/>
        </w:rPr>
      </w:pPr>
      <w:r>
        <w:rPr>
          <w:rFonts w:hint="eastAsia" w:ascii="仿宋_GB2312" w:hAnsi="仿宋_GB2312" w:cs="仿宋_GB2312"/>
          <w:sz w:val="28"/>
          <w:szCs w:val="28"/>
        </w:rPr>
        <w:t>表4-22020年县委老干部中心部门预算执行进度表</w:t>
      </w:r>
    </w:p>
    <w:p>
      <w:pPr>
        <w:pStyle w:val="19"/>
        <w:jc w:val="right"/>
        <w:rPr>
          <w:rFonts w:ascii="仿宋_GB2312" w:hAnsi="仿宋_GB2312" w:cs="仿宋_GB2312"/>
          <w:sz w:val="24"/>
          <w:szCs w:val="24"/>
        </w:rPr>
      </w:pPr>
      <w:r>
        <w:rPr>
          <w:rFonts w:hint="eastAsia" w:ascii="仿宋_GB2312" w:hAnsi="仿宋_GB2312" w:cs="仿宋_GB2312"/>
          <w:sz w:val="24"/>
          <w:szCs w:val="24"/>
        </w:rPr>
        <w:t>单位：万元</w:t>
      </w:r>
    </w:p>
    <w:tbl>
      <w:tblPr>
        <w:tblStyle w:val="12"/>
        <w:tblpPr w:leftFromText="180" w:rightFromText="180" w:vertAnchor="text" w:horzAnchor="page" w:tblpX="2136" w:tblpY="213"/>
        <w:tblOverlap w:val="never"/>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2371"/>
        <w:gridCol w:w="2029"/>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37" w:type="dxa"/>
            <w:vAlign w:val="center"/>
          </w:tcPr>
          <w:p>
            <w:pPr>
              <w:pStyle w:val="20"/>
              <w:rPr>
                <w:rFonts w:ascii="宋体" w:hAnsi="宋体" w:eastAsia="宋体"/>
                <w:color w:val="auto"/>
                <w:lang w:val="en-US"/>
              </w:rPr>
            </w:pPr>
            <w:r>
              <w:rPr>
                <w:rFonts w:hint="eastAsia" w:ascii="宋体" w:hAnsi="宋体" w:eastAsia="宋体"/>
                <w:b/>
                <w:bCs w:val="0"/>
                <w:color w:val="auto"/>
                <w:lang w:val="en-US"/>
              </w:rPr>
              <w:t>月份</w:t>
            </w:r>
          </w:p>
        </w:tc>
        <w:tc>
          <w:tcPr>
            <w:tcW w:w="2371" w:type="dxa"/>
            <w:vAlign w:val="center"/>
          </w:tcPr>
          <w:p>
            <w:pPr>
              <w:pStyle w:val="20"/>
              <w:rPr>
                <w:rFonts w:ascii="宋体" w:hAnsi="宋体" w:eastAsia="宋体"/>
                <w:color w:val="auto"/>
                <w:lang w:val="en-US"/>
              </w:rPr>
            </w:pPr>
            <w:r>
              <w:rPr>
                <w:rFonts w:hint="eastAsia" w:ascii="宋体" w:hAnsi="宋体" w:eastAsia="宋体"/>
                <w:color w:val="auto"/>
                <w:lang w:val="en-US"/>
              </w:rPr>
              <w:t>预算数</w:t>
            </w:r>
          </w:p>
        </w:tc>
        <w:tc>
          <w:tcPr>
            <w:tcW w:w="2029" w:type="dxa"/>
            <w:vAlign w:val="center"/>
          </w:tcPr>
          <w:p>
            <w:pPr>
              <w:pStyle w:val="20"/>
              <w:rPr>
                <w:rFonts w:ascii="宋体" w:hAnsi="宋体" w:eastAsia="宋体"/>
                <w:color w:val="auto"/>
                <w:lang w:val="en-US"/>
              </w:rPr>
            </w:pPr>
            <w:r>
              <w:rPr>
                <w:rFonts w:hint="eastAsia" w:ascii="宋体" w:hAnsi="宋体" w:eastAsia="宋体"/>
                <w:color w:val="auto"/>
                <w:lang w:val="en-US"/>
              </w:rPr>
              <w:t>执行数</w:t>
            </w:r>
          </w:p>
        </w:tc>
        <w:tc>
          <w:tcPr>
            <w:tcW w:w="2200" w:type="dxa"/>
            <w:vAlign w:val="center"/>
          </w:tcPr>
          <w:p>
            <w:pPr>
              <w:pStyle w:val="20"/>
              <w:rPr>
                <w:rFonts w:ascii="宋体" w:hAnsi="宋体" w:eastAsia="宋体"/>
                <w:color w:val="auto"/>
                <w:lang w:val="en-US"/>
              </w:rPr>
            </w:pPr>
            <w:r>
              <w:rPr>
                <w:rFonts w:hint="eastAsia" w:ascii="宋体" w:hAnsi="宋体" w:eastAsia="宋体"/>
                <w:color w:val="auto"/>
                <w:lang w:val="en-US"/>
              </w:rPr>
              <w:t>实际支付进度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37" w:type="dxa"/>
            <w:vAlign w:val="center"/>
          </w:tcPr>
          <w:p>
            <w:pPr>
              <w:pStyle w:val="20"/>
              <w:rPr>
                <w:rFonts w:ascii="宋体" w:hAnsi="宋体" w:eastAsia="宋体"/>
                <w:b/>
                <w:color w:val="auto"/>
                <w:lang w:val="en-US"/>
              </w:rPr>
            </w:pPr>
            <w:r>
              <w:rPr>
                <w:rFonts w:hint="eastAsia" w:ascii="宋体" w:hAnsi="宋体" w:eastAsia="宋体"/>
                <w:b/>
                <w:color w:val="auto"/>
                <w:lang w:val="en-US"/>
              </w:rPr>
              <w:t>1-6月</w:t>
            </w:r>
          </w:p>
        </w:tc>
        <w:tc>
          <w:tcPr>
            <w:tcW w:w="2371" w:type="dxa"/>
            <w:vAlign w:val="center"/>
          </w:tcPr>
          <w:p>
            <w:pPr>
              <w:pStyle w:val="20"/>
              <w:rPr>
                <w:rFonts w:ascii="宋体" w:hAnsi="宋体" w:eastAsia="宋体"/>
                <w:bCs w:val="0"/>
                <w:color w:val="auto"/>
                <w:lang w:val="en-US"/>
              </w:rPr>
            </w:pPr>
            <w:r>
              <w:rPr>
                <w:rFonts w:hint="eastAsia" w:ascii="宋体" w:hAnsi="宋体" w:eastAsia="宋体"/>
                <w:bCs w:val="0"/>
                <w:color w:val="auto"/>
                <w:lang w:val="en-US"/>
              </w:rPr>
              <w:t>89.91</w:t>
            </w:r>
          </w:p>
        </w:tc>
        <w:tc>
          <w:tcPr>
            <w:tcW w:w="2029" w:type="dxa"/>
            <w:vAlign w:val="center"/>
          </w:tcPr>
          <w:p>
            <w:pPr>
              <w:pStyle w:val="20"/>
              <w:rPr>
                <w:rFonts w:ascii="宋体" w:hAnsi="宋体" w:eastAsia="宋体"/>
                <w:bCs w:val="0"/>
                <w:color w:val="auto"/>
                <w:lang w:val="en-US"/>
              </w:rPr>
            </w:pPr>
            <w:r>
              <w:rPr>
                <w:rFonts w:hint="eastAsia" w:ascii="宋体" w:hAnsi="宋体" w:eastAsia="宋体"/>
                <w:bCs w:val="0"/>
                <w:color w:val="auto"/>
                <w:lang w:val="en-US"/>
              </w:rPr>
              <w:t>54.88</w:t>
            </w:r>
          </w:p>
        </w:tc>
        <w:tc>
          <w:tcPr>
            <w:tcW w:w="2200" w:type="dxa"/>
            <w:vAlign w:val="center"/>
          </w:tcPr>
          <w:p>
            <w:pPr>
              <w:pStyle w:val="20"/>
              <w:rPr>
                <w:rFonts w:ascii="宋体" w:hAnsi="宋体" w:eastAsia="宋体"/>
                <w:bCs w:val="0"/>
                <w:color w:val="auto"/>
                <w:lang w:val="en-US"/>
              </w:rPr>
            </w:pPr>
            <w:r>
              <w:rPr>
                <w:rFonts w:hint="eastAsia" w:ascii="宋体" w:hAnsi="宋体" w:eastAsia="宋体"/>
                <w:bCs w:val="0"/>
                <w:color w:val="auto"/>
                <w:lang w:val="en-US"/>
              </w:rPr>
              <w:t>61.04%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37" w:type="dxa"/>
            <w:vAlign w:val="center"/>
          </w:tcPr>
          <w:p>
            <w:pPr>
              <w:pStyle w:val="20"/>
              <w:rPr>
                <w:rFonts w:ascii="宋体" w:hAnsi="宋体" w:eastAsia="宋体"/>
                <w:b/>
                <w:color w:val="auto"/>
                <w:lang w:val="en-US"/>
              </w:rPr>
            </w:pPr>
            <w:r>
              <w:rPr>
                <w:rFonts w:hint="eastAsia" w:ascii="宋体" w:hAnsi="宋体" w:eastAsia="宋体"/>
                <w:b/>
                <w:color w:val="auto"/>
                <w:lang w:val="en-US"/>
              </w:rPr>
              <w:t>1-9月</w:t>
            </w:r>
          </w:p>
        </w:tc>
        <w:tc>
          <w:tcPr>
            <w:tcW w:w="2371" w:type="dxa"/>
            <w:vAlign w:val="center"/>
          </w:tcPr>
          <w:p>
            <w:pPr>
              <w:pStyle w:val="20"/>
              <w:rPr>
                <w:rFonts w:ascii="宋体" w:hAnsi="宋体" w:eastAsia="宋体"/>
                <w:bCs w:val="0"/>
                <w:color w:val="auto"/>
                <w:lang w:val="en-US"/>
              </w:rPr>
            </w:pPr>
            <w:r>
              <w:rPr>
                <w:rFonts w:hint="eastAsia" w:ascii="宋体" w:hAnsi="宋体" w:eastAsia="宋体"/>
                <w:bCs w:val="0"/>
                <w:color w:val="auto"/>
                <w:lang w:val="en-US"/>
              </w:rPr>
              <w:t>102.96</w:t>
            </w:r>
          </w:p>
        </w:tc>
        <w:tc>
          <w:tcPr>
            <w:tcW w:w="2029" w:type="dxa"/>
            <w:vAlign w:val="center"/>
          </w:tcPr>
          <w:p>
            <w:pPr>
              <w:pStyle w:val="20"/>
              <w:rPr>
                <w:rFonts w:ascii="宋体" w:hAnsi="宋体" w:eastAsia="宋体"/>
                <w:bCs w:val="0"/>
                <w:color w:val="auto"/>
                <w:lang w:val="en-US"/>
              </w:rPr>
            </w:pPr>
            <w:r>
              <w:rPr>
                <w:rFonts w:hint="eastAsia" w:ascii="宋体" w:hAnsi="宋体" w:eastAsia="宋体"/>
                <w:bCs w:val="0"/>
                <w:color w:val="auto"/>
                <w:lang w:val="en-US"/>
              </w:rPr>
              <w:t>82.52</w:t>
            </w:r>
          </w:p>
        </w:tc>
        <w:tc>
          <w:tcPr>
            <w:tcW w:w="2200" w:type="dxa"/>
            <w:vAlign w:val="center"/>
          </w:tcPr>
          <w:p>
            <w:pPr>
              <w:pStyle w:val="20"/>
              <w:rPr>
                <w:rFonts w:ascii="宋体" w:hAnsi="宋体" w:eastAsia="宋体"/>
                <w:bCs w:val="0"/>
                <w:color w:val="auto"/>
                <w:lang w:val="en-US"/>
              </w:rPr>
            </w:pPr>
            <w:r>
              <w:rPr>
                <w:rFonts w:hint="eastAsia" w:ascii="宋体" w:hAnsi="宋体" w:eastAsia="宋体"/>
                <w:bCs w:val="0"/>
                <w:color w:val="auto"/>
                <w:lang w:val="en-US"/>
              </w:rPr>
              <w:t>80.15%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37" w:type="dxa"/>
            <w:vAlign w:val="center"/>
          </w:tcPr>
          <w:p>
            <w:pPr>
              <w:pStyle w:val="20"/>
              <w:rPr>
                <w:rFonts w:ascii="宋体" w:hAnsi="宋体" w:eastAsia="宋体"/>
                <w:b/>
                <w:color w:val="auto"/>
                <w:lang w:val="en-US"/>
              </w:rPr>
            </w:pPr>
            <w:r>
              <w:rPr>
                <w:rFonts w:hint="eastAsia" w:ascii="宋体" w:hAnsi="宋体" w:eastAsia="宋体"/>
                <w:b/>
                <w:color w:val="auto"/>
                <w:lang w:val="en-US"/>
              </w:rPr>
              <w:t>1-11月</w:t>
            </w:r>
          </w:p>
        </w:tc>
        <w:tc>
          <w:tcPr>
            <w:tcW w:w="2371" w:type="dxa"/>
            <w:vAlign w:val="center"/>
          </w:tcPr>
          <w:p>
            <w:pPr>
              <w:pStyle w:val="20"/>
              <w:rPr>
                <w:rFonts w:ascii="宋体" w:hAnsi="宋体" w:eastAsia="宋体"/>
                <w:bCs w:val="0"/>
                <w:color w:val="auto"/>
                <w:lang w:val="en-US"/>
              </w:rPr>
            </w:pPr>
            <w:r>
              <w:rPr>
                <w:rFonts w:hint="eastAsia" w:ascii="宋体" w:hAnsi="宋体" w:eastAsia="宋体"/>
                <w:bCs w:val="0"/>
                <w:color w:val="auto"/>
                <w:lang w:val="en-US"/>
              </w:rPr>
              <w:t>102.96</w:t>
            </w:r>
          </w:p>
        </w:tc>
        <w:tc>
          <w:tcPr>
            <w:tcW w:w="2029" w:type="dxa"/>
            <w:vAlign w:val="center"/>
          </w:tcPr>
          <w:p>
            <w:pPr>
              <w:pStyle w:val="20"/>
              <w:rPr>
                <w:rFonts w:ascii="宋体" w:hAnsi="宋体" w:eastAsia="宋体"/>
                <w:bCs w:val="0"/>
                <w:color w:val="auto"/>
                <w:lang w:val="en-US"/>
              </w:rPr>
            </w:pPr>
            <w:r>
              <w:rPr>
                <w:rFonts w:hint="eastAsia" w:ascii="宋体" w:hAnsi="宋体" w:eastAsia="宋体"/>
                <w:bCs w:val="0"/>
                <w:color w:val="auto"/>
                <w:lang w:val="en-US"/>
              </w:rPr>
              <w:t>92.28</w:t>
            </w:r>
          </w:p>
        </w:tc>
        <w:tc>
          <w:tcPr>
            <w:tcW w:w="2200" w:type="dxa"/>
            <w:vAlign w:val="center"/>
          </w:tcPr>
          <w:p>
            <w:pPr>
              <w:pStyle w:val="20"/>
              <w:rPr>
                <w:rFonts w:ascii="宋体" w:hAnsi="宋体" w:eastAsia="宋体"/>
                <w:bCs w:val="0"/>
                <w:color w:val="auto"/>
                <w:lang w:val="en-US"/>
              </w:rPr>
            </w:pPr>
            <w:r>
              <w:rPr>
                <w:rFonts w:hint="eastAsia" w:ascii="宋体" w:hAnsi="宋体" w:eastAsia="宋体"/>
                <w:bCs w:val="0"/>
                <w:color w:val="auto"/>
                <w:lang w:val="en-US"/>
              </w:rPr>
              <w:t>89.61%</w:t>
            </w:r>
          </w:p>
        </w:tc>
      </w:tr>
    </w:tbl>
    <w:p>
      <w:pPr>
        <w:pStyle w:val="19"/>
        <w:ind w:firstLine="643" w:firstLineChars="200"/>
        <w:jc w:val="right"/>
        <w:rPr>
          <w:rFonts w:ascii="仿宋_GB2312" w:hAnsi="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该指标分值标准10分，但是各阶段执行进度未达到目标，根据指标评价标准和公式计算，得6.5分。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3.完成结果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（1）预算完成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县委老干部服务中心2020年12月，人员经费支出完成预算的100%，日常公用经费完成预算的100%，项目支出完成预算的83.21%，原因为部分资金未实现支付。</w:t>
      </w:r>
    </w:p>
    <w:p>
      <w:pPr>
        <w:pStyle w:val="2"/>
        <w:keepNext w:val="0"/>
        <w:keepLines w:val="0"/>
        <w:pageBreakBefore w:val="0"/>
        <w:widowControl w:val="0"/>
        <w:kinsoku/>
        <w:wordWrap/>
        <w:overflowPunct/>
        <w:topLinePunct w:val="0"/>
        <w:autoSpaceDE/>
        <w:autoSpaceDN/>
        <w:bidi w:val="0"/>
        <w:adjustRightInd/>
        <w:snapToGrid/>
        <w:spacing w:beforeLines="0" w:line="540" w:lineRule="exact"/>
        <w:ind w:firstLine="640" w:firstLineChars="200"/>
        <w:textAlignment w:val="auto"/>
        <w:rPr>
          <w:rFonts w:hAnsi="仿宋_GB2312" w:cs="仿宋_GB2312"/>
          <w:color w:val="0000FF"/>
          <w:sz w:val="32"/>
          <w:szCs w:val="32"/>
        </w:rPr>
      </w:pPr>
      <w:r>
        <w:rPr>
          <w:rFonts w:hint="eastAsia" w:hAnsi="仿宋_GB2312" w:cs="仿宋_GB2312"/>
          <w:sz w:val="32"/>
          <w:szCs w:val="32"/>
        </w:rPr>
        <w:t>该指标分值标准10分，根据指标评价标准和公式计算，得分8.0分。</w:t>
      </w:r>
    </w:p>
    <w:p>
      <w:pPr>
        <w:pStyle w:val="2"/>
        <w:keepNext w:val="0"/>
        <w:keepLines w:val="0"/>
        <w:pageBreakBefore w:val="0"/>
        <w:widowControl w:val="0"/>
        <w:kinsoku/>
        <w:wordWrap/>
        <w:overflowPunct/>
        <w:topLinePunct w:val="0"/>
        <w:autoSpaceDE/>
        <w:autoSpaceDN/>
        <w:bidi w:val="0"/>
        <w:adjustRightInd/>
        <w:snapToGrid/>
        <w:spacing w:beforeLines="0" w:line="540" w:lineRule="exact"/>
        <w:ind w:firstLine="640" w:firstLineChars="200"/>
        <w:textAlignment w:val="auto"/>
        <w:rPr>
          <w:rFonts w:hAnsi="仿宋_GB2312" w:cs="仿宋_GB2312"/>
          <w:sz w:val="32"/>
          <w:szCs w:val="32"/>
        </w:rPr>
      </w:pPr>
      <w:r>
        <w:rPr>
          <w:rFonts w:hint="eastAsia" w:hAnsi="仿宋_GB2312" w:cs="仿宋_GB2312"/>
          <w:sz w:val="32"/>
          <w:szCs w:val="32"/>
        </w:rPr>
        <w:t xml:space="preserve">（2）违规记录 </w:t>
      </w:r>
    </w:p>
    <w:p>
      <w:pPr>
        <w:pStyle w:val="2"/>
        <w:keepNext w:val="0"/>
        <w:keepLines w:val="0"/>
        <w:pageBreakBefore w:val="0"/>
        <w:widowControl w:val="0"/>
        <w:kinsoku/>
        <w:wordWrap/>
        <w:overflowPunct/>
        <w:topLinePunct w:val="0"/>
        <w:autoSpaceDE/>
        <w:autoSpaceDN/>
        <w:bidi w:val="0"/>
        <w:adjustRightInd/>
        <w:snapToGrid/>
        <w:spacing w:beforeLines="0" w:line="540" w:lineRule="exact"/>
        <w:ind w:firstLine="640" w:firstLineChars="200"/>
        <w:textAlignment w:val="auto"/>
        <w:rPr>
          <w:rFonts w:hAnsi="仿宋_GB2312" w:cs="仿宋_GB2312"/>
          <w:sz w:val="32"/>
          <w:szCs w:val="32"/>
        </w:rPr>
      </w:pPr>
      <w:r>
        <w:rPr>
          <w:rFonts w:hint="eastAsia" w:hAnsi="仿宋_GB2312" w:cs="仿宋_GB2312"/>
          <w:sz w:val="32"/>
          <w:szCs w:val="32"/>
        </w:rPr>
        <w:t>依据《旺苍县财政局关于开展“三公”经费、违纪违规乱发钱物等专项检查的通知》（旺财办〔2020〕23号）文件要求，旺苍县财政局对县委老干部中心开展检查时发现存在以下问题：差旅费报销方面存在交通费发票用出租车公司发票报销及超范围报销情况等。</w:t>
      </w:r>
    </w:p>
    <w:p>
      <w:pPr>
        <w:pStyle w:val="2"/>
        <w:keepNext w:val="0"/>
        <w:keepLines w:val="0"/>
        <w:pageBreakBefore w:val="0"/>
        <w:widowControl w:val="0"/>
        <w:kinsoku/>
        <w:wordWrap/>
        <w:overflowPunct/>
        <w:topLinePunct w:val="0"/>
        <w:autoSpaceDE/>
        <w:autoSpaceDN/>
        <w:bidi w:val="0"/>
        <w:adjustRightInd/>
        <w:snapToGrid/>
        <w:spacing w:beforeLines="0" w:line="540" w:lineRule="exact"/>
        <w:ind w:firstLine="640" w:firstLineChars="200"/>
        <w:textAlignment w:val="auto"/>
        <w:rPr>
          <w:rFonts w:hAnsi="仿宋_GB2312" w:cs="仿宋_GB2312"/>
          <w:sz w:val="32"/>
          <w:szCs w:val="32"/>
        </w:rPr>
      </w:pPr>
      <w:r>
        <w:rPr>
          <w:rFonts w:hint="eastAsia" w:hAnsi="仿宋_GB2312" w:cs="仿宋_GB2312"/>
          <w:sz w:val="32"/>
          <w:szCs w:val="32"/>
        </w:rPr>
        <w:t>该指标分值标准10分，根据指标评价标准和公式计算，得分 9.0分。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b/>
          <w:sz w:val="32"/>
          <w:szCs w:val="32"/>
        </w:rPr>
        <w:t>（三）绩效结果应用分析</w:t>
      </w:r>
    </w:p>
    <w:p>
      <w:pPr>
        <w:keepNext w:val="0"/>
        <w:keepLines w:val="0"/>
        <w:pageBreakBefore w:val="0"/>
        <w:widowControl w:val="0"/>
        <w:tabs>
          <w:tab w:val="left" w:pos="5696"/>
        </w:tabs>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1.自评质量</w:t>
      </w:r>
    </w:p>
    <w:p>
      <w:pPr>
        <w:pStyle w:val="2"/>
        <w:keepNext w:val="0"/>
        <w:keepLines w:val="0"/>
        <w:pageBreakBefore w:val="0"/>
        <w:widowControl w:val="0"/>
        <w:kinsoku/>
        <w:wordWrap/>
        <w:overflowPunct/>
        <w:topLinePunct w:val="0"/>
        <w:autoSpaceDE/>
        <w:autoSpaceDN/>
        <w:bidi w:val="0"/>
        <w:adjustRightInd/>
        <w:snapToGrid/>
        <w:spacing w:beforeLines="0" w:line="540" w:lineRule="exact"/>
        <w:ind w:firstLine="640" w:firstLineChars="200"/>
        <w:textAlignment w:val="auto"/>
        <w:rPr>
          <w:rFonts w:hAnsi="仿宋_GB2312" w:cs="仿宋_GB2312"/>
          <w:color w:val="C00000"/>
          <w:sz w:val="32"/>
          <w:szCs w:val="32"/>
        </w:rPr>
      </w:pPr>
      <w:r>
        <w:rPr>
          <w:rFonts w:hint="eastAsia" w:hAnsi="仿宋_GB2312" w:cs="仿宋_GB2312"/>
          <w:sz w:val="32"/>
          <w:szCs w:val="32"/>
        </w:rPr>
        <w:t>县委老干部服务中心2020年部门整体支出绩效自评得分90.1分。根据现场评价情况，评价组对县委老干部服务中心的考评得分为74分。</w:t>
      </w:r>
    </w:p>
    <w:p>
      <w:pPr>
        <w:pStyle w:val="2"/>
        <w:keepNext w:val="0"/>
        <w:keepLines w:val="0"/>
        <w:pageBreakBefore w:val="0"/>
        <w:widowControl w:val="0"/>
        <w:kinsoku/>
        <w:wordWrap/>
        <w:overflowPunct/>
        <w:topLinePunct w:val="0"/>
        <w:autoSpaceDE/>
        <w:autoSpaceDN/>
        <w:bidi w:val="0"/>
        <w:adjustRightInd/>
        <w:snapToGrid/>
        <w:spacing w:beforeLines="0" w:line="540" w:lineRule="exact"/>
        <w:ind w:firstLine="640" w:firstLineChars="200"/>
        <w:textAlignment w:val="auto"/>
        <w:rPr>
          <w:rFonts w:hAnsi="仿宋_GB2312" w:cs="仿宋_GB2312"/>
          <w:color w:val="0000FF"/>
          <w:sz w:val="32"/>
          <w:szCs w:val="32"/>
        </w:rPr>
      </w:pPr>
      <w:r>
        <w:rPr>
          <w:rFonts w:hint="eastAsia" w:hAnsi="仿宋_GB2312" w:cs="仿宋_GB2312"/>
          <w:sz w:val="32"/>
          <w:szCs w:val="32"/>
        </w:rPr>
        <w:t>该指标分值标准4分，根据指标评价标准和公式计算，得分3分。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2.信息公开</w:t>
      </w:r>
    </w:p>
    <w:p>
      <w:pPr>
        <w:pStyle w:val="2"/>
        <w:keepNext w:val="0"/>
        <w:keepLines w:val="0"/>
        <w:pageBreakBefore w:val="0"/>
        <w:widowControl w:val="0"/>
        <w:tabs>
          <w:tab w:val="left" w:pos="362"/>
        </w:tabs>
        <w:kinsoku/>
        <w:wordWrap/>
        <w:overflowPunct/>
        <w:topLinePunct w:val="0"/>
        <w:autoSpaceDE/>
        <w:autoSpaceDN/>
        <w:bidi w:val="0"/>
        <w:adjustRightInd/>
        <w:snapToGrid/>
        <w:spacing w:beforeLines="0" w:line="540" w:lineRule="exact"/>
        <w:ind w:firstLine="640" w:firstLineChars="200"/>
        <w:textAlignment w:val="auto"/>
        <w:rPr>
          <w:rFonts w:hAnsi="仿宋_GB2312" w:cs="仿宋_GB2312"/>
          <w:sz w:val="32"/>
          <w:szCs w:val="32"/>
        </w:rPr>
      </w:pPr>
      <w:r>
        <w:rPr>
          <w:rFonts w:hint="eastAsia" w:hAnsi="仿宋_GB2312" w:cs="仿宋_GB2312"/>
          <w:sz w:val="32"/>
          <w:szCs w:val="32"/>
        </w:rPr>
        <w:t>（1）目标公开</w:t>
      </w:r>
    </w:p>
    <w:p>
      <w:pPr>
        <w:pStyle w:val="2"/>
        <w:keepNext w:val="0"/>
        <w:keepLines w:val="0"/>
        <w:pageBreakBefore w:val="0"/>
        <w:widowControl w:val="0"/>
        <w:kinsoku/>
        <w:wordWrap/>
        <w:overflowPunct/>
        <w:topLinePunct w:val="0"/>
        <w:autoSpaceDE/>
        <w:autoSpaceDN/>
        <w:bidi w:val="0"/>
        <w:adjustRightInd/>
        <w:snapToGrid/>
        <w:spacing w:beforeLines="0" w:line="540" w:lineRule="exact"/>
        <w:ind w:firstLine="640" w:firstLineChars="200"/>
        <w:textAlignment w:val="auto"/>
        <w:rPr>
          <w:rFonts w:hAnsi="仿宋_GB2312" w:cs="仿宋_GB2312"/>
          <w:sz w:val="32"/>
          <w:szCs w:val="32"/>
        </w:rPr>
      </w:pPr>
      <w:r>
        <w:rPr>
          <w:rFonts w:hint="eastAsia" w:hAnsi="仿宋_GB2312" w:cs="仿宋_GB2312"/>
          <w:sz w:val="32"/>
          <w:szCs w:val="32"/>
        </w:rPr>
        <w:t>按照财政局要求，县委老干部服务中心绩效目标说明已按要求随部门预算在政府网站向社会公开。</w:t>
      </w:r>
    </w:p>
    <w:p>
      <w:pPr>
        <w:pStyle w:val="2"/>
        <w:keepNext w:val="0"/>
        <w:keepLines w:val="0"/>
        <w:pageBreakBefore w:val="0"/>
        <w:widowControl w:val="0"/>
        <w:kinsoku/>
        <w:wordWrap/>
        <w:overflowPunct/>
        <w:topLinePunct w:val="0"/>
        <w:autoSpaceDE/>
        <w:autoSpaceDN/>
        <w:bidi w:val="0"/>
        <w:adjustRightInd/>
        <w:snapToGrid/>
        <w:spacing w:beforeLines="0" w:line="540" w:lineRule="exact"/>
        <w:ind w:firstLine="640" w:firstLineChars="200"/>
        <w:textAlignment w:val="auto"/>
        <w:rPr>
          <w:rFonts w:hAnsi="仿宋_GB2312" w:cs="仿宋_GB2312"/>
          <w:color w:val="0000FF"/>
          <w:sz w:val="32"/>
          <w:szCs w:val="32"/>
        </w:rPr>
      </w:pPr>
      <w:r>
        <w:rPr>
          <w:rFonts w:hint="eastAsia" w:hAnsi="仿宋_GB2312" w:cs="仿宋_GB2312"/>
          <w:sz w:val="32"/>
          <w:szCs w:val="32"/>
        </w:rPr>
        <w:t>该指标分值标准4分，根据指标评价标准和公式计算，得分4分。</w:t>
      </w:r>
    </w:p>
    <w:p>
      <w:pPr>
        <w:pStyle w:val="2"/>
        <w:keepNext w:val="0"/>
        <w:keepLines w:val="0"/>
        <w:pageBreakBefore w:val="0"/>
        <w:widowControl w:val="0"/>
        <w:kinsoku/>
        <w:wordWrap/>
        <w:overflowPunct/>
        <w:topLinePunct w:val="0"/>
        <w:autoSpaceDE/>
        <w:autoSpaceDN/>
        <w:bidi w:val="0"/>
        <w:adjustRightInd/>
        <w:snapToGrid/>
        <w:spacing w:beforeLines="0" w:line="540" w:lineRule="exact"/>
        <w:ind w:firstLine="640" w:firstLineChars="200"/>
        <w:textAlignment w:val="auto"/>
        <w:rPr>
          <w:rFonts w:hAnsi="仿宋_GB2312" w:cs="仿宋_GB2312"/>
          <w:sz w:val="32"/>
          <w:szCs w:val="32"/>
        </w:rPr>
      </w:pPr>
      <w:r>
        <w:rPr>
          <w:rFonts w:hint="eastAsia" w:hAnsi="仿宋_GB2312" w:cs="仿宋_GB2312"/>
          <w:sz w:val="32"/>
          <w:szCs w:val="32"/>
        </w:rPr>
        <w:t>（2）自评公开。</w:t>
      </w:r>
    </w:p>
    <w:p>
      <w:pPr>
        <w:pStyle w:val="2"/>
        <w:keepNext w:val="0"/>
        <w:keepLines w:val="0"/>
        <w:pageBreakBefore w:val="0"/>
        <w:widowControl w:val="0"/>
        <w:kinsoku/>
        <w:wordWrap/>
        <w:overflowPunct/>
        <w:topLinePunct w:val="0"/>
        <w:autoSpaceDE/>
        <w:autoSpaceDN/>
        <w:bidi w:val="0"/>
        <w:adjustRightInd/>
        <w:snapToGrid/>
        <w:spacing w:beforeLines="0" w:line="540" w:lineRule="exact"/>
        <w:ind w:firstLine="640" w:firstLineChars="200"/>
        <w:textAlignment w:val="auto"/>
        <w:rPr>
          <w:rFonts w:hAnsi="仿宋_GB2312" w:cs="仿宋_GB2312"/>
          <w:sz w:val="32"/>
          <w:szCs w:val="32"/>
        </w:rPr>
      </w:pPr>
      <w:r>
        <w:rPr>
          <w:rFonts w:hint="eastAsia" w:hAnsi="仿宋_GB2312" w:cs="仿宋_GB2312"/>
          <w:sz w:val="32"/>
          <w:szCs w:val="32"/>
        </w:rPr>
        <w:t xml:space="preserve">按照财政局要求，县委老干部服务中心并将部门整体绩效自评情况和自行组织的评价情况随同决算公开。 </w:t>
      </w:r>
    </w:p>
    <w:p>
      <w:pPr>
        <w:pStyle w:val="2"/>
        <w:keepNext w:val="0"/>
        <w:keepLines w:val="0"/>
        <w:pageBreakBefore w:val="0"/>
        <w:widowControl w:val="0"/>
        <w:kinsoku/>
        <w:wordWrap/>
        <w:overflowPunct/>
        <w:topLinePunct w:val="0"/>
        <w:autoSpaceDE/>
        <w:autoSpaceDN/>
        <w:bidi w:val="0"/>
        <w:adjustRightInd/>
        <w:snapToGrid/>
        <w:spacing w:beforeLines="0" w:line="540" w:lineRule="exact"/>
        <w:ind w:firstLine="640" w:firstLineChars="200"/>
        <w:textAlignment w:val="auto"/>
        <w:rPr>
          <w:rFonts w:hAnsi="仿宋_GB2312" w:cs="仿宋_GB2312"/>
          <w:color w:val="0000FF"/>
          <w:sz w:val="32"/>
          <w:szCs w:val="32"/>
        </w:rPr>
      </w:pPr>
      <w:r>
        <w:rPr>
          <w:rFonts w:hint="eastAsia" w:hAnsi="仿宋_GB2312" w:cs="仿宋_GB2312"/>
          <w:sz w:val="32"/>
          <w:szCs w:val="32"/>
        </w:rPr>
        <w:t>该指标分值标准4分，根据指标评价标准和公式计算，得分4分。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3.整改反馈</w:t>
      </w:r>
    </w:p>
    <w:p>
      <w:pPr>
        <w:pStyle w:val="2"/>
        <w:keepNext w:val="0"/>
        <w:keepLines w:val="0"/>
        <w:pageBreakBefore w:val="0"/>
        <w:widowControl w:val="0"/>
        <w:kinsoku/>
        <w:wordWrap/>
        <w:overflowPunct/>
        <w:topLinePunct w:val="0"/>
        <w:autoSpaceDE/>
        <w:autoSpaceDN/>
        <w:bidi w:val="0"/>
        <w:adjustRightInd/>
        <w:snapToGrid/>
        <w:spacing w:beforeLines="0" w:line="540" w:lineRule="exact"/>
        <w:ind w:firstLine="640" w:firstLineChars="200"/>
        <w:textAlignment w:val="auto"/>
        <w:rPr>
          <w:rFonts w:hAnsi="仿宋_GB2312" w:cs="仿宋_GB2312"/>
          <w:sz w:val="32"/>
          <w:szCs w:val="32"/>
        </w:rPr>
      </w:pPr>
      <w:r>
        <w:rPr>
          <w:rFonts w:hint="eastAsia" w:hAnsi="仿宋_GB2312" w:cs="仿宋_GB2312"/>
          <w:sz w:val="32"/>
          <w:szCs w:val="32"/>
        </w:rPr>
        <w:t>县委老干部服务中心按照《旺苍县财政局关于“三公”经费、违纪违规乱发钱物等专项检查发现问题的整改通知》（旺财办〔2020〕46号）要求按时将整改报告报送财政局，并整改到位，不扣分。做到了按时向财政部门报送相应绩效自评报告，不扣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该指标分值标准4分，根据指标评价标准和公式计算，得分4分。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四、存在的主要问题</w:t>
      </w:r>
    </w:p>
    <w:p>
      <w:pPr>
        <w:pStyle w:val="2"/>
        <w:keepNext w:val="0"/>
        <w:keepLines w:val="0"/>
        <w:pageBreakBefore w:val="0"/>
        <w:widowControl w:val="0"/>
        <w:kinsoku/>
        <w:wordWrap/>
        <w:overflowPunct/>
        <w:topLinePunct w:val="0"/>
        <w:autoSpaceDE/>
        <w:autoSpaceDN/>
        <w:bidi w:val="0"/>
        <w:adjustRightInd/>
        <w:snapToGrid/>
        <w:spacing w:beforeLines="0" w:line="540" w:lineRule="exact"/>
        <w:ind w:firstLine="640" w:firstLineChars="200"/>
        <w:textAlignment w:val="auto"/>
        <w:rPr>
          <w:rFonts w:hAnsi="仿宋_GB2312" w:cs="仿宋_GB2312"/>
          <w:sz w:val="32"/>
          <w:szCs w:val="32"/>
        </w:rPr>
      </w:pPr>
      <w:r>
        <w:rPr>
          <w:rFonts w:hint="eastAsia" w:hAnsi="仿宋_GB2312" w:cs="仿宋_GB2312"/>
          <w:sz w:val="32"/>
          <w:szCs w:val="32"/>
        </w:rPr>
        <w:t>在财务管理、财经纪律等方面存在的问题，根据各具体情况表述。在老干部体检健康方面有支付现金的现象；公务卡刷卡力度不高，财物人员配备不全。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五、整改措施及建议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根据提出的问题，严格按照部门预算管理相关要求，进一步加强部门预算编制工作，改进预算执行方式，提高预算资金使用效益。</w:t>
      </w:r>
    </w:p>
    <w:p>
      <w:pPr>
        <w:rPr>
          <w:rFonts w:hint="eastAsia"/>
        </w:rPr>
      </w:pPr>
      <w:r>
        <w:rPr>
          <w:rFonts w:hint="eastAsia"/>
        </w:rPr>
        <w:br w:type="page"/>
      </w:r>
    </w:p>
    <w:p>
      <w:pPr>
        <w:adjustRightInd w:val="0"/>
        <w:snapToGrid w:val="0"/>
        <w:spacing w:line="240" w:lineRule="atLeast"/>
        <w:jc w:val="center"/>
        <w:rPr>
          <w:rFonts w:ascii="方正小标宋简体" w:hAnsi="华文中宋" w:eastAsia="方正小标宋简体"/>
          <w:b/>
          <w:sz w:val="52"/>
          <w:szCs w:val="52"/>
        </w:rPr>
      </w:pPr>
      <w:r>
        <w:rPr>
          <w:rFonts w:hint="eastAsia" w:ascii="方正小标宋简体" w:hAnsi="华文中宋" w:eastAsia="方正小标宋简体"/>
          <w:b/>
          <w:sz w:val="52"/>
          <w:szCs w:val="52"/>
          <w:lang w:eastAsia="zh-CN"/>
        </w:rPr>
        <w:t>旺苍县市场监督管理局</w:t>
      </w:r>
      <w:r>
        <w:rPr>
          <w:rFonts w:hint="eastAsia" w:ascii="方正小标宋简体" w:hAnsi="华文中宋" w:eastAsia="方正小标宋简体"/>
          <w:b/>
          <w:sz w:val="52"/>
          <w:szCs w:val="52"/>
        </w:rPr>
        <w:t>部门整体支出</w:t>
      </w: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绩</w:t>
      </w: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效</w:t>
      </w: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评</w:t>
      </w: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价</w:t>
      </w: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报</w:t>
      </w: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告</w:t>
      </w: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adjustRightInd w:val="0"/>
        <w:snapToGrid w:val="0"/>
        <w:spacing w:line="240" w:lineRule="atLeast"/>
        <w:ind w:left="105" w:leftChars="50" w:firstLine="370" w:firstLineChars="103"/>
        <w:jc w:val="center"/>
        <w:rPr>
          <w:rFonts w:ascii="楷体" w:hAnsi="楷体" w:eastAsia="楷体" w:cs="楷体"/>
          <w:bCs/>
          <w:sz w:val="36"/>
          <w:szCs w:val="36"/>
        </w:rPr>
      </w:pPr>
    </w:p>
    <w:p>
      <w:pPr>
        <w:tabs>
          <w:tab w:val="left" w:pos="3885"/>
        </w:tabs>
        <w:snapToGrid w:val="0"/>
        <w:spacing w:line="600" w:lineRule="atLeast"/>
        <w:ind w:firstLine="964" w:firstLineChars="300"/>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评价部门：旺苍县财政局</w:t>
      </w:r>
    </w:p>
    <w:p>
      <w:pPr>
        <w:tabs>
          <w:tab w:val="left" w:pos="3885"/>
        </w:tabs>
        <w:snapToGrid w:val="0"/>
        <w:spacing w:line="600" w:lineRule="atLeast"/>
        <w:ind w:firstLine="964" w:firstLineChars="300"/>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评价人员：</w:t>
      </w:r>
      <w:r>
        <w:rPr>
          <w:rFonts w:hint="eastAsia" w:ascii="楷体_GB2312" w:hAnsi="楷体_GB2312" w:eastAsia="楷体_GB2312" w:cs="楷体_GB2312"/>
          <w:b/>
          <w:sz w:val="32"/>
          <w:szCs w:val="32"/>
          <w:lang w:eastAsia="zh-CN"/>
        </w:rPr>
        <w:t>沈春林</w:t>
      </w:r>
      <w:r>
        <w:rPr>
          <w:rFonts w:hint="eastAsia" w:ascii="楷体_GB2312" w:hAnsi="楷体_GB2312" w:eastAsia="楷体_GB2312" w:cs="楷体_GB2312"/>
          <w:b/>
          <w:sz w:val="32"/>
          <w:szCs w:val="32"/>
        </w:rPr>
        <w:t xml:space="preserve"> </w:t>
      </w:r>
      <w:r>
        <w:rPr>
          <w:rFonts w:hint="eastAsia" w:ascii="楷体_GB2312" w:hAnsi="楷体_GB2312" w:eastAsia="楷体_GB2312" w:cs="楷体_GB2312"/>
          <w:b/>
          <w:sz w:val="32"/>
          <w:szCs w:val="32"/>
          <w:lang w:eastAsia="zh-CN"/>
        </w:rPr>
        <w:t>王鑫</w:t>
      </w:r>
      <w:r>
        <w:rPr>
          <w:rFonts w:hint="eastAsia" w:ascii="楷体_GB2312" w:hAnsi="楷体_GB2312" w:eastAsia="楷体_GB2312" w:cs="楷体_GB2312"/>
          <w:b/>
          <w:sz w:val="32"/>
          <w:szCs w:val="32"/>
          <w:lang w:val="en-US" w:eastAsia="zh-CN"/>
        </w:rPr>
        <w:t xml:space="preserve"> 陈世林</w:t>
      </w:r>
    </w:p>
    <w:p>
      <w:pPr>
        <w:tabs>
          <w:tab w:val="left" w:pos="3885"/>
        </w:tabs>
        <w:snapToGrid w:val="0"/>
        <w:spacing w:line="600" w:lineRule="atLeast"/>
        <w:ind w:firstLine="964" w:firstLineChars="300"/>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报告时间： 2021年</w:t>
      </w:r>
      <w:r>
        <w:rPr>
          <w:rFonts w:hint="eastAsia" w:ascii="楷体_GB2312" w:hAnsi="楷体_GB2312" w:eastAsia="楷体_GB2312" w:cs="楷体_GB2312"/>
          <w:b/>
          <w:sz w:val="32"/>
          <w:szCs w:val="32"/>
          <w:lang w:val="en-US" w:eastAsia="zh-CN"/>
        </w:rPr>
        <w:t>10</w:t>
      </w:r>
      <w:r>
        <w:rPr>
          <w:rFonts w:hint="eastAsia" w:ascii="楷体_GB2312" w:hAnsi="楷体_GB2312" w:eastAsia="楷体_GB2312" w:cs="楷体_GB2312"/>
          <w:b/>
          <w:sz w:val="32"/>
          <w:szCs w:val="32"/>
        </w:rPr>
        <w:t>月</w:t>
      </w:r>
      <w:r>
        <w:rPr>
          <w:rFonts w:hint="eastAsia" w:ascii="楷体_GB2312" w:hAnsi="楷体_GB2312" w:eastAsia="楷体_GB2312" w:cs="楷体_GB2312"/>
          <w:b/>
          <w:sz w:val="32"/>
          <w:szCs w:val="32"/>
          <w:lang w:val="en-US" w:eastAsia="zh-CN"/>
        </w:rPr>
        <w:t>10</w:t>
      </w:r>
      <w:r>
        <w:rPr>
          <w:rFonts w:hint="eastAsia" w:ascii="楷体_GB2312" w:hAnsi="楷体_GB2312" w:eastAsia="楷体_GB2312" w:cs="楷体_GB2312"/>
          <w:b/>
          <w:sz w:val="32"/>
          <w:szCs w:val="32"/>
        </w:rPr>
        <w:t>日</w:t>
      </w:r>
    </w:p>
    <w:p>
      <w:pPr>
        <w:pStyle w:val="2"/>
        <w:rPr>
          <w:rFonts w:hint="eastAsia" w:ascii="楷体_GB2312" w:hAnsi="楷体_GB2312" w:eastAsia="楷体_GB2312" w:cs="楷体_GB2312"/>
          <w:b/>
          <w:sz w:val="32"/>
          <w:szCs w:val="32"/>
        </w:rPr>
      </w:pP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sectPr>
          <w:headerReference r:id="rId12" w:type="default"/>
          <w:footerReference r:id="rId13" w:type="default"/>
          <w:footerReference r:id="rId14" w:type="even"/>
          <w:pgSz w:w="11906" w:h="16838"/>
          <w:pgMar w:top="2098" w:right="1474" w:bottom="1985" w:left="1588" w:header="851" w:footer="1559" w:gutter="0"/>
          <w:pgNumType w:fmt="numberInDash" w:start="1"/>
          <w:cols w:space="720" w:num="1"/>
          <w:docGrid w:type="lines" w:linePitch="312" w:charSpace="0"/>
        </w:sectPr>
      </w:pP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一、部门概况</w:t>
      </w:r>
    </w:p>
    <w:p>
      <w:pPr>
        <w:pStyle w:val="5"/>
        <w:pageBreakBefore w:val="0"/>
        <w:numPr>
          <w:ilvl w:val="1"/>
          <w:numId w:val="0"/>
        </w:numPr>
        <w:tabs>
          <w:tab w:val="left" w:pos="445"/>
        </w:tabs>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（一）机构组成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市场监督管理局含</w:t>
      </w:r>
      <w:r>
        <w:rPr>
          <w:rFonts w:hint="eastAsia" w:ascii="仿宋_GB2312" w:hAnsi="仿宋_GB2312" w:eastAsia="仿宋_GB2312" w:cs="仿宋_GB2312"/>
          <w:sz w:val="32"/>
          <w:szCs w:val="32"/>
        </w:rPr>
        <w:t>行政单位1个，参照公务员法管理的事业单位1个，其他事业单位</w:t>
      </w:r>
      <w:r>
        <w:rPr>
          <w:rFonts w:hint="eastAsia" w:ascii="仿宋_GB2312" w:hAnsi="仿宋_GB2312" w:eastAsia="仿宋_GB2312" w:cs="仿宋_GB2312"/>
          <w:sz w:val="32"/>
          <w:szCs w:val="32"/>
          <w:lang w:eastAsia="zh-CN"/>
        </w:rPr>
        <w:t>4个，包括：旺苍县市场监督管理局机关、旺苍县市场监督管理综合行政执法大队、旺苍县产品质量监督检验所、旺苍县计量检定测试所、四川省广元市旺苍县保护消费者权益委员会秘书组、旺苍县食品药品监测检验中心</w:t>
      </w:r>
      <w:r>
        <w:rPr>
          <w:rFonts w:hint="eastAsia" w:ascii="仿宋_GB2312" w:hAnsi="仿宋_GB2312" w:eastAsia="仿宋_GB2312" w:cs="仿宋_GB2312"/>
          <w:sz w:val="32"/>
          <w:szCs w:val="32"/>
        </w:rPr>
        <w:t>。</w:t>
      </w:r>
    </w:p>
    <w:p>
      <w:pPr>
        <w:pStyle w:val="5"/>
        <w:pageBreakBefore w:val="0"/>
        <w:numPr>
          <w:ilvl w:val="1"/>
          <w:numId w:val="0"/>
        </w:numPr>
        <w:tabs>
          <w:tab w:val="left" w:pos="445"/>
        </w:tabs>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（二）基本职能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旺苍县市场监督管理局主要负责全县市场综合监督管理工作、市场主体统一登记注册，组织和指导全县市场监管综合执法工作。负责全县反垄断统一执法，监督管理全县市场秩序。负责全县宏观质量管理，负责全县产品质量安全、特种设备安全、食品安全监督管理。负责统一管理全县计量、标准化、检验检测、认证认可工作。贯彻执行国家有关药品、医疗器械和化妆品监督管理的方针政策和法律法规。依职责监督和指导实施药品、医疗器械经营、使用质量管理规范，监督实施标准和技术规范。负责组织实施药品、医疗器械和化妆品监督检查与处罚。负责全县知识产权战略和规划的制定、知识产权保护，负责组织指导商标、专利执法等工作。</w:t>
      </w:r>
    </w:p>
    <w:p>
      <w:pPr>
        <w:pStyle w:val="5"/>
        <w:pageBreakBefore w:val="0"/>
        <w:numPr>
          <w:ilvl w:val="1"/>
          <w:numId w:val="0"/>
        </w:numPr>
        <w:tabs>
          <w:tab w:val="left" w:pos="445"/>
        </w:tabs>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（三）人员概况</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eastAsia="zh-CN"/>
        </w:rPr>
        <w:t>旺苍县市场监督管理局</w:t>
      </w:r>
      <w:r>
        <w:rPr>
          <w:rFonts w:hint="eastAsia" w:ascii="仿宋_GB2312" w:hAnsi="仿宋_GB2312" w:eastAsia="仿宋_GB2312" w:cs="仿宋_GB2312"/>
          <w:sz w:val="32"/>
          <w:szCs w:val="32"/>
        </w:rPr>
        <w:t>总编制</w:t>
      </w: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名，其中行政编制7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名，参照公务员法管理的事业编制25名，其他事业编制45名，工勤编制12名。在职人员总数</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人，其中行政人员</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人，参照公务员法管理的事业人员</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人，其他事业人员</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人，工勤人员6人；退休人员8</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二、部门财政资金收支情况</w:t>
      </w:r>
    </w:p>
    <w:p>
      <w:pPr>
        <w:pStyle w:val="5"/>
        <w:pageBreakBefore w:val="0"/>
        <w:numPr>
          <w:ilvl w:val="1"/>
          <w:numId w:val="0"/>
        </w:numPr>
        <w:tabs>
          <w:tab w:val="left" w:pos="445"/>
        </w:tabs>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（一）部门决策情况</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以市场监管为主线，统筹推进各项工作，强化食品药品监管力度，深化商事制度改革，切实维护市场秩序，强化消费维权工作，深化质量强县建设，大力推进质量创新发展，深入开展质量提升行动，加大执法查处力度，为全县经济稳定增势、产业结构调整、社会经济加快发展做出积极努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强化安全监管，安全防线全面筑牢。强化食品安全、药械化安全、特种设备安全和产品质量安全监管，确保全县民生工程的稳定及民众消费安全。持续深化改革，营商环境不断优化。</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持续深化商事制度改革，全面推动“多证合一”“全程电子化”工作；强化事中事后监管，全力推动“双随机、一公开”监管工作；强化消费维权，进一步完善投诉举报工作机制，切实维护消费者合法权益。全面履职尽责，市场秩序日趋向好。常态化开展疫情防控，加强非洲猪瘟防控，强化监管执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优化服务意识，经济发展显著提高。强化品牌建设，加强知识产权保护，做好民生实事，服务企业发展。</w:t>
      </w:r>
    </w:p>
    <w:p>
      <w:pPr>
        <w:pStyle w:val="5"/>
        <w:pageBreakBefore w:val="0"/>
        <w:numPr>
          <w:ilvl w:val="1"/>
          <w:numId w:val="0"/>
        </w:numPr>
        <w:tabs>
          <w:tab w:val="left" w:pos="445"/>
        </w:tabs>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（二）</w:t>
      </w:r>
      <w:r>
        <w:rPr>
          <w:rFonts w:hint="eastAsia" w:ascii="楷体_GB2312" w:hAnsi="楷体_GB2312" w:eastAsia="楷体_GB2312" w:cs="楷体_GB2312"/>
        </w:rPr>
        <w:t>部门财政资金收入情况</w:t>
      </w:r>
    </w:p>
    <w:p>
      <w:pPr>
        <w:pStyle w:val="22"/>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rPr>
        <w:t>02</w:t>
      </w:r>
      <w:r>
        <w:rPr>
          <w:rFonts w:hint="eastAsia" w:ascii="仿宋_GB2312" w:hAnsi="仿宋_GB2312" w:eastAsia="仿宋_GB2312" w:cs="仿宋_GB2312"/>
          <w:lang w:val="en-US" w:eastAsia="zh-CN"/>
        </w:rPr>
        <w:t>0</w:t>
      </w:r>
      <w:r>
        <w:rPr>
          <w:rFonts w:hint="eastAsia" w:ascii="仿宋_GB2312" w:hAnsi="仿宋_GB2312" w:eastAsia="仿宋_GB2312" w:cs="仿宋_GB2312"/>
          <w:lang w:val="en-US"/>
        </w:rPr>
        <w:t>年</w:t>
      </w:r>
      <w:r>
        <w:rPr>
          <w:rFonts w:hint="eastAsia" w:ascii="仿宋_GB2312" w:hAnsi="仿宋_GB2312" w:eastAsia="仿宋_GB2312" w:cs="仿宋_GB2312"/>
          <w:lang w:val="en-US" w:eastAsia="zh-CN"/>
        </w:rPr>
        <w:t>旺苍县市场监督管理局</w:t>
      </w:r>
      <w:r>
        <w:rPr>
          <w:rFonts w:hint="eastAsia" w:ascii="仿宋_GB2312" w:hAnsi="仿宋_GB2312" w:eastAsia="仿宋_GB2312" w:cs="仿宋_GB2312"/>
        </w:rPr>
        <w:t>收入合计</w:t>
      </w:r>
      <w:r>
        <w:rPr>
          <w:rFonts w:hint="eastAsia" w:ascii="仿宋_GB2312" w:hAnsi="仿宋_GB2312" w:eastAsia="仿宋_GB2312" w:cs="仿宋_GB2312"/>
          <w:lang w:val="en-US" w:eastAsia="zh-CN"/>
        </w:rPr>
        <w:t>2618.5</w:t>
      </w:r>
      <w:r>
        <w:rPr>
          <w:rFonts w:hint="eastAsia" w:ascii="仿宋_GB2312" w:hAnsi="仿宋_GB2312" w:eastAsia="仿宋_GB2312" w:cs="仿宋_GB2312"/>
        </w:rPr>
        <w:t>万元，</w:t>
      </w:r>
      <w:r>
        <w:rPr>
          <w:rFonts w:hint="eastAsia" w:ascii="仿宋_GB2312" w:hAnsi="仿宋_GB2312" w:eastAsia="仿宋_GB2312" w:cs="仿宋_GB2312"/>
          <w:lang w:eastAsia="zh-CN"/>
        </w:rPr>
        <w:t>上年结转</w:t>
      </w:r>
      <w:r>
        <w:rPr>
          <w:rFonts w:hint="eastAsia" w:ascii="仿宋_GB2312" w:hAnsi="仿宋_GB2312" w:eastAsia="仿宋_GB2312" w:cs="仿宋_GB2312"/>
          <w:lang w:val="en-US" w:eastAsia="zh-CN"/>
        </w:rPr>
        <w:t>313.89万元，当年预算2304.61万元。2020年</w:t>
      </w:r>
      <w:r>
        <w:rPr>
          <w:rFonts w:hint="eastAsia" w:ascii="仿宋_GB2312" w:hAnsi="仿宋_GB2312" w:eastAsia="仿宋_GB2312" w:cs="仿宋_GB2312"/>
        </w:rPr>
        <w:t>一般公共预算财政拨款收入</w:t>
      </w:r>
      <w:r>
        <w:rPr>
          <w:rFonts w:hint="eastAsia" w:ascii="仿宋_GB2312" w:hAnsi="仿宋_GB2312" w:eastAsia="仿宋_GB2312" w:cs="仿宋_GB2312"/>
          <w:lang w:val="en-US" w:eastAsia="zh-CN"/>
        </w:rPr>
        <w:t>2299.6</w:t>
      </w:r>
      <w:r>
        <w:rPr>
          <w:rFonts w:hint="eastAsia" w:ascii="仿宋_GB2312" w:hAnsi="仿宋_GB2312" w:eastAsia="仿宋_GB2312" w:cs="仿宋_GB2312"/>
        </w:rPr>
        <w:t>万元，占</w:t>
      </w:r>
      <w:r>
        <w:rPr>
          <w:rFonts w:hint="eastAsia" w:ascii="仿宋_GB2312" w:hAnsi="仿宋_GB2312" w:eastAsia="仿宋_GB2312" w:cs="仿宋_GB2312"/>
          <w:lang w:eastAsia="zh-CN"/>
        </w:rPr>
        <w:t>本年收入的</w:t>
      </w:r>
      <w:r>
        <w:rPr>
          <w:rFonts w:hint="eastAsia" w:ascii="仿宋_GB2312" w:hAnsi="仿宋_GB2312" w:eastAsia="仿宋_GB2312" w:cs="仿宋_GB2312"/>
          <w:lang w:val="en-US" w:eastAsia="zh-CN"/>
        </w:rPr>
        <w:t>99.78</w:t>
      </w:r>
      <w:r>
        <w:rPr>
          <w:rFonts w:hint="eastAsia" w:ascii="仿宋_GB2312" w:hAnsi="仿宋_GB2312" w:eastAsia="仿宋_GB2312" w:cs="仿宋_GB2312"/>
        </w:rPr>
        <w:t>%，政府性基金预算财政拨款收入</w:t>
      </w:r>
      <w:r>
        <w:rPr>
          <w:rFonts w:hint="eastAsia" w:ascii="仿宋_GB2312" w:hAnsi="仿宋_GB2312" w:eastAsia="仿宋_GB2312" w:cs="仿宋_GB2312"/>
          <w:lang w:val="en-US" w:eastAsia="zh-CN"/>
        </w:rPr>
        <w:t>5</w:t>
      </w:r>
      <w:r>
        <w:rPr>
          <w:rFonts w:hint="eastAsia" w:ascii="仿宋_GB2312" w:hAnsi="仿宋_GB2312" w:eastAsia="仿宋_GB2312" w:cs="仿宋_GB2312"/>
        </w:rPr>
        <w:t>万元，占0.</w:t>
      </w:r>
      <w:r>
        <w:rPr>
          <w:rFonts w:hint="eastAsia" w:ascii="仿宋_GB2312" w:hAnsi="仿宋_GB2312" w:eastAsia="仿宋_GB2312" w:cs="仿宋_GB2312"/>
          <w:lang w:val="en-US" w:eastAsia="zh-CN"/>
        </w:rPr>
        <w:t>22</w:t>
      </w:r>
      <w:r>
        <w:rPr>
          <w:rFonts w:hint="eastAsia" w:ascii="仿宋_GB2312" w:hAnsi="仿宋_GB2312" w:eastAsia="仿宋_GB2312" w:cs="仿宋_GB2312"/>
        </w:rPr>
        <w:t>%；国有资本经营预算财政拨款收入0万元，占0%；事业收入0万元，占0%；经营收入0万元，占0%；附属单位上缴收入0万元，占0%；其他收入0万元，占0%。具体情况见表</w:t>
      </w:r>
      <w:r>
        <w:rPr>
          <w:rFonts w:hint="eastAsia" w:ascii="仿宋_GB2312" w:hAnsi="仿宋_GB2312" w:eastAsia="仿宋_GB2312" w:cs="仿宋_GB2312"/>
          <w:lang w:val="en-US"/>
        </w:rPr>
        <w:t>1</w:t>
      </w:r>
      <w:r>
        <w:rPr>
          <w:rFonts w:hint="eastAsia" w:ascii="仿宋_GB2312" w:hAnsi="仿宋_GB2312" w:eastAsia="仿宋_GB2312" w:cs="仿宋_GB2312"/>
        </w:rPr>
        <w:t>-1：</w:t>
      </w:r>
    </w:p>
    <w:p>
      <w:pPr>
        <w:pStyle w:val="22"/>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p>
    <w:p>
      <w:pPr>
        <w:pStyle w:val="19"/>
        <w:spacing w:after="0"/>
        <w:ind w:firstLine="482" w:firstLineChars="200"/>
      </w:pPr>
      <w:r>
        <w:rPr>
          <w:rFonts w:hint="eastAsia"/>
        </w:rPr>
        <w:t>表1</w:t>
      </w:r>
      <w:r>
        <w:t>-</w:t>
      </w:r>
      <w:r>
        <w:rPr>
          <w:rFonts w:hint="eastAsia"/>
        </w:rPr>
        <w:t>1 2020</w:t>
      </w:r>
      <w:r>
        <w:t>年</w:t>
      </w:r>
      <w:r>
        <w:rPr>
          <w:rFonts w:hint="eastAsia"/>
          <w:lang w:eastAsia="zh-CN"/>
        </w:rPr>
        <w:t>县市场监督管理局</w:t>
      </w:r>
      <w:r>
        <w:t>收入预决算情况表</w:t>
      </w:r>
    </w:p>
    <w:p>
      <w:pPr>
        <w:pStyle w:val="19"/>
        <w:spacing w:after="0"/>
        <w:ind w:firstLine="482" w:firstLineChars="200"/>
        <w:jc w:val="right"/>
      </w:pPr>
      <w:r>
        <w:rPr>
          <w:rFonts w:hint="eastAsia"/>
        </w:rPr>
        <w:t>单位</w:t>
      </w:r>
      <w:r>
        <w:t>：万元</w:t>
      </w:r>
    </w:p>
    <w:tbl>
      <w:tblPr>
        <w:tblStyle w:val="23"/>
        <w:tblW w:w="9138"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7"/>
        <w:gridCol w:w="1787"/>
        <w:gridCol w:w="1835"/>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3657" w:type="dxa"/>
            <w:vAlign w:val="center"/>
          </w:tcPr>
          <w:p>
            <w:pPr>
              <w:pStyle w:val="20"/>
              <w:ind w:firstLine="440" w:firstLineChars="200"/>
              <w:jc w:val="center"/>
              <w:rPr>
                <w:rFonts w:hint="eastAsia" w:ascii="宋体" w:hAnsi="宋体" w:eastAsia="宋体" w:cs="宋体"/>
                <w:color w:val="auto"/>
                <w:sz w:val="22"/>
                <w:szCs w:val="22"/>
              </w:rPr>
            </w:pPr>
          </w:p>
        </w:tc>
        <w:tc>
          <w:tcPr>
            <w:tcW w:w="1787" w:type="dxa"/>
            <w:vAlign w:val="center"/>
          </w:tcPr>
          <w:p>
            <w:pPr>
              <w:pStyle w:val="20"/>
              <w:jc w:val="center"/>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收入预算数</w:t>
            </w:r>
          </w:p>
        </w:tc>
        <w:tc>
          <w:tcPr>
            <w:tcW w:w="1835" w:type="dxa"/>
            <w:vAlign w:val="center"/>
          </w:tcPr>
          <w:p>
            <w:pPr>
              <w:pStyle w:val="20"/>
              <w:jc w:val="center"/>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收入调整数</w:t>
            </w:r>
          </w:p>
        </w:tc>
        <w:tc>
          <w:tcPr>
            <w:tcW w:w="1859" w:type="dxa"/>
            <w:vAlign w:val="center"/>
          </w:tcPr>
          <w:p>
            <w:pPr>
              <w:pStyle w:val="20"/>
              <w:jc w:val="center"/>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收入决算数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657" w:type="dxa"/>
            <w:vAlign w:val="center"/>
          </w:tcPr>
          <w:p>
            <w:pPr>
              <w:pStyle w:val="20"/>
              <w:jc w:val="center"/>
              <w:rPr>
                <w:rFonts w:hint="eastAsia" w:ascii="宋体" w:hAnsi="宋体" w:eastAsia="宋体" w:cs="宋体"/>
                <w:color w:val="auto"/>
                <w:sz w:val="22"/>
                <w:szCs w:val="22"/>
              </w:rPr>
            </w:pPr>
            <w:r>
              <w:rPr>
                <w:rFonts w:hint="eastAsia" w:ascii="宋体" w:hAnsi="宋体" w:eastAsia="宋体" w:cs="宋体"/>
                <w:color w:val="auto"/>
                <w:sz w:val="22"/>
                <w:szCs w:val="22"/>
              </w:rPr>
              <w:t>一般公共预算财政拨款收入</w:t>
            </w:r>
          </w:p>
        </w:tc>
        <w:tc>
          <w:tcPr>
            <w:tcW w:w="1787" w:type="dxa"/>
            <w:vAlign w:val="center"/>
          </w:tcPr>
          <w:p>
            <w:pPr>
              <w:pStyle w:val="20"/>
              <w:ind w:firstLine="440" w:firstLineChars="20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1918.48</w:t>
            </w:r>
          </w:p>
        </w:tc>
        <w:tc>
          <w:tcPr>
            <w:tcW w:w="1835" w:type="dxa"/>
            <w:vAlign w:val="center"/>
          </w:tcPr>
          <w:p>
            <w:pPr>
              <w:pStyle w:val="20"/>
              <w:ind w:firstLine="440" w:firstLineChars="20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381.12</w:t>
            </w:r>
          </w:p>
        </w:tc>
        <w:tc>
          <w:tcPr>
            <w:tcW w:w="1859" w:type="dxa"/>
            <w:vAlign w:val="center"/>
          </w:tcPr>
          <w:p>
            <w:pPr>
              <w:pStyle w:val="20"/>
              <w:ind w:firstLine="440" w:firstLineChars="20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2299.6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57" w:type="dxa"/>
            <w:vAlign w:val="center"/>
          </w:tcPr>
          <w:p>
            <w:pPr>
              <w:pStyle w:val="20"/>
              <w:jc w:val="center"/>
              <w:rPr>
                <w:rFonts w:hint="eastAsia" w:ascii="宋体" w:hAnsi="宋体" w:eastAsia="宋体" w:cs="宋体"/>
                <w:color w:val="auto"/>
                <w:sz w:val="22"/>
                <w:szCs w:val="22"/>
              </w:rPr>
            </w:pPr>
            <w:r>
              <w:rPr>
                <w:rFonts w:hint="eastAsia" w:ascii="宋体" w:hAnsi="宋体" w:eastAsia="宋体" w:cs="宋体"/>
                <w:color w:val="auto"/>
                <w:sz w:val="22"/>
                <w:szCs w:val="22"/>
              </w:rPr>
              <w:t>政府性基金预算财政拨款收入</w:t>
            </w:r>
          </w:p>
        </w:tc>
        <w:tc>
          <w:tcPr>
            <w:tcW w:w="1787" w:type="dxa"/>
            <w:vAlign w:val="center"/>
          </w:tcPr>
          <w:p>
            <w:pPr>
              <w:pStyle w:val="20"/>
              <w:ind w:firstLine="440" w:firstLineChars="200"/>
              <w:jc w:val="center"/>
              <w:rPr>
                <w:rFonts w:hint="eastAsia" w:ascii="宋体" w:hAnsi="宋体" w:eastAsia="宋体" w:cs="宋体"/>
                <w:color w:val="auto"/>
                <w:sz w:val="22"/>
                <w:szCs w:val="22"/>
                <w:lang w:val="en-US"/>
              </w:rPr>
            </w:pPr>
          </w:p>
        </w:tc>
        <w:tc>
          <w:tcPr>
            <w:tcW w:w="1835" w:type="dxa"/>
            <w:vAlign w:val="center"/>
          </w:tcPr>
          <w:p>
            <w:pPr>
              <w:pStyle w:val="20"/>
              <w:ind w:firstLine="440" w:firstLineChars="20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w:t>
            </w:r>
          </w:p>
        </w:tc>
        <w:tc>
          <w:tcPr>
            <w:tcW w:w="1859" w:type="dxa"/>
            <w:vAlign w:val="center"/>
          </w:tcPr>
          <w:p>
            <w:pPr>
              <w:pStyle w:val="20"/>
              <w:ind w:firstLine="440" w:firstLineChars="20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657" w:type="dxa"/>
            <w:vAlign w:val="center"/>
          </w:tcPr>
          <w:p>
            <w:pPr>
              <w:pStyle w:val="20"/>
              <w:jc w:val="center"/>
              <w:rPr>
                <w:rFonts w:hint="eastAsia" w:ascii="宋体" w:hAnsi="宋体" w:eastAsia="宋体" w:cs="宋体"/>
                <w:color w:val="auto"/>
                <w:sz w:val="22"/>
                <w:szCs w:val="22"/>
              </w:rPr>
            </w:pPr>
            <w:r>
              <w:rPr>
                <w:rFonts w:hint="eastAsia" w:ascii="宋体" w:hAnsi="宋体" w:eastAsia="宋体" w:cs="宋体"/>
                <w:color w:val="auto"/>
                <w:sz w:val="22"/>
                <w:szCs w:val="22"/>
              </w:rPr>
              <w:t>经营收入</w:t>
            </w:r>
          </w:p>
        </w:tc>
        <w:tc>
          <w:tcPr>
            <w:tcW w:w="1787" w:type="dxa"/>
            <w:vAlign w:val="center"/>
          </w:tcPr>
          <w:p>
            <w:pPr>
              <w:pStyle w:val="20"/>
              <w:ind w:firstLine="440" w:firstLineChars="200"/>
              <w:jc w:val="center"/>
              <w:rPr>
                <w:rFonts w:hint="eastAsia" w:ascii="宋体" w:hAnsi="宋体" w:eastAsia="宋体" w:cs="宋体"/>
                <w:color w:val="auto"/>
                <w:sz w:val="22"/>
                <w:szCs w:val="22"/>
              </w:rPr>
            </w:pPr>
          </w:p>
        </w:tc>
        <w:tc>
          <w:tcPr>
            <w:tcW w:w="1835" w:type="dxa"/>
            <w:vAlign w:val="center"/>
          </w:tcPr>
          <w:p>
            <w:pPr>
              <w:pStyle w:val="20"/>
              <w:ind w:firstLine="440" w:firstLineChars="200"/>
              <w:jc w:val="center"/>
              <w:rPr>
                <w:rFonts w:hint="eastAsia" w:ascii="宋体" w:hAnsi="宋体" w:eastAsia="宋体" w:cs="宋体"/>
                <w:color w:val="auto"/>
                <w:sz w:val="22"/>
                <w:szCs w:val="22"/>
              </w:rPr>
            </w:pPr>
          </w:p>
        </w:tc>
        <w:tc>
          <w:tcPr>
            <w:tcW w:w="1859" w:type="dxa"/>
            <w:vAlign w:val="center"/>
          </w:tcPr>
          <w:p>
            <w:pPr>
              <w:pStyle w:val="20"/>
              <w:ind w:firstLine="440" w:firstLineChars="200"/>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657" w:type="dxa"/>
            <w:vAlign w:val="center"/>
          </w:tcPr>
          <w:p>
            <w:pPr>
              <w:pStyle w:val="20"/>
              <w:jc w:val="center"/>
              <w:rPr>
                <w:rFonts w:hint="eastAsia" w:ascii="宋体" w:hAnsi="宋体" w:eastAsia="宋体" w:cs="宋体"/>
                <w:color w:val="auto"/>
                <w:sz w:val="22"/>
                <w:szCs w:val="22"/>
              </w:rPr>
            </w:pPr>
            <w:r>
              <w:rPr>
                <w:rFonts w:hint="eastAsia" w:ascii="宋体" w:hAnsi="宋体" w:eastAsia="宋体" w:cs="宋体"/>
                <w:color w:val="auto"/>
                <w:sz w:val="22"/>
                <w:szCs w:val="22"/>
              </w:rPr>
              <w:t>其他收入</w:t>
            </w:r>
          </w:p>
        </w:tc>
        <w:tc>
          <w:tcPr>
            <w:tcW w:w="1787" w:type="dxa"/>
            <w:vAlign w:val="center"/>
          </w:tcPr>
          <w:p>
            <w:pPr>
              <w:pStyle w:val="20"/>
              <w:ind w:firstLine="440" w:firstLineChars="200"/>
              <w:jc w:val="center"/>
              <w:rPr>
                <w:rFonts w:hint="eastAsia" w:ascii="宋体" w:hAnsi="宋体" w:eastAsia="宋体" w:cs="宋体"/>
                <w:color w:val="auto"/>
                <w:sz w:val="22"/>
                <w:szCs w:val="22"/>
              </w:rPr>
            </w:pPr>
          </w:p>
        </w:tc>
        <w:tc>
          <w:tcPr>
            <w:tcW w:w="1835" w:type="dxa"/>
            <w:vAlign w:val="center"/>
          </w:tcPr>
          <w:p>
            <w:pPr>
              <w:pStyle w:val="20"/>
              <w:ind w:firstLine="440" w:firstLineChars="200"/>
              <w:jc w:val="center"/>
              <w:rPr>
                <w:rFonts w:hint="eastAsia" w:ascii="宋体" w:hAnsi="宋体" w:eastAsia="宋体" w:cs="宋体"/>
                <w:color w:val="auto"/>
                <w:sz w:val="22"/>
                <w:szCs w:val="22"/>
              </w:rPr>
            </w:pPr>
          </w:p>
        </w:tc>
        <w:tc>
          <w:tcPr>
            <w:tcW w:w="1859" w:type="dxa"/>
            <w:vAlign w:val="center"/>
          </w:tcPr>
          <w:p>
            <w:pPr>
              <w:pStyle w:val="20"/>
              <w:ind w:firstLine="440" w:firstLineChars="200"/>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657" w:type="dxa"/>
            <w:vAlign w:val="center"/>
          </w:tcPr>
          <w:p>
            <w:pPr>
              <w:pStyle w:val="20"/>
              <w:jc w:val="center"/>
              <w:rPr>
                <w:rFonts w:hint="eastAsia" w:ascii="宋体" w:hAnsi="宋体" w:eastAsia="宋体" w:cs="宋体"/>
                <w:color w:val="auto"/>
                <w:sz w:val="22"/>
                <w:szCs w:val="22"/>
              </w:rPr>
            </w:pPr>
            <w:r>
              <w:rPr>
                <w:rFonts w:hint="eastAsia" w:ascii="宋体" w:hAnsi="宋体" w:eastAsia="宋体" w:cs="宋体"/>
                <w:color w:val="auto"/>
                <w:sz w:val="22"/>
                <w:szCs w:val="22"/>
              </w:rPr>
              <w:t>年初结转结余</w:t>
            </w:r>
          </w:p>
        </w:tc>
        <w:tc>
          <w:tcPr>
            <w:tcW w:w="1787" w:type="dxa"/>
            <w:vAlign w:val="center"/>
          </w:tcPr>
          <w:p>
            <w:pPr>
              <w:pStyle w:val="20"/>
              <w:ind w:firstLine="440" w:firstLineChars="200"/>
              <w:jc w:val="center"/>
              <w:rPr>
                <w:rFonts w:hint="eastAsia" w:ascii="宋体" w:hAnsi="宋体" w:eastAsia="宋体" w:cs="宋体"/>
                <w:color w:val="auto"/>
                <w:sz w:val="22"/>
                <w:szCs w:val="22"/>
                <w:lang w:val="en-US"/>
              </w:rPr>
            </w:pPr>
          </w:p>
        </w:tc>
        <w:tc>
          <w:tcPr>
            <w:tcW w:w="1835" w:type="dxa"/>
            <w:vAlign w:val="center"/>
          </w:tcPr>
          <w:p>
            <w:pPr>
              <w:pStyle w:val="20"/>
              <w:ind w:firstLine="440" w:firstLineChars="200"/>
              <w:jc w:val="center"/>
              <w:rPr>
                <w:rFonts w:hint="eastAsia" w:ascii="宋体" w:hAnsi="宋体" w:eastAsia="宋体" w:cs="宋体"/>
                <w:color w:val="auto"/>
                <w:sz w:val="22"/>
                <w:szCs w:val="22"/>
                <w:lang w:val="en-US"/>
              </w:rPr>
            </w:pPr>
          </w:p>
        </w:tc>
        <w:tc>
          <w:tcPr>
            <w:tcW w:w="1859" w:type="dxa"/>
            <w:vAlign w:val="center"/>
          </w:tcPr>
          <w:p>
            <w:pPr>
              <w:pStyle w:val="20"/>
              <w:ind w:firstLine="440" w:firstLineChars="20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313.89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657" w:type="dxa"/>
            <w:vAlign w:val="center"/>
          </w:tcPr>
          <w:p>
            <w:pPr>
              <w:pStyle w:val="20"/>
              <w:jc w:val="center"/>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合计</w:t>
            </w:r>
          </w:p>
        </w:tc>
        <w:tc>
          <w:tcPr>
            <w:tcW w:w="1787" w:type="dxa"/>
            <w:vAlign w:val="center"/>
          </w:tcPr>
          <w:p>
            <w:pPr>
              <w:pStyle w:val="20"/>
              <w:ind w:firstLine="442" w:firstLineChars="200"/>
              <w:jc w:val="center"/>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1918.48</w:t>
            </w:r>
          </w:p>
        </w:tc>
        <w:tc>
          <w:tcPr>
            <w:tcW w:w="1835" w:type="dxa"/>
            <w:vAlign w:val="center"/>
          </w:tcPr>
          <w:p>
            <w:pPr>
              <w:pStyle w:val="20"/>
              <w:ind w:firstLine="442" w:firstLineChars="200"/>
              <w:jc w:val="center"/>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386.12</w:t>
            </w:r>
          </w:p>
        </w:tc>
        <w:tc>
          <w:tcPr>
            <w:tcW w:w="1859" w:type="dxa"/>
            <w:vAlign w:val="center"/>
          </w:tcPr>
          <w:p>
            <w:pPr>
              <w:pStyle w:val="20"/>
              <w:ind w:firstLine="442" w:firstLineChars="200"/>
              <w:jc w:val="center"/>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2618.5</w:t>
            </w:r>
          </w:p>
        </w:tc>
      </w:tr>
    </w:tbl>
    <w:p>
      <w:pPr>
        <w:tabs>
          <w:tab w:val="left" w:pos="1265"/>
        </w:tabs>
        <w:spacing w:line="560" w:lineRule="exact"/>
        <w:rPr>
          <w:rFonts w:ascii="楷体_GB2312" w:eastAsia="楷体_GB2312"/>
          <w:b/>
          <w:sz w:val="32"/>
          <w:szCs w:val="32"/>
        </w:rPr>
      </w:pPr>
    </w:p>
    <w:p>
      <w:pPr>
        <w:tabs>
          <w:tab w:val="left" w:pos="1265"/>
        </w:tabs>
        <w:spacing w:line="560" w:lineRule="exact"/>
        <w:ind w:firstLine="643" w:firstLineChars="200"/>
        <w:rPr>
          <w:rFonts w:ascii="楷体_GB2312" w:eastAsia="楷体_GB2312"/>
          <w:b/>
          <w:sz w:val="32"/>
          <w:szCs w:val="32"/>
        </w:rPr>
      </w:pPr>
      <w:r>
        <w:rPr>
          <w:rFonts w:hint="eastAsia" w:ascii="楷体_GB2312" w:eastAsia="楷体_GB2312"/>
          <w:b/>
          <w:sz w:val="32"/>
          <w:szCs w:val="32"/>
        </w:rPr>
        <w:t>（三）部门财政资金支出情况</w:t>
      </w:r>
    </w:p>
    <w:p>
      <w:pPr>
        <w:pStyle w:val="22"/>
        <w:rPr>
          <w:rFonts w:hint="eastAsia" w:ascii="仿宋_GB2312" w:hAnsi="仿宋_GB2312" w:eastAsia="仿宋_GB2312" w:cs="仿宋_GB2312"/>
          <w:lang w:val="en-US"/>
        </w:rPr>
      </w:pPr>
      <w:r>
        <w:rPr>
          <w:rFonts w:hint="eastAsia" w:ascii="仿宋_GB2312" w:hAnsi="仿宋_GB2312" w:eastAsia="仿宋_GB2312" w:cs="仿宋_GB2312"/>
          <w:lang w:val="en-US"/>
        </w:rPr>
        <w:t>2</w:t>
      </w:r>
      <w:r>
        <w:rPr>
          <w:rFonts w:hint="eastAsia" w:ascii="仿宋_GB2312" w:hAnsi="仿宋_GB2312" w:eastAsia="仿宋_GB2312" w:cs="仿宋_GB2312"/>
        </w:rPr>
        <w:t>020年</w:t>
      </w:r>
      <w:r>
        <w:rPr>
          <w:rFonts w:hint="eastAsia" w:ascii="仿宋_GB2312" w:hAnsi="仿宋_GB2312" w:eastAsia="仿宋_GB2312" w:cs="仿宋_GB2312"/>
          <w:lang w:eastAsia="zh-CN"/>
        </w:rPr>
        <w:t>旺苍县市场监管局</w:t>
      </w:r>
      <w:r>
        <w:rPr>
          <w:rFonts w:hint="eastAsia" w:ascii="仿宋_GB2312" w:hAnsi="仿宋_GB2312" w:eastAsia="仿宋_GB2312" w:cs="仿宋_GB2312"/>
        </w:rPr>
        <w:t>支出合计</w:t>
      </w:r>
      <w:r>
        <w:rPr>
          <w:rFonts w:hint="eastAsia" w:ascii="仿宋_GB2312" w:hAnsi="仿宋_GB2312" w:eastAsia="仿宋_GB2312" w:cs="仿宋_GB2312"/>
          <w:lang w:val="en-US" w:eastAsia="zh-CN"/>
        </w:rPr>
        <w:t>2512.57</w:t>
      </w:r>
      <w:r>
        <w:rPr>
          <w:rFonts w:hint="eastAsia" w:ascii="仿宋_GB2312" w:hAnsi="仿宋_GB2312" w:eastAsia="仿宋_GB2312" w:cs="仿宋_GB2312"/>
        </w:rPr>
        <w:t>万元，其中：基本支出</w:t>
      </w:r>
      <w:r>
        <w:rPr>
          <w:rFonts w:hint="eastAsia" w:ascii="仿宋_GB2312" w:hAnsi="仿宋_GB2312" w:eastAsia="仿宋_GB2312" w:cs="仿宋_GB2312"/>
          <w:lang w:val="en-US" w:eastAsia="zh-CN"/>
        </w:rPr>
        <w:t>2193.72</w:t>
      </w:r>
      <w:r>
        <w:rPr>
          <w:rFonts w:hint="eastAsia" w:ascii="仿宋_GB2312" w:hAnsi="仿宋_GB2312" w:eastAsia="仿宋_GB2312" w:cs="仿宋_GB2312"/>
        </w:rPr>
        <w:t>万元，占</w:t>
      </w:r>
      <w:r>
        <w:rPr>
          <w:rFonts w:hint="eastAsia" w:ascii="仿宋_GB2312" w:hAnsi="仿宋_GB2312" w:eastAsia="仿宋_GB2312" w:cs="仿宋_GB2312"/>
          <w:lang w:val="en-US" w:eastAsia="zh-CN"/>
        </w:rPr>
        <w:t>87.14</w:t>
      </w:r>
      <w:r>
        <w:rPr>
          <w:rFonts w:hint="eastAsia" w:ascii="仿宋_GB2312" w:hAnsi="仿宋_GB2312" w:eastAsia="仿宋_GB2312" w:cs="仿宋_GB2312"/>
        </w:rPr>
        <w:t>%；项目支出</w:t>
      </w:r>
      <w:r>
        <w:rPr>
          <w:rFonts w:hint="eastAsia" w:ascii="仿宋_GB2312" w:hAnsi="仿宋_GB2312" w:eastAsia="仿宋_GB2312" w:cs="仿宋_GB2312"/>
          <w:lang w:val="en-US" w:eastAsia="zh-CN"/>
        </w:rPr>
        <w:t>323.85</w:t>
      </w:r>
      <w:r>
        <w:rPr>
          <w:rFonts w:hint="eastAsia" w:ascii="仿宋_GB2312" w:hAnsi="仿宋_GB2312" w:eastAsia="仿宋_GB2312" w:cs="仿宋_GB2312"/>
        </w:rPr>
        <w:t>万元，占</w:t>
      </w:r>
      <w:r>
        <w:rPr>
          <w:rFonts w:hint="eastAsia" w:ascii="仿宋_GB2312" w:hAnsi="仿宋_GB2312" w:eastAsia="仿宋_GB2312" w:cs="仿宋_GB2312"/>
          <w:lang w:val="en-US" w:eastAsia="zh-CN"/>
        </w:rPr>
        <w:t>12.86</w:t>
      </w:r>
      <w:r>
        <w:rPr>
          <w:rFonts w:hint="eastAsia" w:ascii="仿宋_GB2312" w:hAnsi="仿宋_GB2312" w:eastAsia="仿宋_GB2312" w:cs="仿宋_GB2312"/>
        </w:rPr>
        <w:t>%；上缴上级支出0万元，占0%；经营支出0万元，占0%；对附属单位补助支出0万元，占0%；年末结转结余</w:t>
      </w:r>
      <w:r>
        <w:rPr>
          <w:rFonts w:hint="eastAsia" w:ascii="仿宋_GB2312" w:hAnsi="仿宋_GB2312" w:eastAsia="仿宋_GB2312" w:cs="仿宋_GB2312"/>
          <w:lang w:val="en-US" w:eastAsia="zh-CN"/>
        </w:rPr>
        <w:t>100.92</w:t>
      </w:r>
      <w:r>
        <w:rPr>
          <w:rFonts w:hint="eastAsia" w:ascii="仿宋_GB2312" w:hAnsi="仿宋_GB2312" w:eastAsia="仿宋_GB2312" w:cs="仿宋_GB2312"/>
        </w:rPr>
        <w:t>万元。年初支出预算数为</w:t>
      </w:r>
      <w:r>
        <w:rPr>
          <w:rFonts w:hint="eastAsia" w:ascii="仿宋_GB2312" w:hAnsi="仿宋_GB2312" w:eastAsia="仿宋_GB2312" w:cs="仿宋_GB2312"/>
          <w:lang w:val="en-US"/>
        </w:rPr>
        <w:t>521.4</w:t>
      </w:r>
      <w:r>
        <w:rPr>
          <w:rFonts w:hint="eastAsia" w:ascii="仿宋_GB2312" w:hAnsi="仿宋_GB2312" w:eastAsia="仿宋_GB2312" w:cs="仿宋_GB2312"/>
        </w:rPr>
        <w:t>万元，支出调整预算数为</w:t>
      </w:r>
      <w:r>
        <w:rPr>
          <w:rFonts w:hint="eastAsia" w:ascii="仿宋_GB2312" w:hAnsi="仿宋_GB2312" w:eastAsia="仿宋_GB2312" w:cs="仿宋_GB2312"/>
          <w:lang w:val="en-US"/>
        </w:rPr>
        <w:t>649.33</w:t>
      </w:r>
      <w:r>
        <w:rPr>
          <w:rFonts w:hint="eastAsia" w:ascii="仿宋_GB2312" w:hAnsi="仿宋_GB2312" w:eastAsia="仿宋_GB2312" w:cs="仿宋_GB2312"/>
        </w:rPr>
        <w:t>万元，支出决算数为</w:t>
      </w:r>
      <w:r>
        <w:rPr>
          <w:rFonts w:hint="eastAsia" w:ascii="仿宋_GB2312" w:hAnsi="仿宋_GB2312" w:eastAsia="仿宋_GB2312" w:cs="仿宋_GB2312"/>
          <w:lang w:val="en-US"/>
        </w:rPr>
        <w:t>649.33</w:t>
      </w:r>
      <w:r>
        <w:rPr>
          <w:rFonts w:hint="eastAsia" w:ascii="仿宋_GB2312" w:hAnsi="仿宋_GB2312" w:eastAsia="仿宋_GB2312" w:cs="仿宋_GB2312"/>
        </w:rPr>
        <w:t>万元。具体情况见表</w:t>
      </w:r>
      <w:r>
        <w:rPr>
          <w:rFonts w:hint="eastAsia" w:ascii="仿宋_GB2312" w:hAnsi="仿宋_GB2312" w:eastAsia="仿宋_GB2312" w:cs="仿宋_GB2312"/>
          <w:lang w:val="en-US"/>
        </w:rPr>
        <w:t>1</w:t>
      </w:r>
      <w:r>
        <w:rPr>
          <w:rFonts w:hint="eastAsia" w:ascii="仿宋_GB2312" w:hAnsi="仿宋_GB2312" w:eastAsia="仿宋_GB2312" w:cs="仿宋_GB2312"/>
        </w:rPr>
        <w:t>-2</w:t>
      </w:r>
      <w:r>
        <w:rPr>
          <w:rFonts w:hint="eastAsia" w:ascii="仿宋_GB2312" w:hAnsi="仿宋_GB2312" w:eastAsia="仿宋_GB2312" w:cs="仿宋_GB2312"/>
          <w:lang w:val="en-US"/>
        </w:rPr>
        <w:t>：</w:t>
      </w:r>
    </w:p>
    <w:p>
      <w:pPr>
        <w:pStyle w:val="19"/>
        <w:spacing w:after="0"/>
        <w:ind w:firstLine="562" w:firstLineChars="200"/>
        <w:rPr>
          <w:sz w:val="28"/>
          <w:szCs w:val="28"/>
        </w:rPr>
      </w:pPr>
      <w:r>
        <w:rPr>
          <w:rFonts w:hint="eastAsia"/>
          <w:sz w:val="28"/>
          <w:szCs w:val="28"/>
        </w:rPr>
        <w:t>表1</w:t>
      </w:r>
      <w:r>
        <w:rPr>
          <w:sz w:val="28"/>
          <w:szCs w:val="28"/>
        </w:rPr>
        <w:t>-</w:t>
      </w:r>
      <w:r>
        <w:rPr>
          <w:rFonts w:hint="eastAsia"/>
          <w:sz w:val="28"/>
          <w:szCs w:val="28"/>
        </w:rPr>
        <w:t>2  2020</w:t>
      </w:r>
      <w:r>
        <w:rPr>
          <w:sz w:val="28"/>
          <w:szCs w:val="28"/>
        </w:rPr>
        <w:t>年</w:t>
      </w:r>
      <w:r>
        <w:rPr>
          <w:rFonts w:hint="eastAsia"/>
          <w:sz w:val="28"/>
          <w:szCs w:val="28"/>
          <w:lang w:eastAsia="zh-CN"/>
        </w:rPr>
        <w:t>市场监督管理局</w:t>
      </w:r>
      <w:r>
        <w:rPr>
          <w:rFonts w:hint="eastAsia"/>
          <w:sz w:val="28"/>
          <w:szCs w:val="28"/>
        </w:rPr>
        <w:t>支出</w:t>
      </w:r>
      <w:r>
        <w:rPr>
          <w:sz w:val="28"/>
          <w:szCs w:val="28"/>
        </w:rPr>
        <w:t>预决算情况表</w:t>
      </w:r>
    </w:p>
    <w:p>
      <w:pPr>
        <w:pStyle w:val="19"/>
        <w:spacing w:after="0"/>
        <w:ind w:firstLine="482" w:firstLineChars="200"/>
        <w:jc w:val="right"/>
      </w:pPr>
      <w:r>
        <w:rPr>
          <w:rFonts w:hint="eastAsia"/>
        </w:rPr>
        <w:t>单位</w:t>
      </w:r>
      <w:r>
        <w:t>：万元</w:t>
      </w:r>
    </w:p>
    <w:tbl>
      <w:tblPr>
        <w:tblStyle w:val="12"/>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2288"/>
        <w:gridCol w:w="2291"/>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2289" w:type="dxa"/>
            <w:vAlign w:val="center"/>
          </w:tcPr>
          <w:p>
            <w:pPr>
              <w:pStyle w:val="20"/>
              <w:ind w:firstLine="440" w:firstLineChars="200"/>
              <w:jc w:val="center"/>
              <w:rPr>
                <w:rFonts w:hint="eastAsia" w:ascii="宋体" w:hAnsi="宋体" w:eastAsia="宋体" w:cs="宋体"/>
                <w:color w:val="auto"/>
              </w:rPr>
            </w:pPr>
          </w:p>
        </w:tc>
        <w:tc>
          <w:tcPr>
            <w:tcW w:w="2288" w:type="dxa"/>
            <w:vAlign w:val="center"/>
          </w:tcPr>
          <w:p>
            <w:pPr>
              <w:pStyle w:val="20"/>
              <w:ind w:firstLine="442" w:firstLineChars="200"/>
              <w:jc w:val="center"/>
              <w:rPr>
                <w:rFonts w:hint="eastAsia" w:ascii="宋体" w:hAnsi="宋体" w:eastAsia="宋体" w:cs="宋体"/>
                <w:b/>
                <w:color w:val="auto"/>
              </w:rPr>
            </w:pPr>
            <w:r>
              <w:rPr>
                <w:rFonts w:hint="eastAsia" w:ascii="宋体" w:hAnsi="宋体" w:eastAsia="宋体" w:cs="宋体"/>
                <w:b/>
                <w:color w:val="auto"/>
              </w:rPr>
              <w:t>支出预算数</w:t>
            </w:r>
          </w:p>
        </w:tc>
        <w:tc>
          <w:tcPr>
            <w:tcW w:w="2291" w:type="dxa"/>
            <w:vAlign w:val="center"/>
          </w:tcPr>
          <w:p>
            <w:pPr>
              <w:pStyle w:val="20"/>
              <w:ind w:firstLine="442" w:firstLineChars="200"/>
              <w:jc w:val="center"/>
              <w:rPr>
                <w:rFonts w:hint="eastAsia" w:ascii="宋体" w:hAnsi="宋体" w:eastAsia="宋体" w:cs="宋体"/>
                <w:b/>
                <w:color w:val="auto"/>
              </w:rPr>
            </w:pPr>
            <w:r>
              <w:rPr>
                <w:rFonts w:hint="eastAsia" w:ascii="宋体" w:hAnsi="宋体" w:eastAsia="宋体" w:cs="宋体"/>
                <w:b/>
                <w:color w:val="auto"/>
              </w:rPr>
              <w:t>支出调整数</w:t>
            </w:r>
          </w:p>
        </w:tc>
        <w:tc>
          <w:tcPr>
            <w:tcW w:w="2291" w:type="dxa"/>
            <w:vAlign w:val="center"/>
          </w:tcPr>
          <w:p>
            <w:pPr>
              <w:pStyle w:val="20"/>
              <w:ind w:firstLine="442" w:firstLineChars="200"/>
              <w:jc w:val="center"/>
              <w:rPr>
                <w:rFonts w:hint="eastAsia" w:ascii="宋体" w:hAnsi="宋体" w:eastAsia="宋体" w:cs="宋体"/>
                <w:b/>
                <w:color w:val="auto"/>
              </w:rPr>
            </w:pPr>
            <w:r>
              <w:rPr>
                <w:rFonts w:hint="eastAsia" w:ascii="宋体" w:hAnsi="宋体" w:eastAsia="宋体" w:cs="宋体"/>
                <w:b/>
                <w:color w:val="auto"/>
              </w:rPr>
              <w:t>支出决算数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289" w:type="dxa"/>
            <w:vAlign w:val="center"/>
          </w:tcPr>
          <w:p>
            <w:pPr>
              <w:pStyle w:val="20"/>
              <w:ind w:firstLine="440" w:firstLineChars="200"/>
              <w:jc w:val="center"/>
              <w:rPr>
                <w:rFonts w:hint="eastAsia" w:ascii="宋体" w:hAnsi="宋体" w:eastAsia="宋体" w:cs="宋体"/>
                <w:color w:val="auto"/>
              </w:rPr>
            </w:pPr>
            <w:r>
              <w:rPr>
                <w:rFonts w:hint="eastAsia" w:ascii="宋体" w:hAnsi="宋体" w:eastAsia="宋体" w:cs="宋体"/>
                <w:color w:val="auto"/>
              </w:rPr>
              <w:t>基本支出</w:t>
            </w:r>
          </w:p>
        </w:tc>
        <w:tc>
          <w:tcPr>
            <w:tcW w:w="2288" w:type="dxa"/>
            <w:vAlign w:val="center"/>
          </w:tcPr>
          <w:p>
            <w:pPr>
              <w:pStyle w:val="20"/>
              <w:ind w:firstLine="440" w:firstLineChars="20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1863.98</w:t>
            </w:r>
          </w:p>
        </w:tc>
        <w:tc>
          <w:tcPr>
            <w:tcW w:w="2291" w:type="dxa"/>
            <w:vAlign w:val="center"/>
          </w:tcPr>
          <w:p>
            <w:pPr>
              <w:pStyle w:val="20"/>
              <w:ind w:firstLine="440" w:firstLineChars="20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329.74</w:t>
            </w:r>
          </w:p>
        </w:tc>
        <w:tc>
          <w:tcPr>
            <w:tcW w:w="2291" w:type="dxa"/>
            <w:vAlign w:val="center"/>
          </w:tcPr>
          <w:p>
            <w:pPr>
              <w:pStyle w:val="20"/>
              <w:ind w:firstLine="440" w:firstLineChars="20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2193.72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289" w:type="dxa"/>
            <w:vAlign w:val="center"/>
          </w:tcPr>
          <w:p>
            <w:pPr>
              <w:pStyle w:val="20"/>
              <w:ind w:firstLine="440" w:firstLineChars="200"/>
              <w:jc w:val="center"/>
              <w:rPr>
                <w:rFonts w:hint="eastAsia" w:ascii="宋体" w:hAnsi="宋体" w:eastAsia="宋体" w:cs="宋体"/>
                <w:color w:val="auto"/>
              </w:rPr>
            </w:pPr>
            <w:r>
              <w:rPr>
                <w:rFonts w:hint="eastAsia" w:ascii="宋体" w:hAnsi="宋体" w:eastAsia="宋体" w:cs="宋体"/>
                <w:color w:val="auto"/>
              </w:rPr>
              <w:t>项目支出</w:t>
            </w:r>
          </w:p>
        </w:tc>
        <w:tc>
          <w:tcPr>
            <w:tcW w:w="2288" w:type="dxa"/>
            <w:vAlign w:val="center"/>
          </w:tcPr>
          <w:p>
            <w:pPr>
              <w:pStyle w:val="20"/>
              <w:ind w:firstLine="440" w:firstLineChars="20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54.5</w:t>
            </w:r>
          </w:p>
        </w:tc>
        <w:tc>
          <w:tcPr>
            <w:tcW w:w="2291" w:type="dxa"/>
            <w:vAlign w:val="center"/>
          </w:tcPr>
          <w:p>
            <w:pPr>
              <w:pStyle w:val="20"/>
              <w:ind w:firstLine="440" w:firstLineChars="20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269.35</w:t>
            </w:r>
          </w:p>
        </w:tc>
        <w:tc>
          <w:tcPr>
            <w:tcW w:w="2291" w:type="dxa"/>
            <w:vAlign w:val="center"/>
          </w:tcPr>
          <w:p>
            <w:pPr>
              <w:pStyle w:val="20"/>
              <w:ind w:firstLine="440" w:firstLineChars="20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323.85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289" w:type="dxa"/>
            <w:vAlign w:val="center"/>
          </w:tcPr>
          <w:p>
            <w:pPr>
              <w:pStyle w:val="20"/>
              <w:ind w:firstLine="440" w:firstLineChars="200"/>
              <w:jc w:val="center"/>
              <w:rPr>
                <w:rFonts w:hint="eastAsia" w:ascii="宋体" w:hAnsi="宋体" w:eastAsia="宋体" w:cs="宋体"/>
                <w:color w:val="auto"/>
              </w:rPr>
            </w:pPr>
            <w:r>
              <w:rPr>
                <w:rFonts w:hint="eastAsia" w:ascii="宋体" w:hAnsi="宋体" w:eastAsia="宋体" w:cs="宋体"/>
                <w:color w:val="auto"/>
              </w:rPr>
              <w:t>经营支出</w:t>
            </w:r>
          </w:p>
        </w:tc>
        <w:tc>
          <w:tcPr>
            <w:tcW w:w="2288" w:type="dxa"/>
            <w:vAlign w:val="center"/>
          </w:tcPr>
          <w:p>
            <w:pPr>
              <w:pStyle w:val="20"/>
              <w:ind w:firstLine="440" w:firstLineChars="200"/>
              <w:jc w:val="center"/>
              <w:rPr>
                <w:rFonts w:hint="eastAsia" w:ascii="宋体" w:hAnsi="宋体" w:eastAsia="宋体" w:cs="宋体"/>
                <w:color w:val="auto"/>
              </w:rPr>
            </w:pPr>
          </w:p>
        </w:tc>
        <w:tc>
          <w:tcPr>
            <w:tcW w:w="2291" w:type="dxa"/>
            <w:vAlign w:val="center"/>
          </w:tcPr>
          <w:p>
            <w:pPr>
              <w:pStyle w:val="20"/>
              <w:ind w:firstLine="440" w:firstLineChars="200"/>
              <w:jc w:val="center"/>
              <w:rPr>
                <w:rFonts w:hint="eastAsia" w:ascii="宋体" w:hAnsi="宋体" w:eastAsia="宋体" w:cs="宋体"/>
                <w:color w:val="auto"/>
              </w:rPr>
            </w:pPr>
          </w:p>
        </w:tc>
        <w:tc>
          <w:tcPr>
            <w:tcW w:w="2291" w:type="dxa"/>
            <w:vAlign w:val="center"/>
          </w:tcPr>
          <w:p>
            <w:pPr>
              <w:pStyle w:val="20"/>
              <w:ind w:firstLine="440" w:firstLineChars="20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289" w:type="dxa"/>
            <w:vAlign w:val="center"/>
          </w:tcPr>
          <w:p>
            <w:pPr>
              <w:pStyle w:val="20"/>
              <w:ind w:firstLine="440" w:firstLineChars="200"/>
              <w:jc w:val="center"/>
              <w:rPr>
                <w:rFonts w:hint="eastAsia" w:ascii="宋体" w:hAnsi="宋体" w:eastAsia="宋体" w:cs="宋体"/>
                <w:color w:val="auto"/>
              </w:rPr>
            </w:pPr>
            <w:r>
              <w:rPr>
                <w:rFonts w:hint="eastAsia" w:ascii="宋体" w:hAnsi="宋体" w:eastAsia="宋体" w:cs="宋体"/>
                <w:color w:val="auto"/>
              </w:rPr>
              <w:t>结余分配</w:t>
            </w:r>
          </w:p>
        </w:tc>
        <w:tc>
          <w:tcPr>
            <w:tcW w:w="2288" w:type="dxa"/>
            <w:vAlign w:val="center"/>
          </w:tcPr>
          <w:p>
            <w:pPr>
              <w:pStyle w:val="20"/>
              <w:ind w:firstLine="440" w:firstLineChars="200"/>
              <w:jc w:val="center"/>
              <w:rPr>
                <w:rFonts w:hint="eastAsia" w:ascii="宋体" w:hAnsi="宋体" w:eastAsia="宋体" w:cs="宋体"/>
                <w:color w:val="auto"/>
              </w:rPr>
            </w:pPr>
          </w:p>
        </w:tc>
        <w:tc>
          <w:tcPr>
            <w:tcW w:w="2291" w:type="dxa"/>
            <w:vAlign w:val="center"/>
          </w:tcPr>
          <w:p>
            <w:pPr>
              <w:pStyle w:val="20"/>
              <w:ind w:firstLine="440" w:firstLineChars="200"/>
              <w:jc w:val="center"/>
              <w:rPr>
                <w:rFonts w:hint="eastAsia" w:ascii="宋体" w:hAnsi="宋体" w:eastAsia="宋体" w:cs="宋体"/>
                <w:color w:val="auto"/>
              </w:rPr>
            </w:pPr>
          </w:p>
        </w:tc>
        <w:tc>
          <w:tcPr>
            <w:tcW w:w="2291" w:type="dxa"/>
            <w:vAlign w:val="center"/>
          </w:tcPr>
          <w:p>
            <w:pPr>
              <w:pStyle w:val="20"/>
              <w:ind w:firstLine="440" w:firstLineChars="20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289" w:type="dxa"/>
            <w:vAlign w:val="center"/>
          </w:tcPr>
          <w:p>
            <w:pPr>
              <w:pStyle w:val="20"/>
              <w:ind w:firstLine="440" w:firstLineChars="200"/>
              <w:jc w:val="center"/>
              <w:rPr>
                <w:rFonts w:hint="eastAsia" w:ascii="宋体" w:hAnsi="宋体" w:eastAsia="宋体" w:cs="宋体"/>
                <w:color w:val="auto"/>
              </w:rPr>
            </w:pPr>
            <w:r>
              <w:rPr>
                <w:rFonts w:hint="eastAsia" w:ascii="宋体" w:hAnsi="宋体" w:eastAsia="宋体" w:cs="宋体"/>
                <w:color w:val="auto"/>
              </w:rPr>
              <w:t>年末结转结余</w:t>
            </w:r>
          </w:p>
        </w:tc>
        <w:tc>
          <w:tcPr>
            <w:tcW w:w="2288" w:type="dxa"/>
            <w:vAlign w:val="center"/>
          </w:tcPr>
          <w:p>
            <w:pPr>
              <w:pStyle w:val="20"/>
              <w:ind w:firstLine="440" w:firstLineChars="200"/>
              <w:jc w:val="center"/>
              <w:rPr>
                <w:rFonts w:hint="eastAsia" w:ascii="宋体" w:hAnsi="宋体" w:eastAsia="宋体" w:cs="宋体"/>
                <w:color w:val="auto"/>
                <w:lang w:val="en-US"/>
              </w:rPr>
            </w:pPr>
          </w:p>
        </w:tc>
        <w:tc>
          <w:tcPr>
            <w:tcW w:w="2291" w:type="dxa"/>
            <w:vAlign w:val="center"/>
          </w:tcPr>
          <w:p>
            <w:pPr>
              <w:pStyle w:val="20"/>
              <w:ind w:firstLine="440" w:firstLineChars="200"/>
              <w:jc w:val="center"/>
              <w:rPr>
                <w:rFonts w:hint="eastAsia" w:ascii="宋体" w:hAnsi="宋体" w:eastAsia="宋体" w:cs="宋体"/>
                <w:color w:val="auto"/>
                <w:lang w:val="en-US"/>
              </w:rPr>
            </w:pPr>
          </w:p>
        </w:tc>
        <w:tc>
          <w:tcPr>
            <w:tcW w:w="2291" w:type="dxa"/>
            <w:vAlign w:val="center"/>
          </w:tcPr>
          <w:p>
            <w:pPr>
              <w:pStyle w:val="20"/>
              <w:ind w:firstLine="440" w:firstLineChars="20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9" w:type="dxa"/>
            <w:vAlign w:val="center"/>
          </w:tcPr>
          <w:p>
            <w:pPr>
              <w:pStyle w:val="20"/>
              <w:ind w:firstLine="442" w:firstLineChars="200"/>
              <w:jc w:val="center"/>
              <w:rPr>
                <w:rFonts w:hint="eastAsia" w:ascii="宋体" w:hAnsi="宋体" w:eastAsia="宋体" w:cs="宋体"/>
                <w:b/>
                <w:color w:val="auto"/>
              </w:rPr>
            </w:pPr>
            <w:r>
              <w:rPr>
                <w:rFonts w:hint="eastAsia" w:ascii="宋体" w:hAnsi="宋体" w:eastAsia="宋体" w:cs="宋体"/>
                <w:b/>
                <w:color w:val="auto"/>
              </w:rPr>
              <w:t>合计</w:t>
            </w:r>
          </w:p>
        </w:tc>
        <w:tc>
          <w:tcPr>
            <w:tcW w:w="2288" w:type="dxa"/>
            <w:vAlign w:val="center"/>
          </w:tcPr>
          <w:p>
            <w:pPr>
              <w:pStyle w:val="20"/>
              <w:ind w:firstLine="442" w:firstLineChars="200"/>
              <w:jc w:val="center"/>
              <w:rPr>
                <w:rFonts w:hint="eastAsia" w:ascii="宋体" w:hAnsi="宋体" w:eastAsia="宋体" w:cs="宋体"/>
                <w:b/>
                <w:color w:val="auto"/>
                <w:lang w:val="en-US" w:eastAsia="zh-CN"/>
              </w:rPr>
            </w:pPr>
            <w:r>
              <w:rPr>
                <w:rFonts w:hint="eastAsia" w:ascii="宋体" w:hAnsi="宋体" w:eastAsia="宋体" w:cs="宋体"/>
                <w:b/>
                <w:color w:val="auto"/>
                <w:lang w:val="en-US" w:eastAsia="zh-CN"/>
              </w:rPr>
              <w:t>1918.48</w:t>
            </w:r>
          </w:p>
        </w:tc>
        <w:tc>
          <w:tcPr>
            <w:tcW w:w="2291" w:type="dxa"/>
            <w:vAlign w:val="center"/>
          </w:tcPr>
          <w:p>
            <w:pPr>
              <w:pStyle w:val="20"/>
              <w:ind w:firstLine="442" w:firstLineChars="200"/>
              <w:jc w:val="center"/>
              <w:rPr>
                <w:rFonts w:hint="eastAsia" w:ascii="宋体" w:hAnsi="宋体" w:eastAsia="宋体" w:cs="宋体"/>
                <w:b/>
                <w:color w:val="auto"/>
                <w:lang w:val="en-US" w:eastAsia="zh-CN"/>
              </w:rPr>
            </w:pPr>
            <w:r>
              <w:rPr>
                <w:rFonts w:hint="eastAsia" w:ascii="宋体" w:hAnsi="宋体" w:eastAsia="宋体" w:cs="宋体"/>
                <w:b/>
                <w:color w:val="auto"/>
                <w:lang w:val="en-US" w:eastAsia="zh-CN"/>
              </w:rPr>
              <w:t>599.09</w:t>
            </w:r>
          </w:p>
        </w:tc>
        <w:tc>
          <w:tcPr>
            <w:tcW w:w="2291" w:type="dxa"/>
            <w:vAlign w:val="center"/>
          </w:tcPr>
          <w:p>
            <w:pPr>
              <w:pStyle w:val="20"/>
              <w:ind w:firstLine="442" w:firstLineChars="200"/>
              <w:jc w:val="center"/>
              <w:rPr>
                <w:rFonts w:hint="eastAsia" w:ascii="宋体" w:hAnsi="宋体" w:eastAsia="宋体" w:cs="宋体"/>
                <w:b/>
                <w:color w:val="auto"/>
                <w:lang w:val="en-US" w:eastAsia="zh-CN"/>
              </w:rPr>
            </w:pPr>
            <w:r>
              <w:rPr>
                <w:rFonts w:hint="eastAsia" w:ascii="宋体" w:hAnsi="宋体" w:eastAsia="宋体" w:cs="宋体"/>
                <w:b/>
                <w:color w:val="auto"/>
                <w:lang w:val="en-US" w:eastAsia="zh-CN"/>
              </w:rPr>
              <w:t>2618.49</w:t>
            </w:r>
          </w:p>
        </w:tc>
      </w:tr>
    </w:tbl>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三、评价结论和绩效分析</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（一）评价结论</w:t>
      </w:r>
    </w:p>
    <w:p>
      <w:pPr>
        <w:pStyle w:val="22"/>
        <w:rPr>
          <w:rFonts w:hint="eastAsia" w:ascii="仿宋_GB2312" w:hAnsi="仿宋_GB2312" w:eastAsia="仿宋_GB2312" w:cs="仿宋_GB2312"/>
        </w:rPr>
      </w:pPr>
      <w:r>
        <w:rPr>
          <w:rFonts w:hint="eastAsia" w:ascii="仿宋_GB2312" w:hAnsi="仿宋_GB2312" w:eastAsia="仿宋_GB2312" w:cs="仿宋_GB2312"/>
          <w:lang w:val="en-US" w:eastAsia="zh-CN"/>
        </w:rPr>
        <w:t>旺苍县市场监督管理局</w:t>
      </w:r>
      <w:r>
        <w:rPr>
          <w:rFonts w:hint="eastAsia" w:ascii="仿宋_GB2312" w:hAnsi="仿宋_GB2312" w:eastAsia="仿宋_GB2312" w:cs="仿宋_GB2312"/>
        </w:rPr>
        <w:t>预算测算过程较为完整，在</w:t>
      </w:r>
      <w:r>
        <w:rPr>
          <w:rFonts w:hint="eastAsia" w:ascii="仿宋_GB2312" w:hAnsi="仿宋_GB2312" w:eastAsia="仿宋_GB2312" w:cs="仿宋_GB2312"/>
          <w:lang w:val="en-US"/>
        </w:rPr>
        <w:t>预算编制、</w:t>
      </w:r>
      <w:r>
        <w:rPr>
          <w:rFonts w:hint="eastAsia" w:ascii="仿宋_GB2312" w:hAnsi="仿宋_GB2312" w:eastAsia="仿宋_GB2312" w:cs="仿宋_GB2312"/>
        </w:rPr>
        <w:t>信息公开等综合管理方面执行较好，部门整体支出绩效完成情况良好。但评价中也发现</w:t>
      </w:r>
      <w:r>
        <w:rPr>
          <w:rFonts w:hint="eastAsia" w:ascii="仿宋_GB2312" w:hAnsi="仿宋_GB2312" w:eastAsia="仿宋_GB2312" w:cs="仿宋_GB2312"/>
          <w:lang w:val="en-US"/>
        </w:rPr>
        <w:t>部门预算执行方面</w:t>
      </w:r>
      <w:r>
        <w:rPr>
          <w:rFonts w:hint="eastAsia" w:ascii="仿宋_GB2312" w:hAnsi="仿宋_GB2312" w:eastAsia="仿宋_GB2312" w:cs="仿宋_GB2312"/>
        </w:rPr>
        <w:t>存在瑕疵，本次整体支出绩效评级综合得分情况如下：预算管理指标权重为</w:t>
      </w:r>
      <w:r>
        <w:rPr>
          <w:rFonts w:hint="eastAsia" w:ascii="仿宋_GB2312" w:hAnsi="仿宋_GB2312" w:eastAsia="仿宋_GB2312" w:cs="仿宋_GB2312"/>
          <w:lang w:val="en-US"/>
        </w:rPr>
        <w:t>80</w:t>
      </w:r>
      <w:r>
        <w:rPr>
          <w:rFonts w:hint="eastAsia" w:ascii="仿宋_GB2312" w:hAnsi="仿宋_GB2312" w:eastAsia="仿宋_GB2312" w:cs="仿宋_GB2312"/>
        </w:rPr>
        <w:t>分，得分为</w:t>
      </w:r>
      <w:r>
        <w:rPr>
          <w:rFonts w:hint="eastAsia" w:ascii="仿宋_GB2312" w:hAnsi="仿宋_GB2312" w:eastAsia="仿宋_GB2312" w:cs="仿宋_GB2312"/>
          <w:lang w:val="en-US"/>
        </w:rPr>
        <w:t>53.59</w:t>
      </w:r>
      <w:r>
        <w:rPr>
          <w:rFonts w:hint="eastAsia" w:ascii="仿宋_GB2312" w:hAnsi="仿宋_GB2312" w:eastAsia="仿宋_GB2312" w:cs="仿宋_GB2312"/>
        </w:rPr>
        <w:t>分，得分率为</w:t>
      </w:r>
      <w:r>
        <w:rPr>
          <w:rFonts w:hint="eastAsia" w:ascii="仿宋_GB2312" w:hAnsi="仿宋_GB2312" w:eastAsia="仿宋_GB2312" w:cs="仿宋_GB2312"/>
          <w:lang w:val="en-US"/>
        </w:rPr>
        <w:t>67</w:t>
      </w:r>
      <w:r>
        <w:rPr>
          <w:rFonts w:hint="eastAsia" w:ascii="仿宋_GB2312" w:hAnsi="仿宋_GB2312" w:eastAsia="仿宋_GB2312" w:cs="仿宋_GB2312"/>
        </w:rPr>
        <w:t>%；</w:t>
      </w:r>
      <w:r>
        <w:rPr>
          <w:rFonts w:hint="eastAsia" w:ascii="仿宋_GB2312" w:hAnsi="仿宋_GB2312" w:eastAsia="仿宋_GB2312" w:cs="仿宋_GB2312"/>
          <w:lang w:val="en-US"/>
        </w:rPr>
        <w:t>绩效结果运用</w:t>
      </w:r>
      <w:r>
        <w:rPr>
          <w:rFonts w:hint="eastAsia" w:ascii="仿宋_GB2312" w:hAnsi="仿宋_GB2312" w:eastAsia="仿宋_GB2312" w:cs="仿宋_GB2312"/>
        </w:rPr>
        <w:t>指标权重为</w:t>
      </w:r>
      <w:r>
        <w:rPr>
          <w:rFonts w:hint="eastAsia" w:ascii="仿宋_GB2312" w:hAnsi="仿宋_GB2312" w:eastAsia="仿宋_GB2312" w:cs="仿宋_GB2312"/>
          <w:lang w:val="en-US"/>
        </w:rPr>
        <w:t>20</w:t>
      </w:r>
      <w:r>
        <w:rPr>
          <w:rFonts w:hint="eastAsia" w:ascii="仿宋_GB2312" w:hAnsi="仿宋_GB2312" w:eastAsia="仿宋_GB2312" w:cs="仿宋_GB2312"/>
        </w:rPr>
        <w:t>分，得分为</w:t>
      </w:r>
      <w:r>
        <w:rPr>
          <w:rFonts w:hint="eastAsia" w:ascii="仿宋_GB2312" w:hAnsi="仿宋_GB2312" w:eastAsia="仿宋_GB2312" w:cs="仿宋_GB2312"/>
          <w:lang w:val="en-US"/>
        </w:rPr>
        <w:t>16</w:t>
      </w:r>
      <w:r>
        <w:rPr>
          <w:rFonts w:hint="eastAsia" w:ascii="仿宋_GB2312" w:hAnsi="仿宋_GB2312" w:eastAsia="仿宋_GB2312" w:cs="仿宋_GB2312"/>
        </w:rPr>
        <w:t>分，得分率为</w:t>
      </w:r>
      <w:r>
        <w:rPr>
          <w:rFonts w:hint="eastAsia" w:ascii="仿宋_GB2312" w:hAnsi="仿宋_GB2312" w:eastAsia="仿宋_GB2312" w:cs="仿宋_GB2312"/>
          <w:lang w:val="en-US"/>
        </w:rPr>
        <w:t>80</w:t>
      </w:r>
      <w:r>
        <w:rPr>
          <w:rFonts w:hint="eastAsia" w:ascii="仿宋_GB2312" w:hAnsi="仿宋_GB2312" w:eastAsia="仿宋_GB2312" w:cs="仿宋_GB2312"/>
        </w:rPr>
        <w:t>%；本项目总分为</w:t>
      </w:r>
      <w:r>
        <w:rPr>
          <w:rFonts w:hint="eastAsia" w:ascii="仿宋_GB2312" w:hAnsi="仿宋_GB2312" w:eastAsia="仿宋_GB2312" w:cs="仿宋_GB2312"/>
          <w:lang w:val="en-US"/>
        </w:rPr>
        <w:t>69.59</w:t>
      </w:r>
      <w:r>
        <w:rPr>
          <w:rFonts w:hint="eastAsia" w:ascii="仿宋_GB2312" w:hAnsi="仿宋_GB2312" w:eastAsia="仿宋_GB2312" w:cs="仿宋_GB2312"/>
        </w:rPr>
        <w:t>分。详情见下表</w:t>
      </w:r>
      <w:r>
        <w:rPr>
          <w:rFonts w:hint="eastAsia" w:ascii="仿宋_GB2312" w:hAnsi="仿宋_GB2312" w:eastAsia="仿宋_GB2312" w:cs="仿宋_GB2312"/>
          <w:lang w:val="en-US"/>
        </w:rPr>
        <w:t>2</w:t>
      </w:r>
      <w:r>
        <w:rPr>
          <w:rFonts w:hint="eastAsia" w:ascii="仿宋_GB2312" w:hAnsi="仿宋_GB2312" w:eastAsia="仿宋_GB2312" w:cs="仿宋_GB2312"/>
        </w:rPr>
        <w:t>-1。</w:t>
      </w:r>
    </w:p>
    <w:p>
      <w:pPr>
        <w:pStyle w:val="19"/>
        <w:spacing w:after="0"/>
        <w:ind w:firstLine="482" w:firstLineChars="200"/>
      </w:pPr>
      <w:r>
        <w:t>表</w:t>
      </w:r>
      <w:r>
        <w:rPr>
          <w:rFonts w:hint="eastAsia"/>
        </w:rPr>
        <w:t>2-1 2020年</w:t>
      </w:r>
      <w:r>
        <w:rPr>
          <w:rFonts w:hint="eastAsia"/>
          <w:lang w:eastAsia="zh-CN"/>
        </w:rPr>
        <w:t>市场监督管理局</w:t>
      </w:r>
      <w:r>
        <w:t>部门整体支出绩效得分情况表</w:t>
      </w:r>
    </w:p>
    <w:tbl>
      <w:tblPr>
        <w:tblStyle w:val="12"/>
        <w:tblW w:w="9630" w:type="dxa"/>
        <w:tblInd w:w="0" w:type="dxa"/>
        <w:tblLayout w:type="fixed"/>
        <w:tblCellMar>
          <w:top w:w="15" w:type="dxa"/>
          <w:left w:w="15" w:type="dxa"/>
          <w:bottom w:w="15" w:type="dxa"/>
          <w:right w:w="15" w:type="dxa"/>
        </w:tblCellMar>
      </w:tblPr>
      <w:tblGrid>
        <w:gridCol w:w="2115"/>
        <w:gridCol w:w="1080"/>
        <w:gridCol w:w="1685"/>
        <w:gridCol w:w="1195"/>
        <w:gridCol w:w="1030"/>
        <w:gridCol w:w="1030"/>
        <w:gridCol w:w="1495"/>
      </w:tblGrid>
      <w:tr>
        <w:tblPrEx>
          <w:tblCellMar>
            <w:top w:w="15" w:type="dxa"/>
            <w:left w:w="15" w:type="dxa"/>
            <w:bottom w:w="15" w:type="dxa"/>
            <w:right w:w="15" w:type="dxa"/>
          </w:tblCellMar>
        </w:tblPrEx>
        <w:trPr>
          <w:trHeight w:val="375" w:hRule="atLeast"/>
        </w:trPr>
        <w:tc>
          <w:tcPr>
            <w:tcW w:w="4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绩效指标</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指标分值</w:t>
            </w:r>
          </w:p>
        </w:tc>
        <w:tc>
          <w:tcPr>
            <w:tcW w:w="103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kern w:val="0"/>
                <w:sz w:val="20"/>
                <w:szCs w:val="20"/>
              </w:rPr>
            </w:pPr>
            <w:r>
              <w:rPr>
                <w:rFonts w:hint="eastAsia" w:ascii="仿宋" w:hAnsi="仿宋" w:eastAsia="仿宋" w:cs="仿宋"/>
                <w:b/>
                <w:color w:val="000000"/>
                <w:kern w:val="0"/>
                <w:sz w:val="20"/>
                <w:szCs w:val="20"/>
              </w:rPr>
              <w:t>自评得分</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评价得分</w:t>
            </w:r>
          </w:p>
        </w:tc>
        <w:tc>
          <w:tcPr>
            <w:tcW w:w="149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kern w:val="0"/>
                <w:sz w:val="20"/>
                <w:szCs w:val="20"/>
              </w:rPr>
            </w:pPr>
            <w:r>
              <w:rPr>
                <w:rFonts w:hint="eastAsia" w:ascii="仿宋" w:hAnsi="仿宋" w:eastAsia="仿宋" w:cs="仿宋"/>
                <w:b/>
                <w:color w:val="000000"/>
                <w:kern w:val="0"/>
                <w:sz w:val="20"/>
                <w:szCs w:val="20"/>
              </w:rPr>
              <w:t>备注</w:t>
            </w:r>
          </w:p>
        </w:tc>
      </w:tr>
      <w:tr>
        <w:tblPrEx>
          <w:tblCellMar>
            <w:top w:w="15" w:type="dxa"/>
            <w:left w:w="15" w:type="dxa"/>
            <w:bottom w:w="15" w:type="dxa"/>
            <w:right w:w="15" w:type="dxa"/>
          </w:tblCellMar>
        </w:tblPrEx>
        <w:trPr>
          <w:trHeight w:val="375"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二级指标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三级指标</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103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149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r>
      <w:tr>
        <w:tblPrEx>
          <w:tblCellMar>
            <w:top w:w="15" w:type="dxa"/>
            <w:left w:w="15" w:type="dxa"/>
            <w:bottom w:w="15" w:type="dxa"/>
            <w:right w:w="15" w:type="dxa"/>
          </w:tblCellMar>
        </w:tblPrEx>
        <w:trPr>
          <w:trHeight w:val="215"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部门预算管理（80分）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预算</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编制</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目标制定</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rPr>
              <w:t xml:space="preserve"> </w:t>
            </w:r>
            <w:r>
              <w:rPr>
                <w:rFonts w:hint="eastAsia" w:ascii="宋体" w:hAnsi="宋体" w:cs="宋体"/>
                <w:color w:val="000000"/>
                <w:sz w:val="18"/>
                <w:szCs w:val="18"/>
                <w:lang w:val="en-US" w:eastAsia="zh-CN"/>
              </w:rPr>
              <w:t>9</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9</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25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目标完成</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rPr>
              <w:t xml:space="preserve"> </w:t>
            </w:r>
            <w:r>
              <w:rPr>
                <w:rFonts w:hint="eastAsia" w:ascii="宋体" w:hAnsi="宋体" w:cs="宋体"/>
                <w:color w:val="000000"/>
                <w:sz w:val="18"/>
                <w:szCs w:val="18"/>
                <w:lang w:val="en-US" w:eastAsia="zh-CN"/>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8</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29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编制准确</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8.1</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25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textAlignment w:val="center"/>
              <w:rPr>
                <w:rFonts w:ascii="宋体" w:hAnsi="宋体" w:cs="宋体"/>
                <w:color w:val="000000"/>
                <w:kern w:val="0"/>
                <w:sz w:val="18"/>
                <w:szCs w:val="18"/>
              </w:rPr>
            </w:pPr>
            <w:r>
              <w:rPr>
                <w:rFonts w:hint="eastAsia" w:ascii="宋体" w:hAnsi="宋体" w:cs="宋体"/>
                <w:color w:val="000000"/>
                <w:kern w:val="0"/>
                <w:sz w:val="18"/>
                <w:szCs w:val="18"/>
              </w:rPr>
              <w:t>预算</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执行</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支出控制</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rPr>
              <w:t xml:space="preserve"> </w:t>
            </w:r>
            <w:r>
              <w:rPr>
                <w:rFonts w:hint="eastAsia" w:ascii="宋体" w:hAnsi="宋体" w:cs="宋体"/>
                <w:color w:val="000000"/>
                <w:sz w:val="18"/>
                <w:szCs w:val="18"/>
                <w:lang w:val="en-US" w:eastAsia="zh-CN"/>
              </w:rPr>
              <w:t>8</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5</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28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动态调整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执行进度</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firstLineChars="200"/>
              <w:jc w:val="both"/>
              <w:rPr>
                <w:rFonts w:hint="default" w:ascii="宋体" w:hAnsi="宋体" w:eastAsia="宋体" w:cs="宋体"/>
                <w:color w:val="000000"/>
                <w:sz w:val="18"/>
                <w:szCs w:val="18"/>
                <w:lang w:val="en-US" w:eastAsia="zh-CN"/>
              </w:rPr>
            </w:pPr>
            <w:r>
              <w:rPr>
                <w:rFonts w:hint="eastAsia" w:ascii="宋体" w:hAnsi="宋体" w:cs="宋体"/>
                <w:color w:val="000000"/>
                <w:sz w:val="18"/>
                <w:szCs w:val="18"/>
              </w:rPr>
              <w:t xml:space="preserve"> </w:t>
            </w:r>
            <w:r>
              <w:rPr>
                <w:rFonts w:hint="eastAsia" w:ascii="宋体" w:hAnsi="宋体" w:cs="宋体"/>
                <w:color w:val="000000"/>
                <w:sz w:val="18"/>
                <w:szCs w:val="18"/>
                <w:lang w:val="en-US" w:eastAsia="zh-CN"/>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9.8</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35"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完成</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结果</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预算完成</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9.6</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9.6</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555"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违规记录</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lang w:val="en-US" w:eastAsia="zh-CN"/>
              </w:rPr>
              <w:t>8</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675"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绩效结果应用（20分）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自评</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质量</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自评准确</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3.5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2</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3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信息</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公开</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目标公开</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585"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自评公开</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95"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整改</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反馈</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结果整改</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8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应用反馈</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45" w:hRule="atLeast"/>
        </w:trPr>
        <w:tc>
          <w:tcPr>
            <w:tcW w:w="4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总分合计</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 xml:space="preserve">93.5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85.5</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bl>
    <w:p>
      <w:pPr>
        <w:spacing w:line="560" w:lineRule="exact"/>
        <w:ind w:firstLine="640" w:firstLineChars="200"/>
        <w:rPr>
          <w:rFonts w:ascii="仿宋_GB2312" w:eastAsia="仿宋_GB2312"/>
          <w:sz w:val="32"/>
          <w:szCs w:val="32"/>
        </w:rPr>
      </w:pPr>
    </w:p>
    <w:p>
      <w:pPr>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（二）部门预算管理情况分析</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1.预算编制情况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（1）目标制定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县市场监督管理局</w:t>
      </w:r>
      <w:r>
        <w:rPr>
          <w:rFonts w:hint="eastAsia" w:ascii="仿宋_GB2312" w:hAnsi="仿宋_GB2312" w:eastAsia="仿宋_GB2312" w:cs="仿宋_GB2312"/>
          <w:sz w:val="32"/>
          <w:szCs w:val="32"/>
        </w:rPr>
        <w:t>按照2020年部门预算编制要求，积极开展预算编报工作，在规定时间内完成了部门预算编制任务。部门预算编制准确、规范、完整无漏项，基础信息和科目使用准确，项目名称、绩效指标、项目内容等说明符合规定，单位编制、人员情况与供养人员横向联网系统数据一致。部门整体支出绩效目标表申报表填报存在指标</w:t>
      </w:r>
      <w:r>
        <w:rPr>
          <w:rFonts w:hint="eastAsia" w:ascii="仿宋_GB2312" w:hAnsi="仿宋_GB2312" w:eastAsia="仿宋_GB2312" w:cs="仿宋_GB2312"/>
          <w:sz w:val="32"/>
          <w:szCs w:val="32"/>
          <w:lang w:eastAsia="zh-CN"/>
        </w:rPr>
        <w:t>较为完整，但不够细化</w:t>
      </w:r>
      <w:r>
        <w:rPr>
          <w:rFonts w:hint="eastAsia" w:ascii="仿宋_GB2312" w:hAnsi="仿宋_GB2312" w:eastAsia="仿宋_GB2312" w:cs="仿宋_GB2312"/>
          <w:sz w:val="32"/>
          <w:szCs w:val="32"/>
        </w:rPr>
        <w:t>。该指标满分10分，根据指标评价标准和公式计算，得分9分。</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（2）目标完成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eastAsia="zh-CN"/>
        </w:rPr>
        <w:t>县市场监督管理局</w:t>
      </w:r>
      <w:r>
        <w:rPr>
          <w:rFonts w:hint="eastAsia" w:ascii="仿宋_GB2312" w:hAnsi="仿宋_GB2312" w:eastAsia="仿宋_GB2312" w:cs="仿宋_GB2312"/>
          <w:sz w:val="32"/>
          <w:szCs w:val="32"/>
        </w:rPr>
        <w:t>共设置部门项目绩效目标2个，均全部完成</w:t>
      </w:r>
      <w:r>
        <w:rPr>
          <w:rFonts w:hint="eastAsia" w:ascii="仿宋_GB2312" w:hAnsi="仿宋_GB2312" w:eastAsia="仿宋_GB2312" w:cs="仿宋_GB2312"/>
          <w:sz w:val="32"/>
          <w:szCs w:val="32"/>
          <w:lang w:eastAsia="zh-CN"/>
        </w:rPr>
        <w:t>，但在未对党组织活动经费开展自评</w:t>
      </w:r>
      <w:r>
        <w:rPr>
          <w:rFonts w:hint="eastAsia" w:ascii="仿宋_GB2312" w:hAnsi="仿宋_GB2312" w:eastAsia="仿宋_GB2312" w:cs="仿宋_GB2312"/>
          <w:sz w:val="32"/>
          <w:szCs w:val="32"/>
        </w:rPr>
        <w:t>。数量指标的完成情况详见表3-1：</w:t>
      </w:r>
    </w:p>
    <w:p>
      <w:pPr>
        <w:pStyle w:val="2"/>
        <w:spacing w:before="93"/>
        <w:jc w:val="center"/>
        <w:rPr>
          <w:b/>
          <w:bCs/>
          <w:sz w:val="24"/>
        </w:rPr>
      </w:pPr>
      <w:r>
        <w:rPr>
          <w:b/>
          <w:bCs/>
          <w:sz w:val="24"/>
        </w:rPr>
        <w:t>表</w:t>
      </w:r>
      <w:r>
        <w:rPr>
          <w:rFonts w:hint="eastAsia"/>
          <w:b/>
          <w:bCs/>
          <w:sz w:val="24"/>
        </w:rPr>
        <w:t>3-1 2020年</w:t>
      </w:r>
      <w:r>
        <w:rPr>
          <w:rFonts w:hint="eastAsia"/>
          <w:b/>
          <w:bCs/>
          <w:sz w:val="24"/>
          <w:lang w:eastAsia="zh-CN"/>
        </w:rPr>
        <w:t>县市场监督管理局</w:t>
      </w:r>
      <w:r>
        <w:rPr>
          <w:rFonts w:hint="eastAsia"/>
          <w:b/>
          <w:bCs/>
          <w:sz w:val="24"/>
        </w:rPr>
        <w:t>绩效目标完成情况</w:t>
      </w:r>
    </w:p>
    <w:tbl>
      <w:tblPr>
        <w:tblStyle w:val="13"/>
        <w:tblpPr w:leftFromText="180" w:rightFromText="180" w:vertAnchor="text" w:horzAnchor="page" w:tblpX="1575" w:tblpY="363"/>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4395"/>
        <w:gridCol w:w="1530"/>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366" w:type="dxa"/>
            <w:vAlign w:val="center"/>
          </w:tcPr>
          <w:p>
            <w:pPr>
              <w:pStyle w:val="2"/>
              <w:spacing w:before="93"/>
              <w:jc w:val="center"/>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4395" w:type="dxa"/>
            <w:vAlign w:val="center"/>
          </w:tcPr>
          <w:p>
            <w:pPr>
              <w:pStyle w:val="2"/>
              <w:spacing w:before="93"/>
              <w:jc w:val="center"/>
              <w:rPr>
                <w:rFonts w:hint="eastAsia" w:ascii="宋体" w:hAnsi="宋体" w:eastAsia="宋体" w:cs="宋体"/>
                <w:b/>
                <w:bCs/>
                <w:sz w:val="21"/>
                <w:szCs w:val="21"/>
              </w:rPr>
            </w:pPr>
            <w:r>
              <w:rPr>
                <w:rFonts w:hint="eastAsia" w:ascii="宋体" w:hAnsi="宋体" w:eastAsia="宋体" w:cs="宋体"/>
                <w:b/>
                <w:bCs/>
                <w:sz w:val="21"/>
                <w:szCs w:val="21"/>
              </w:rPr>
              <w:t>项目完成指标</w:t>
            </w:r>
          </w:p>
        </w:tc>
        <w:tc>
          <w:tcPr>
            <w:tcW w:w="1530" w:type="dxa"/>
            <w:vAlign w:val="center"/>
          </w:tcPr>
          <w:p>
            <w:pPr>
              <w:pStyle w:val="2"/>
              <w:spacing w:before="93"/>
              <w:jc w:val="center"/>
              <w:rPr>
                <w:rFonts w:hint="eastAsia" w:ascii="宋体" w:hAnsi="宋体" w:eastAsia="宋体" w:cs="宋体"/>
                <w:b/>
                <w:bCs/>
                <w:sz w:val="21"/>
                <w:szCs w:val="21"/>
              </w:rPr>
            </w:pPr>
            <w:r>
              <w:rPr>
                <w:rFonts w:hint="eastAsia" w:ascii="宋体" w:hAnsi="宋体" w:eastAsia="宋体" w:cs="宋体"/>
                <w:b/>
                <w:bCs/>
                <w:sz w:val="21"/>
                <w:szCs w:val="21"/>
              </w:rPr>
              <w:t>实际完成情况</w:t>
            </w:r>
          </w:p>
        </w:tc>
        <w:tc>
          <w:tcPr>
            <w:tcW w:w="769" w:type="dxa"/>
            <w:vAlign w:val="center"/>
          </w:tcPr>
          <w:p>
            <w:pPr>
              <w:pStyle w:val="2"/>
              <w:spacing w:before="93"/>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366" w:type="dxa"/>
            <w:vMerge w:val="restart"/>
            <w:vAlign w:val="center"/>
          </w:tcPr>
          <w:p>
            <w:pPr>
              <w:pStyle w:val="2"/>
              <w:spacing w:before="93"/>
              <w:jc w:val="center"/>
              <w:rPr>
                <w:rFonts w:hint="eastAsia" w:ascii="宋体" w:hAnsi="宋体" w:eastAsia="宋体" w:cs="宋体"/>
                <w:sz w:val="21"/>
                <w:szCs w:val="21"/>
              </w:rPr>
            </w:pPr>
            <w:r>
              <w:rPr>
                <w:rFonts w:hint="eastAsia" w:ascii="宋体" w:hAnsi="宋体" w:eastAsia="宋体" w:cs="宋体"/>
                <w:b/>
                <w:bCs/>
                <w:sz w:val="21"/>
                <w:szCs w:val="21"/>
              </w:rPr>
              <w:t>党组织活动经费</w:t>
            </w:r>
          </w:p>
        </w:tc>
        <w:tc>
          <w:tcPr>
            <w:tcW w:w="4395"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开展三会一课大比武活动</w:t>
            </w:r>
          </w:p>
        </w:tc>
        <w:tc>
          <w:tcPr>
            <w:tcW w:w="1530"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完成</w:t>
            </w:r>
          </w:p>
        </w:tc>
        <w:tc>
          <w:tcPr>
            <w:tcW w:w="769" w:type="dxa"/>
            <w:vAlign w:val="center"/>
          </w:tcPr>
          <w:p>
            <w:pPr>
              <w:pStyle w:val="2"/>
              <w:spacing w:before="93"/>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366" w:type="dxa"/>
            <w:vMerge w:val="continue"/>
            <w:vAlign w:val="center"/>
          </w:tcPr>
          <w:p>
            <w:pPr>
              <w:pStyle w:val="2"/>
              <w:spacing w:before="93"/>
              <w:jc w:val="center"/>
              <w:rPr>
                <w:rFonts w:hint="eastAsia" w:ascii="宋体" w:hAnsi="宋体" w:eastAsia="宋体" w:cs="宋体"/>
                <w:sz w:val="21"/>
                <w:szCs w:val="21"/>
              </w:rPr>
            </w:pPr>
          </w:p>
        </w:tc>
        <w:tc>
          <w:tcPr>
            <w:tcW w:w="4395"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组织党员教育培训</w:t>
            </w:r>
          </w:p>
        </w:tc>
        <w:tc>
          <w:tcPr>
            <w:tcW w:w="1530"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完成</w:t>
            </w:r>
          </w:p>
        </w:tc>
        <w:tc>
          <w:tcPr>
            <w:tcW w:w="769" w:type="dxa"/>
            <w:vAlign w:val="center"/>
          </w:tcPr>
          <w:p>
            <w:pPr>
              <w:pStyle w:val="2"/>
              <w:spacing w:before="93"/>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366" w:type="dxa"/>
            <w:vMerge w:val="continue"/>
            <w:vAlign w:val="center"/>
          </w:tcPr>
          <w:p>
            <w:pPr>
              <w:pStyle w:val="2"/>
              <w:spacing w:before="93"/>
              <w:jc w:val="center"/>
              <w:rPr>
                <w:rFonts w:hint="eastAsia" w:ascii="宋体" w:hAnsi="宋体" w:eastAsia="宋体" w:cs="宋体"/>
                <w:sz w:val="21"/>
                <w:szCs w:val="21"/>
              </w:rPr>
            </w:pPr>
          </w:p>
        </w:tc>
        <w:tc>
          <w:tcPr>
            <w:tcW w:w="4395"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订阅购买党建资料（含党报党刊）学习类</w:t>
            </w:r>
          </w:p>
        </w:tc>
        <w:tc>
          <w:tcPr>
            <w:tcW w:w="1530"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完成</w:t>
            </w:r>
          </w:p>
        </w:tc>
        <w:tc>
          <w:tcPr>
            <w:tcW w:w="769" w:type="dxa"/>
            <w:vAlign w:val="center"/>
          </w:tcPr>
          <w:p>
            <w:pPr>
              <w:pStyle w:val="2"/>
              <w:spacing w:before="93"/>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366" w:type="dxa"/>
            <w:vMerge w:val="continue"/>
            <w:vAlign w:val="center"/>
          </w:tcPr>
          <w:p>
            <w:pPr>
              <w:pStyle w:val="2"/>
              <w:spacing w:before="93"/>
              <w:jc w:val="center"/>
              <w:rPr>
                <w:rFonts w:hint="eastAsia" w:ascii="宋体" w:hAnsi="宋体" w:eastAsia="宋体" w:cs="宋体"/>
                <w:sz w:val="21"/>
                <w:szCs w:val="21"/>
              </w:rPr>
            </w:pPr>
          </w:p>
        </w:tc>
        <w:tc>
          <w:tcPr>
            <w:tcW w:w="4395"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组织开展主题党员活动</w:t>
            </w:r>
          </w:p>
        </w:tc>
        <w:tc>
          <w:tcPr>
            <w:tcW w:w="1530"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完成</w:t>
            </w:r>
          </w:p>
        </w:tc>
        <w:tc>
          <w:tcPr>
            <w:tcW w:w="769" w:type="dxa"/>
            <w:vAlign w:val="center"/>
          </w:tcPr>
          <w:p>
            <w:pPr>
              <w:pStyle w:val="2"/>
              <w:spacing w:before="93"/>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366" w:type="dxa"/>
            <w:vMerge w:val="restart"/>
            <w:vAlign w:val="center"/>
          </w:tcPr>
          <w:p>
            <w:pPr>
              <w:pStyle w:val="2"/>
              <w:spacing w:before="93"/>
              <w:jc w:val="center"/>
              <w:rPr>
                <w:rFonts w:hint="eastAsia" w:ascii="宋体" w:hAnsi="宋体" w:eastAsia="宋体" w:cs="宋体"/>
                <w:sz w:val="21"/>
                <w:szCs w:val="21"/>
              </w:rPr>
            </w:pPr>
            <w:r>
              <w:rPr>
                <w:rFonts w:hint="eastAsia" w:ascii="宋体" w:hAnsi="宋体" w:eastAsia="宋体" w:cs="宋体"/>
                <w:b/>
                <w:bCs/>
                <w:sz w:val="21"/>
                <w:szCs w:val="21"/>
              </w:rPr>
              <w:t>扫黑除恶工作经费</w:t>
            </w:r>
          </w:p>
        </w:tc>
        <w:tc>
          <w:tcPr>
            <w:tcW w:w="4395"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lang w:eastAsia="zh-CN"/>
              </w:rPr>
              <w:t>开展扫黑除恶</w:t>
            </w:r>
            <w:r>
              <w:rPr>
                <w:rFonts w:hint="eastAsia" w:ascii="宋体" w:hAnsi="宋体" w:eastAsia="宋体" w:cs="宋体"/>
                <w:sz w:val="21"/>
                <w:szCs w:val="21"/>
                <w:lang w:val="en-US" w:eastAsia="zh-CN"/>
              </w:rPr>
              <w:t>宣传≥6次</w:t>
            </w:r>
          </w:p>
        </w:tc>
        <w:tc>
          <w:tcPr>
            <w:tcW w:w="1530"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完成</w:t>
            </w:r>
          </w:p>
        </w:tc>
        <w:tc>
          <w:tcPr>
            <w:tcW w:w="769" w:type="dxa"/>
            <w:vAlign w:val="center"/>
          </w:tcPr>
          <w:p>
            <w:pPr>
              <w:pStyle w:val="2"/>
              <w:spacing w:before="93"/>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366" w:type="dxa"/>
            <w:vMerge w:val="continue"/>
            <w:vAlign w:val="center"/>
          </w:tcPr>
          <w:p>
            <w:pPr>
              <w:pStyle w:val="2"/>
              <w:spacing w:before="93"/>
              <w:jc w:val="center"/>
              <w:rPr>
                <w:rFonts w:hint="eastAsia" w:ascii="宋体" w:hAnsi="宋体" w:eastAsia="宋体" w:cs="宋体"/>
                <w:sz w:val="21"/>
                <w:szCs w:val="21"/>
              </w:rPr>
            </w:pPr>
          </w:p>
        </w:tc>
        <w:tc>
          <w:tcPr>
            <w:tcW w:w="4395"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lang w:val="en-US" w:eastAsia="zh-CN"/>
              </w:rPr>
              <w:t>发放宣传资料20000万份</w:t>
            </w:r>
          </w:p>
        </w:tc>
        <w:tc>
          <w:tcPr>
            <w:tcW w:w="1530"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完成</w:t>
            </w:r>
          </w:p>
        </w:tc>
        <w:tc>
          <w:tcPr>
            <w:tcW w:w="769" w:type="dxa"/>
            <w:vAlign w:val="center"/>
          </w:tcPr>
          <w:p>
            <w:pPr>
              <w:pStyle w:val="2"/>
              <w:spacing w:before="93"/>
              <w:jc w:val="center"/>
              <w:rPr>
                <w:rFonts w:hint="eastAsia" w:ascii="宋体" w:hAnsi="宋体" w:eastAsia="宋体" w:cs="宋体"/>
                <w:sz w:val="21"/>
                <w:szCs w:val="21"/>
              </w:rPr>
            </w:pPr>
          </w:p>
        </w:tc>
      </w:tr>
    </w:tbl>
    <w:p>
      <w:pPr>
        <w:spacing w:line="576" w:lineRule="exact"/>
        <w:ind w:firstLine="640" w:firstLineChars="200"/>
        <w:rPr>
          <w:rFonts w:hint="eastAsia" w:ascii="仿宋_GB2312" w:eastAsia="仿宋_GB2312"/>
          <w:sz w:val="32"/>
          <w:szCs w:val="32"/>
        </w:rPr>
      </w:pP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该指标分值标准10分，根据指标评价标准和公式计算，综合参考2020年综合目标绩效考评结果，得分</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分。</w:t>
      </w:r>
    </w:p>
    <w:p>
      <w:pPr>
        <w:pStyle w:val="2"/>
        <w:spacing w:before="9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（3）编制准确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县市场监督管理局</w:t>
      </w:r>
      <w:r>
        <w:rPr>
          <w:rFonts w:hint="eastAsia" w:ascii="仿宋_GB2312" w:hAnsi="仿宋_GB2312" w:eastAsia="仿宋_GB2312" w:cs="仿宋_GB2312"/>
          <w:sz w:val="32"/>
          <w:szCs w:val="32"/>
        </w:rPr>
        <w:t>部门年初预算数为</w:t>
      </w:r>
      <w:r>
        <w:rPr>
          <w:rFonts w:hint="eastAsia" w:ascii="仿宋_GB2312" w:hAnsi="仿宋_GB2312" w:eastAsia="仿宋_GB2312" w:cs="仿宋_GB2312"/>
          <w:sz w:val="32"/>
          <w:szCs w:val="32"/>
          <w:lang w:val="en-US" w:eastAsia="zh-CN"/>
        </w:rPr>
        <w:t>1918.48</w:t>
      </w:r>
      <w:r>
        <w:rPr>
          <w:rFonts w:hint="eastAsia" w:ascii="仿宋_GB2312" w:hAnsi="仿宋_GB2312" w:eastAsia="仿宋_GB2312" w:cs="仿宋_GB2312"/>
          <w:sz w:val="32"/>
          <w:szCs w:val="32"/>
        </w:rPr>
        <w:t>万元，预算调整数为</w:t>
      </w:r>
      <w:r>
        <w:rPr>
          <w:rFonts w:hint="eastAsia" w:ascii="仿宋_GB2312" w:hAnsi="仿宋_GB2312" w:eastAsia="仿宋_GB2312" w:cs="仿宋_GB2312"/>
          <w:sz w:val="32"/>
          <w:szCs w:val="32"/>
          <w:lang w:val="en-US" w:eastAsia="zh-CN"/>
        </w:rPr>
        <w:t>599.09</w:t>
      </w:r>
      <w:r>
        <w:rPr>
          <w:rFonts w:hint="eastAsia" w:ascii="仿宋_GB2312" w:hAnsi="仿宋_GB2312" w:eastAsia="仿宋_GB2312" w:cs="仿宋_GB2312"/>
          <w:sz w:val="32"/>
          <w:szCs w:val="32"/>
        </w:rPr>
        <w:t>万元，依据指标体系计分标准：指标得分=1-年初预算数（一上）/（财政下达数（一下）+预算调整数）基本支出资金，预决算偏差程度为</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该指标分值标准5分，根据指标评价标准和公式计算，预决算程度偏差</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分。</w:t>
      </w:r>
    </w:p>
    <w:p>
      <w:pPr>
        <w:numPr>
          <w:ilvl w:val="0"/>
          <w:numId w:val="0"/>
        </w:numPr>
        <w:tabs>
          <w:tab w:val="left" w:pos="268"/>
        </w:tabs>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预算执行情况</w:t>
      </w:r>
    </w:p>
    <w:p>
      <w:pPr>
        <w:tabs>
          <w:tab w:val="left" w:pos="268"/>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（1）支出控制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eastAsia="zh-CN"/>
        </w:rPr>
        <w:t>县市场监督管理局</w:t>
      </w:r>
      <w:r>
        <w:rPr>
          <w:rFonts w:hint="eastAsia" w:ascii="仿宋_GB2312" w:hAnsi="仿宋_GB2312" w:eastAsia="仿宋_GB2312" w:cs="仿宋_GB2312"/>
          <w:sz w:val="32"/>
          <w:szCs w:val="32"/>
        </w:rPr>
        <w:t>部门公用经费及非定额公用支出预算金额为</w:t>
      </w:r>
      <w:r>
        <w:rPr>
          <w:rFonts w:hint="eastAsia" w:ascii="仿宋_GB2312" w:hAnsi="仿宋_GB2312" w:eastAsia="仿宋_GB2312" w:cs="仿宋_GB2312"/>
          <w:sz w:val="32"/>
          <w:szCs w:val="32"/>
          <w:lang w:val="en-US" w:eastAsia="zh-CN"/>
        </w:rPr>
        <w:t>290.9</w:t>
      </w:r>
      <w:r>
        <w:rPr>
          <w:rFonts w:hint="eastAsia" w:ascii="仿宋_GB2312" w:hAnsi="仿宋_GB2312" w:eastAsia="仿宋_GB2312" w:cs="仿宋_GB2312"/>
          <w:sz w:val="32"/>
          <w:szCs w:val="32"/>
        </w:rPr>
        <w:t>万元，其中：日常公用经费预算数</w:t>
      </w:r>
      <w:r>
        <w:rPr>
          <w:rFonts w:hint="eastAsia" w:ascii="仿宋_GB2312" w:hAnsi="仿宋_GB2312" w:eastAsia="仿宋_GB2312" w:cs="仿宋_GB2312"/>
          <w:sz w:val="32"/>
          <w:szCs w:val="32"/>
          <w:lang w:val="en-US" w:eastAsia="zh-CN"/>
        </w:rPr>
        <w:t>290.9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办公费、印刷费、水费、电费、物业管理费预算数分别为0万元、0万元、0万元、0万元、0万元。决算金额为</w:t>
      </w:r>
      <w:r>
        <w:rPr>
          <w:rFonts w:hint="eastAsia" w:ascii="仿宋_GB2312" w:hAnsi="仿宋_GB2312" w:eastAsia="仿宋_GB2312" w:cs="仿宋_GB2312"/>
          <w:sz w:val="32"/>
          <w:szCs w:val="32"/>
          <w:lang w:val="en-US" w:eastAsia="zh-CN"/>
        </w:rPr>
        <w:t>266.7</w:t>
      </w:r>
      <w:r>
        <w:rPr>
          <w:rFonts w:hint="eastAsia" w:ascii="仿宋_GB2312" w:hAnsi="仿宋_GB2312" w:eastAsia="仿宋_GB2312" w:cs="仿宋_GB2312"/>
          <w:sz w:val="32"/>
          <w:szCs w:val="32"/>
        </w:rPr>
        <w:t>万元，其中：日常公用经费决算数</w:t>
      </w:r>
      <w:r>
        <w:rPr>
          <w:rFonts w:hint="eastAsia" w:ascii="仿宋_GB2312" w:hAnsi="仿宋_GB2312" w:eastAsia="仿宋_GB2312" w:cs="仿宋_GB2312"/>
          <w:sz w:val="32"/>
          <w:szCs w:val="32"/>
          <w:lang w:val="en-US" w:eastAsia="zh-CN"/>
        </w:rPr>
        <w:t>266.7</w:t>
      </w:r>
      <w:r>
        <w:rPr>
          <w:rFonts w:hint="eastAsia" w:ascii="仿宋_GB2312" w:hAnsi="仿宋_GB2312" w:eastAsia="仿宋_GB2312" w:cs="仿宋_GB2312"/>
          <w:sz w:val="32"/>
          <w:szCs w:val="32"/>
        </w:rPr>
        <w:t>万元，项目支出中办公费、印刷费、水费、电费、物业管理费预算数分别为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万元、0万元、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万元、0万元。部门公用经费及非定额公用支出决算数与预算数的偏差程度为</w:t>
      </w: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w:t>
      </w:r>
    </w:p>
    <w:p>
      <w:pPr>
        <w:pStyle w:val="19"/>
        <w:rPr>
          <w:rFonts w:hint="eastAsia"/>
        </w:rPr>
      </w:pPr>
      <w:r>
        <w:rPr>
          <w:rFonts w:hint="eastAsia"/>
        </w:rPr>
        <w:t>表4-1</w:t>
      </w:r>
      <w:r>
        <w:rPr>
          <w:rFonts w:hint="eastAsia"/>
          <w:lang w:val="en-US" w:eastAsia="zh-CN"/>
        </w:rPr>
        <w:t xml:space="preserve">   </w:t>
      </w:r>
      <w:r>
        <w:rPr>
          <w:rFonts w:hint="eastAsia"/>
        </w:rPr>
        <w:t>2020</w:t>
      </w:r>
      <w:r>
        <w:t>年</w:t>
      </w:r>
      <w:r>
        <w:rPr>
          <w:rFonts w:hint="eastAsia"/>
          <w:lang w:eastAsia="zh-CN"/>
        </w:rPr>
        <w:t>县市场监督管理局</w:t>
      </w:r>
      <w:r>
        <w:rPr>
          <w:rFonts w:hint="eastAsia"/>
        </w:rPr>
        <w:t>部门公用经费及非定额公用支出预决算情况表</w:t>
      </w:r>
    </w:p>
    <w:tbl>
      <w:tblPr>
        <w:tblStyle w:val="12"/>
        <w:tblpPr w:leftFromText="180" w:rightFromText="180" w:vertAnchor="text" w:horzAnchor="page" w:tblpX="1955" w:tblpY="580"/>
        <w:tblOverlap w:val="never"/>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229"/>
        <w:gridCol w:w="1108"/>
        <w:gridCol w:w="1108"/>
        <w:gridCol w:w="1108"/>
        <w:gridCol w:w="1108"/>
        <w:gridCol w:w="1453"/>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trPr>
        <w:tc>
          <w:tcPr>
            <w:tcW w:w="976" w:type="dxa"/>
            <w:vMerge w:val="restart"/>
            <w:vAlign w:val="center"/>
          </w:tcPr>
          <w:p>
            <w:pPr>
              <w:pStyle w:val="20"/>
              <w:jc w:val="center"/>
              <w:rPr>
                <w:color w:val="auto"/>
              </w:rPr>
            </w:pPr>
          </w:p>
        </w:tc>
        <w:tc>
          <w:tcPr>
            <w:tcW w:w="1229" w:type="dxa"/>
            <w:vMerge w:val="restart"/>
            <w:vAlign w:val="center"/>
          </w:tcPr>
          <w:p>
            <w:pPr>
              <w:pStyle w:val="20"/>
              <w:jc w:val="center"/>
              <w:rPr>
                <w:b/>
                <w:color w:val="auto"/>
                <w:lang w:val="en-US"/>
              </w:rPr>
            </w:pPr>
            <w:r>
              <w:rPr>
                <w:rFonts w:hint="eastAsia"/>
                <w:b/>
                <w:color w:val="auto"/>
                <w:lang w:val="en-US"/>
              </w:rPr>
              <w:t>日常公用经费</w:t>
            </w:r>
          </w:p>
        </w:tc>
        <w:tc>
          <w:tcPr>
            <w:tcW w:w="5885" w:type="dxa"/>
            <w:gridSpan w:val="5"/>
            <w:vAlign w:val="center"/>
          </w:tcPr>
          <w:p>
            <w:pPr>
              <w:pStyle w:val="20"/>
              <w:jc w:val="center"/>
              <w:rPr>
                <w:b/>
                <w:color w:val="auto"/>
                <w:lang w:val="en-US"/>
              </w:rPr>
            </w:pPr>
            <w:r>
              <w:rPr>
                <w:rFonts w:hint="eastAsia"/>
                <w:b/>
                <w:color w:val="auto"/>
                <w:lang w:val="en-US"/>
              </w:rPr>
              <w:t>非定额公用支出</w:t>
            </w:r>
          </w:p>
        </w:tc>
        <w:tc>
          <w:tcPr>
            <w:tcW w:w="1008" w:type="dxa"/>
            <w:vMerge w:val="restart"/>
            <w:vAlign w:val="center"/>
          </w:tcPr>
          <w:p>
            <w:pPr>
              <w:pStyle w:val="20"/>
              <w:jc w:val="center"/>
              <w:rPr>
                <w:b/>
                <w:color w:val="auto"/>
                <w:lang w:val="en-US"/>
              </w:rPr>
            </w:pPr>
            <w:r>
              <w:rPr>
                <w:rFonts w:hint="eastAsia"/>
                <w:b/>
                <w:color w:val="auto"/>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76" w:type="dxa"/>
            <w:vMerge w:val="continue"/>
            <w:vAlign w:val="center"/>
          </w:tcPr>
          <w:p>
            <w:pPr>
              <w:pStyle w:val="20"/>
              <w:jc w:val="center"/>
              <w:rPr>
                <w:color w:val="auto"/>
              </w:rPr>
            </w:pPr>
          </w:p>
        </w:tc>
        <w:tc>
          <w:tcPr>
            <w:tcW w:w="1229" w:type="dxa"/>
            <w:vMerge w:val="continue"/>
            <w:vAlign w:val="center"/>
          </w:tcPr>
          <w:p>
            <w:pPr>
              <w:pStyle w:val="20"/>
              <w:jc w:val="center"/>
              <w:rPr>
                <w:color w:val="auto"/>
                <w:lang w:val="en-US"/>
              </w:rPr>
            </w:pPr>
          </w:p>
        </w:tc>
        <w:tc>
          <w:tcPr>
            <w:tcW w:w="1108" w:type="dxa"/>
            <w:vAlign w:val="center"/>
          </w:tcPr>
          <w:p>
            <w:pPr>
              <w:pStyle w:val="20"/>
              <w:jc w:val="center"/>
              <w:rPr>
                <w:b/>
                <w:color w:val="auto"/>
                <w:lang w:val="en-US"/>
              </w:rPr>
            </w:pPr>
            <w:r>
              <w:rPr>
                <w:rFonts w:hint="eastAsia"/>
                <w:b/>
                <w:color w:val="auto"/>
                <w:lang w:val="en-US"/>
              </w:rPr>
              <w:t>办公费</w:t>
            </w:r>
          </w:p>
        </w:tc>
        <w:tc>
          <w:tcPr>
            <w:tcW w:w="1108" w:type="dxa"/>
            <w:vAlign w:val="center"/>
          </w:tcPr>
          <w:p>
            <w:pPr>
              <w:pStyle w:val="20"/>
              <w:jc w:val="center"/>
              <w:rPr>
                <w:b/>
                <w:color w:val="auto"/>
                <w:lang w:val="en-US"/>
              </w:rPr>
            </w:pPr>
            <w:r>
              <w:rPr>
                <w:rFonts w:hint="eastAsia"/>
                <w:b/>
                <w:color w:val="auto"/>
                <w:lang w:val="en-US"/>
              </w:rPr>
              <w:t>印刷费</w:t>
            </w:r>
          </w:p>
        </w:tc>
        <w:tc>
          <w:tcPr>
            <w:tcW w:w="1108" w:type="dxa"/>
            <w:vAlign w:val="center"/>
          </w:tcPr>
          <w:p>
            <w:pPr>
              <w:pStyle w:val="20"/>
              <w:jc w:val="center"/>
              <w:rPr>
                <w:b/>
                <w:color w:val="auto"/>
                <w:lang w:val="en-US"/>
              </w:rPr>
            </w:pPr>
            <w:r>
              <w:rPr>
                <w:rFonts w:hint="eastAsia"/>
                <w:b/>
                <w:color w:val="auto"/>
                <w:lang w:val="en-US"/>
              </w:rPr>
              <w:t>水费</w:t>
            </w:r>
          </w:p>
        </w:tc>
        <w:tc>
          <w:tcPr>
            <w:tcW w:w="1108" w:type="dxa"/>
            <w:vAlign w:val="center"/>
          </w:tcPr>
          <w:p>
            <w:pPr>
              <w:pStyle w:val="20"/>
              <w:jc w:val="center"/>
              <w:rPr>
                <w:b/>
                <w:color w:val="auto"/>
                <w:lang w:val="en-US"/>
              </w:rPr>
            </w:pPr>
            <w:r>
              <w:rPr>
                <w:rFonts w:hint="eastAsia"/>
                <w:b/>
                <w:color w:val="auto"/>
                <w:lang w:val="en-US"/>
              </w:rPr>
              <w:t>电费</w:t>
            </w:r>
          </w:p>
        </w:tc>
        <w:tc>
          <w:tcPr>
            <w:tcW w:w="1453" w:type="dxa"/>
            <w:vAlign w:val="center"/>
          </w:tcPr>
          <w:p>
            <w:pPr>
              <w:pStyle w:val="20"/>
              <w:jc w:val="center"/>
              <w:rPr>
                <w:b/>
                <w:color w:val="auto"/>
                <w:lang w:val="en-US"/>
              </w:rPr>
            </w:pPr>
            <w:r>
              <w:rPr>
                <w:rFonts w:hint="eastAsia"/>
                <w:b/>
                <w:color w:val="auto"/>
                <w:lang w:val="en-US"/>
              </w:rPr>
              <w:t>物业管理费</w:t>
            </w:r>
          </w:p>
        </w:tc>
        <w:tc>
          <w:tcPr>
            <w:tcW w:w="1008" w:type="dxa"/>
            <w:vMerge w:val="continue"/>
            <w:vAlign w:val="center"/>
          </w:tcPr>
          <w:p>
            <w:pPr>
              <w:pStyle w:val="20"/>
              <w:jc w:val="center"/>
              <w:rPr>
                <w:b/>
                <w:color w:va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76" w:type="dxa"/>
            <w:vAlign w:val="center"/>
          </w:tcPr>
          <w:p>
            <w:pPr>
              <w:pStyle w:val="20"/>
              <w:jc w:val="center"/>
              <w:rPr>
                <w:color w:val="auto"/>
                <w:lang w:val="en-US"/>
              </w:rPr>
            </w:pPr>
            <w:r>
              <w:rPr>
                <w:rFonts w:hint="eastAsia"/>
                <w:b/>
                <w:bCs w:val="0"/>
                <w:color w:val="auto"/>
                <w:lang w:val="en-US"/>
              </w:rPr>
              <w:t>预算数</w:t>
            </w:r>
          </w:p>
        </w:tc>
        <w:tc>
          <w:tcPr>
            <w:tcW w:w="1229" w:type="dxa"/>
            <w:vAlign w:val="center"/>
          </w:tcPr>
          <w:p>
            <w:pPr>
              <w:pStyle w:val="20"/>
              <w:jc w:val="center"/>
              <w:rPr>
                <w:rFonts w:hint="default" w:eastAsia="仿宋_GB2312"/>
                <w:color w:val="auto"/>
                <w:lang w:val="en-US" w:eastAsia="zh-CN"/>
              </w:rPr>
            </w:pPr>
            <w:r>
              <w:rPr>
                <w:rFonts w:hint="eastAsia"/>
                <w:color w:val="auto"/>
                <w:lang w:val="en-US" w:eastAsia="zh-CN"/>
              </w:rPr>
              <w:t>290.9</w:t>
            </w:r>
          </w:p>
        </w:tc>
        <w:tc>
          <w:tcPr>
            <w:tcW w:w="1108" w:type="dxa"/>
            <w:vAlign w:val="center"/>
          </w:tcPr>
          <w:p>
            <w:pPr>
              <w:pStyle w:val="20"/>
              <w:jc w:val="center"/>
              <w:rPr>
                <w:color w:val="auto"/>
                <w:lang w:val="en-US"/>
              </w:rPr>
            </w:pPr>
            <w:r>
              <w:rPr>
                <w:rFonts w:hint="eastAsia"/>
                <w:color w:val="auto"/>
                <w:lang w:val="en-US"/>
              </w:rPr>
              <w:t>0</w:t>
            </w:r>
          </w:p>
        </w:tc>
        <w:tc>
          <w:tcPr>
            <w:tcW w:w="1108" w:type="dxa"/>
            <w:vAlign w:val="center"/>
          </w:tcPr>
          <w:p>
            <w:pPr>
              <w:pStyle w:val="20"/>
              <w:jc w:val="center"/>
              <w:rPr>
                <w:color w:val="auto"/>
                <w:lang w:val="en-US"/>
              </w:rPr>
            </w:pPr>
            <w:r>
              <w:rPr>
                <w:rFonts w:hint="eastAsia"/>
                <w:color w:val="auto"/>
                <w:lang w:val="en-US"/>
              </w:rPr>
              <w:t>0</w:t>
            </w:r>
          </w:p>
        </w:tc>
        <w:tc>
          <w:tcPr>
            <w:tcW w:w="1108" w:type="dxa"/>
            <w:vAlign w:val="center"/>
          </w:tcPr>
          <w:p>
            <w:pPr>
              <w:pStyle w:val="20"/>
              <w:jc w:val="center"/>
              <w:rPr>
                <w:color w:val="auto"/>
                <w:lang w:val="en-US"/>
              </w:rPr>
            </w:pPr>
            <w:r>
              <w:rPr>
                <w:rFonts w:hint="eastAsia"/>
                <w:color w:val="auto"/>
                <w:lang w:val="en-US"/>
              </w:rPr>
              <w:t>0</w:t>
            </w:r>
          </w:p>
        </w:tc>
        <w:tc>
          <w:tcPr>
            <w:tcW w:w="1108" w:type="dxa"/>
            <w:vAlign w:val="center"/>
          </w:tcPr>
          <w:p>
            <w:pPr>
              <w:pStyle w:val="20"/>
              <w:jc w:val="center"/>
              <w:rPr>
                <w:color w:val="auto"/>
                <w:lang w:val="en-US"/>
              </w:rPr>
            </w:pPr>
            <w:r>
              <w:rPr>
                <w:rFonts w:hint="eastAsia"/>
                <w:color w:val="auto"/>
                <w:lang w:val="en-US"/>
              </w:rPr>
              <w:t>0</w:t>
            </w:r>
          </w:p>
        </w:tc>
        <w:tc>
          <w:tcPr>
            <w:tcW w:w="1453" w:type="dxa"/>
            <w:vAlign w:val="center"/>
          </w:tcPr>
          <w:p>
            <w:pPr>
              <w:pStyle w:val="20"/>
              <w:jc w:val="center"/>
              <w:rPr>
                <w:color w:val="auto"/>
                <w:lang w:val="en-US"/>
              </w:rPr>
            </w:pPr>
            <w:r>
              <w:rPr>
                <w:rFonts w:hint="eastAsia"/>
                <w:color w:val="auto"/>
                <w:lang w:val="en-US"/>
              </w:rPr>
              <w:t>0</w:t>
            </w:r>
          </w:p>
        </w:tc>
        <w:tc>
          <w:tcPr>
            <w:tcW w:w="1008" w:type="dxa"/>
            <w:vAlign w:val="center"/>
          </w:tcPr>
          <w:p>
            <w:pPr>
              <w:pStyle w:val="20"/>
              <w:jc w:val="center"/>
              <w:rPr>
                <w:rFonts w:hint="default" w:eastAsia="仿宋_GB2312"/>
                <w:color w:val="auto"/>
                <w:lang w:val="en-US" w:eastAsia="zh-CN"/>
              </w:rPr>
            </w:pPr>
            <w:r>
              <w:rPr>
                <w:rFonts w:hint="eastAsia"/>
                <w:color w:val="auto"/>
                <w:lang w:val="en-US" w:eastAsia="zh-CN"/>
              </w:rPr>
              <w:t>290.9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6" w:type="dxa"/>
            <w:vAlign w:val="center"/>
          </w:tcPr>
          <w:p>
            <w:pPr>
              <w:pStyle w:val="20"/>
              <w:jc w:val="center"/>
              <w:rPr>
                <w:b/>
                <w:color w:val="auto"/>
                <w:lang w:val="en-US"/>
              </w:rPr>
            </w:pPr>
            <w:r>
              <w:rPr>
                <w:rFonts w:hint="eastAsia"/>
                <w:b/>
                <w:color w:val="auto"/>
                <w:lang w:val="en-US"/>
              </w:rPr>
              <w:t>决算数</w:t>
            </w:r>
          </w:p>
        </w:tc>
        <w:tc>
          <w:tcPr>
            <w:tcW w:w="1229" w:type="dxa"/>
            <w:vAlign w:val="center"/>
          </w:tcPr>
          <w:p>
            <w:pPr>
              <w:pStyle w:val="20"/>
              <w:jc w:val="center"/>
              <w:rPr>
                <w:rFonts w:hint="default" w:eastAsia="仿宋_GB2312"/>
                <w:b/>
                <w:color w:val="auto"/>
                <w:lang w:val="en-US" w:eastAsia="zh-CN"/>
              </w:rPr>
            </w:pPr>
            <w:r>
              <w:rPr>
                <w:rFonts w:hint="eastAsia"/>
                <w:b/>
                <w:color w:val="auto"/>
                <w:lang w:val="en-US" w:eastAsia="zh-CN"/>
              </w:rPr>
              <w:t>266.7</w:t>
            </w:r>
          </w:p>
        </w:tc>
        <w:tc>
          <w:tcPr>
            <w:tcW w:w="1108" w:type="dxa"/>
            <w:vAlign w:val="center"/>
          </w:tcPr>
          <w:p>
            <w:pPr>
              <w:pStyle w:val="20"/>
              <w:jc w:val="center"/>
              <w:rPr>
                <w:rFonts w:hint="eastAsia" w:eastAsia="仿宋_GB2312"/>
                <w:bCs w:val="0"/>
                <w:color w:val="auto"/>
                <w:lang w:val="en-US" w:eastAsia="zh-CN"/>
              </w:rPr>
            </w:pPr>
            <w:r>
              <w:rPr>
                <w:rFonts w:hint="eastAsia"/>
                <w:bCs w:val="0"/>
                <w:color w:val="auto"/>
                <w:lang w:val="en-US" w:eastAsia="zh-CN"/>
              </w:rPr>
              <w:t>0</w:t>
            </w:r>
          </w:p>
        </w:tc>
        <w:tc>
          <w:tcPr>
            <w:tcW w:w="1108" w:type="dxa"/>
            <w:vAlign w:val="center"/>
          </w:tcPr>
          <w:p>
            <w:pPr>
              <w:pStyle w:val="20"/>
              <w:ind w:firstLine="440" w:firstLineChars="200"/>
              <w:jc w:val="center"/>
              <w:rPr>
                <w:rFonts w:hint="eastAsia" w:eastAsia="仿宋_GB2312"/>
                <w:bCs w:val="0"/>
                <w:color w:val="auto"/>
                <w:lang w:val="en-US" w:eastAsia="zh-CN"/>
              </w:rPr>
            </w:pPr>
            <w:r>
              <w:rPr>
                <w:rFonts w:hint="eastAsia"/>
                <w:bCs w:val="0"/>
                <w:color w:val="auto"/>
                <w:lang w:val="en-US" w:eastAsia="zh-CN"/>
              </w:rPr>
              <w:t>0</w:t>
            </w:r>
          </w:p>
        </w:tc>
        <w:tc>
          <w:tcPr>
            <w:tcW w:w="1108" w:type="dxa"/>
            <w:vAlign w:val="center"/>
          </w:tcPr>
          <w:p>
            <w:pPr>
              <w:pStyle w:val="20"/>
              <w:jc w:val="center"/>
              <w:rPr>
                <w:bCs w:val="0"/>
                <w:color w:val="auto"/>
                <w:lang w:val="en-US"/>
              </w:rPr>
            </w:pPr>
            <w:r>
              <w:rPr>
                <w:rFonts w:hint="eastAsia"/>
                <w:bCs w:val="0"/>
                <w:color w:val="auto"/>
                <w:lang w:val="en-US"/>
              </w:rPr>
              <w:t>0</w:t>
            </w:r>
          </w:p>
        </w:tc>
        <w:tc>
          <w:tcPr>
            <w:tcW w:w="1108" w:type="dxa"/>
            <w:vAlign w:val="center"/>
          </w:tcPr>
          <w:p>
            <w:pPr>
              <w:pStyle w:val="20"/>
              <w:jc w:val="center"/>
              <w:rPr>
                <w:rFonts w:hint="eastAsia" w:eastAsia="仿宋_GB2312"/>
                <w:bCs w:val="0"/>
                <w:color w:val="auto"/>
                <w:lang w:val="en-US" w:eastAsia="zh-CN"/>
              </w:rPr>
            </w:pPr>
            <w:r>
              <w:rPr>
                <w:rFonts w:hint="eastAsia"/>
                <w:bCs w:val="0"/>
                <w:color w:val="auto"/>
                <w:lang w:val="en-US" w:eastAsia="zh-CN"/>
              </w:rPr>
              <w:t>0</w:t>
            </w:r>
          </w:p>
        </w:tc>
        <w:tc>
          <w:tcPr>
            <w:tcW w:w="1453" w:type="dxa"/>
            <w:vAlign w:val="center"/>
          </w:tcPr>
          <w:p>
            <w:pPr>
              <w:pStyle w:val="20"/>
              <w:jc w:val="center"/>
              <w:rPr>
                <w:bCs w:val="0"/>
                <w:color w:val="auto"/>
                <w:lang w:val="en-US"/>
              </w:rPr>
            </w:pPr>
            <w:r>
              <w:rPr>
                <w:rFonts w:hint="eastAsia"/>
                <w:bCs w:val="0"/>
                <w:color w:val="auto"/>
                <w:lang w:val="en-US"/>
              </w:rPr>
              <w:t>0</w:t>
            </w:r>
          </w:p>
        </w:tc>
        <w:tc>
          <w:tcPr>
            <w:tcW w:w="1008" w:type="dxa"/>
            <w:vAlign w:val="center"/>
          </w:tcPr>
          <w:p>
            <w:pPr>
              <w:pStyle w:val="20"/>
              <w:jc w:val="center"/>
              <w:rPr>
                <w:rFonts w:hint="default" w:eastAsia="仿宋_GB2312"/>
                <w:b/>
                <w:color w:val="auto"/>
                <w:lang w:val="en-US" w:eastAsia="zh-CN"/>
              </w:rPr>
            </w:pPr>
            <w:r>
              <w:rPr>
                <w:rFonts w:hint="eastAsia"/>
                <w:b/>
                <w:color w:val="auto"/>
                <w:lang w:val="en-US" w:eastAsia="zh-CN"/>
              </w:rPr>
              <w:t>266.7</w:t>
            </w:r>
          </w:p>
        </w:tc>
      </w:tr>
    </w:tbl>
    <w:p>
      <w:pPr>
        <w:pStyle w:val="19"/>
        <w:jc w:val="right"/>
      </w:pPr>
      <w:r>
        <w:rPr>
          <w:rFonts w:hint="eastAsia"/>
        </w:rPr>
        <w:t>单位</w:t>
      </w:r>
      <w:r>
        <w:t>：万元</w:t>
      </w:r>
    </w:p>
    <w:p>
      <w:pPr>
        <w:spacing w:line="56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该指标分值标准10分，根据指标评价标准和公式计算，预决算偏差程度在10%以内的，得5分。</w:t>
      </w:r>
    </w:p>
    <w:p>
      <w:pPr>
        <w:keepNext w:val="0"/>
        <w:keepLines w:val="0"/>
        <w:pageBreakBefore w:val="0"/>
        <w:widowControl w:val="0"/>
        <w:kinsoku/>
        <w:wordWrap/>
        <w:overflowPunct/>
        <w:topLinePunct w:val="0"/>
        <w:autoSpaceDE/>
        <w:autoSpaceDN/>
        <w:bidi w:val="0"/>
        <w:adjustRightInd/>
        <w:snapToGrid/>
        <w:spacing w:line="576" w:lineRule="exact"/>
        <w:ind w:left="420" w:left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（2）动态调整</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2020年，县市场监督管理局绩效监控调整取消额为0元，预算结余注销额为0万元。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该指标分值标准10分，根据指标评价标准和公式计算，得分10分。</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（3）执行进度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根据《旺苍县2021年度部门整体支出绩效评价指标体系》，部门预算执行进度在6、9、11月应达到序时进度的80%、90%、90%，即实际支出进度分别达到4</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75.2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77.6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，序时进度的</w:t>
      </w:r>
      <w:r>
        <w:rPr>
          <w:rFonts w:hint="eastAsia" w:ascii="仿宋_GB2312" w:hAnsi="仿宋_GB2312" w:eastAsia="仿宋_GB2312" w:cs="仿宋_GB2312"/>
          <w:sz w:val="32"/>
          <w:szCs w:val="32"/>
          <w:lang w:val="en-US" w:eastAsia="zh-CN"/>
        </w:rPr>
        <w:t>91%、100%、85%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县市场监督管理局</w:t>
      </w:r>
      <w:r>
        <w:rPr>
          <w:rFonts w:hint="eastAsia" w:ascii="仿宋_GB2312" w:hAnsi="仿宋_GB2312" w:eastAsia="仿宋_GB2312" w:cs="仿宋_GB2312"/>
          <w:sz w:val="32"/>
          <w:szCs w:val="32"/>
        </w:rPr>
        <w:t>2020年1-6月预算数</w:t>
      </w:r>
      <w:r>
        <w:rPr>
          <w:rFonts w:hint="eastAsia" w:ascii="仿宋_GB2312" w:hAnsi="仿宋_GB2312" w:eastAsia="仿宋_GB2312" w:cs="仿宋_GB2312"/>
          <w:sz w:val="32"/>
          <w:szCs w:val="32"/>
          <w:lang w:val="en-US" w:eastAsia="zh-CN"/>
        </w:rPr>
        <w:t>1918.48</w:t>
      </w:r>
      <w:r>
        <w:rPr>
          <w:rFonts w:hint="eastAsia" w:ascii="仿宋_GB2312" w:hAnsi="仿宋_GB2312" w:eastAsia="仿宋_GB2312" w:cs="仿宋_GB2312"/>
          <w:sz w:val="32"/>
          <w:szCs w:val="32"/>
        </w:rPr>
        <w:t>万元，执行数</w:t>
      </w:r>
      <w:r>
        <w:rPr>
          <w:rFonts w:hint="eastAsia" w:ascii="仿宋_GB2312" w:hAnsi="仿宋_GB2312" w:eastAsia="仿宋_GB2312" w:cs="仿宋_GB2312"/>
          <w:sz w:val="32"/>
          <w:szCs w:val="32"/>
          <w:lang w:val="en-US" w:eastAsia="zh-CN"/>
        </w:rPr>
        <w:t>872.9</w:t>
      </w:r>
      <w:r>
        <w:rPr>
          <w:rFonts w:hint="eastAsia" w:ascii="仿宋_GB2312" w:hAnsi="仿宋_GB2312" w:eastAsia="仿宋_GB2312" w:cs="仿宋_GB2312"/>
          <w:sz w:val="32"/>
          <w:szCs w:val="32"/>
        </w:rPr>
        <w:t>万元，执行进度</w:t>
      </w:r>
      <w:r>
        <w:rPr>
          <w:rFonts w:hint="eastAsia" w:ascii="仿宋_GB2312" w:hAnsi="仿宋_GB2312" w:eastAsia="仿宋_GB2312" w:cs="仿宋_GB2312"/>
          <w:sz w:val="32"/>
          <w:szCs w:val="32"/>
          <w:lang w:val="en-US" w:eastAsia="zh-CN"/>
        </w:rPr>
        <w:t>45.5</w:t>
      </w:r>
      <w:r>
        <w:rPr>
          <w:rFonts w:hint="eastAsia" w:ascii="仿宋_GB2312" w:hAnsi="仿宋_GB2312" w:eastAsia="仿宋_GB2312" w:cs="仿宋_GB2312"/>
          <w:sz w:val="32"/>
          <w:szCs w:val="32"/>
        </w:rPr>
        <w:t>；1-9月预算数</w:t>
      </w:r>
      <w:r>
        <w:rPr>
          <w:rFonts w:hint="eastAsia" w:ascii="仿宋_GB2312" w:hAnsi="仿宋_GB2312" w:eastAsia="仿宋_GB2312" w:cs="仿宋_GB2312"/>
          <w:sz w:val="32"/>
          <w:szCs w:val="32"/>
          <w:lang w:val="en-US" w:eastAsia="zh-CN"/>
        </w:rPr>
        <w:t>1918.48</w:t>
      </w:r>
      <w:r>
        <w:rPr>
          <w:rFonts w:hint="eastAsia" w:ascii="仿宋_GB2312" w:hAnsi="仿宋_GB2312" w:eastAsia="仿宋_GB2312" w:cs="仿宋_GB2312"/>
          <w:sz w:val="32"/>
          <w:szCs w:val="32"/>
        </w:rPr>
        <w:t>万元，执行数</w:t>
      </w:r>
      <w:r>
        <w:rPr>
          <w:rFonts w:hint="eastAsia" w:ascii="仿宋_GB2312" w:hAnsi="仿宋_GB2312" w:eastAsia="仿宋_GB2312" w:cs="仿宋_GB2312"/>
          <w:sz w:val="32"/>
          <w:szCs w:val="32"/>
          <w:lang w:val="en-US" w:eastAsia="zh-CN"/>
        </w:rPr>
        <w:t>1442.69</w:t>
      </w:r>
      <w:r>
        <w:rPr>
          <w:rFonts w:hint="eastAsia" w:ascii="仿宋_GB2312" w:hAnsi="仿宋_GB2312" w:eastAsia="仿宋_GB2312" w:cs="仿宋_GB2312"/>
          <w:sz w:val="32"/>
          <w:szCs w:val="32"/>
        </w:rPr>
        <w:t>万元，执行进度</w:t>
      </w:r>
      <w:r>
        <w:rPr>
          <w:rFonts w:hint="eastAsia" w:ascii="仿宋_GB2312" w:hAnsi="仿宋_GB2312" w:eastAsia="仿宋_GB2312" w:cs="仿宋_GB2312"/>
          <w:sz w:val="32"/>
          <w:szCs w:val="32"/>
          <w:lang w:val="en-US" w:eastAsia="zh-CN"/>
        </w:rPr>
        <w:t>75.2</w:t>
      </w:r>
      <w:r>
        <w:rPr>
          <w:rFonts w:hint="eastAsia" w:ascii="仿宋_GB2312" w:hAnsi="仿宋_GB2312" w:eastAsia="仿宋_GB2312" w:cs="仿宋_GB2312"/>
          <w:sz w:val="32"/>
          <w:szCs w:val="32"/>
        </w:rPr>
        <w:t>%；1-11月预算数</w:t>
      </w:r>
      <w:r>
        <w:rPr>
          <w:rFonts w:hint="eastAsia" w:ascii="仿宋_GB2312" w:hAnsi="仿宋_GB2312" w:eastAsia="仿宋_GB2312" w:cs="仿宋_GB2312"/>
          <w:sz w:val="32"/>
          <w:szCs w:val="32"/>
          <w:lang w:val="en-US" w:eastAsia="zh-CN"/>
        </w:rPr>
        <w:t>2299.6</w:t>
      </w:r>
      <w:r>
        <w:rPr>
          <w:rFonts w:hint="eastAsia" w:ascii="仿宋_GB2312" w:hAnsi="仿宋_GB2312" w:eastAsia="仿宋_GB2312" w:cs="仿宋_GB2312"/>
          <w:sz w:val="32"/>
          <w:szCs w:val="32"/>
        </w:rPr>
        <w:t>万元，执行数</w:t>
      </w:r>
      <w:r>
        <w:rPr>
          <w:rFonts w:hint="eastAsia" w:ascii="仿宋_GB2312" w:hAnsi="仿宋_GB2312" w:eastAsia="仿宋_GB2312" w:cs="仿宋_GB2312"/>
          <w:sz w:val="32"/>
          <w:szCs w:val="32"/>
          <w:lang w:val="en-US" w:eastAsia="zh-CN"/>
        </w:rPr>
        <w:t>1785.13</w:t>
      </w:r>
      <w:r>
        <w:rPr>
          <w:rFonts w:hint="eastAsia" w:ascii="仿宋_GB2312" w:hAnsi="仿宋_GB2312" w:eastAsia="仿宋_GB2312" w:cs="仿宋_GB2312"/>
          <w:sz w:val="32"/>
          <w:szCs w:val="32"/>
        </w:rPr>
        <w:t>万元，执行进度</w:t>
      </w:r>
      <w:r>
        <w:rPr>
          <w:rFonts w:hint="eastAsia" w:ascii="仿宋_GB2312" w:hAnsi="仿宋_GB2312" w:eastAsia="仿宋_GB2312" w:cs="仿宋_GB2312"/>
          <w:sz w:val="32"/>
          <w:szCs w:val="32"/>
          <w:lang w:val="en-US" w:eastAsia="zh-CN"/>
        </w:rPr>
        <w:t>77.6</w:t>
      </w:r>
      <w:r>
        <w:rPr>
          <w:rFonts w:hint="eastAsia" w:ascii="仿宋_GB2312" w:hAnsi="仿宋_GB2312" w:eastAsia="仿宋_GB2312" w:cs="仿宋_GB2312"/>
          <w:sz w:val="32"/>
          <w:szCs w:val="32"/>
        </w:rPr>
        <w:t>%。各阶段预算执行进度均未达到目标要求。</w:t>
      </w:r>
    </w:p>
    <w:p>
      <w:pPr>
        <w:pStyle w:val="19"/>
        <w:rPr>
          <w:sz w:val="28"/>
          <w:szCs w:val="28"/>
        </w:rPr>
      </w:pPr>
      <w:r>
        <w:rPr>
          <w:rFonts w:hint="eastAsia"/>
          <w:sz w:val="28"/>
          <w:szCs w:val="28"/>
        </w:rPr>
        <w:t>表4-2</w:t>
      </w:r>
      <w:r>
        <w:rPr>
          <w:rFonts w:hint="eastAsia"/>
          <w:sz w:val="28"/>
          <w:szCs w:val="28"/>
          <w:lang w:val="en-US" w:eastAsia="zh-CN"/>
        </w:rPr>
        <w:t xml:space="preserve">    </w:t>
      </w:r>
      <w:r>
        <w:rPr>
          <w:rFonts w:hint="eastAsia"/>
          <w:sz w:val="28"/>
          <w:szCs w:val="28"/>
        </w:rPr>
        <w:t>2020</w:t>
      </w:r>
      <w:r>
        <w:rPr>
          <w:sz w:val="28"/>
          <w:szCs w:val="28"/>
        </w:rPr>
        <w:t>年</w:t>
      </w:r>
      <w:r>
        <w:rPr>
          <w:rFonts w:hint="eastAsia"/>
          <w:sz w:val="28"/>
          <w:szCs w:val="28"/>
          <w:lang w:eastAsia="zh-CN"/>
        </w:rPr>
        <w:t>县市场监督管理局</w:t>
      </w:r>
      <w:r>
        <w:rPr>
          <w:rFonts w:hint="eastAsia"/>
          <w:sz w:val="28"/>
          <w:szCs w:val="28"/>
        </w:rPr>
        <w:t>部门预算执行进度表</w:t>
      </w:r>
    </w:p>
    <w:p>
      <w:pPr>
        <w:pStyle w:val="19"/>
        <w:tabs>
          <w:tab w:val="left" w:pos="7628"/>
          <w:tab w:val="right" w:pos="8968"/>
        </w:tabs>
        <w:jc w:val="left"/>
      </w:pPr>
      <w:r>
        <w:rPr>
          <w:rFonts w:hint="eastAsia"/>
          <w:lang w:eastAsia="zh-CN"/>
        </w:rPr>
        <w:tab/>
      </w:r>
      <w:r>
        <w:rPr>
          <w:rFonts w:hint="eastAsia"/>
          <w:lang w:eastAsia="zh-CN"/>
        </w:rPr>
        <w:tab/>
      </w:r>
      <w:r>
        <w:rPr>
          <w:rFonts w:hint="eastAsia"/>
        </w:rPr>
        <w:t>单位</w:t>
      </w:r>
      <w:r>
        <w:t>：万元</w:t>
      </w:r>
    </w:p>
    <w:tbl>
      <w:tblPr>
        <w:tblStyle w:val="12"/>
        <w:tblpPr w:leftFromText="180" w:rightFromText="180" w:vertAnchor="text" w:horzAnchor="page" w:tblpX="2136" w:tblpY="213"/>
        <w:tblOverlap w:val="never"/>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2221"/>
        <w:gridCol w:w="2221"/>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55" w:type="dxa"/>
            <w:vAlign w:val="center"/>
          </w:tcPr>
          <w:p>
            <w:pPr>
              <w:pStyle w:val="20"/>
              <w:jc w:val="center"/>
              <w:rPr>
                <w:color w:val="auto"/>
                <w:lang w:val="en-US"/>
              </w:rPr>
            </w:pPr>
            <w:r>
              <w:rPr>
                <w:rFonts w:hint="eastAsia"/>
                <w:b/>
                <w:bCs w:val="0"/>
                <w:color w:val="auto"/>
                <w:lang w:val="en-US"/>
              </w:rPr>
              <w:t>月份</w:t>
            </w:r>
          </w:p>
        </w:tc>
        <w:tc>
          <w:tcPr>
            <w:tcW w:w="2221" w:type="dxa"/>
            <w:vAlign w:val="center"/>
          </w:tcPr>
          <w:p>
            <w:pPr>
              <w:pStyle w:val="20"/>
              <w:jc w:val="center"/>
              <w:rPr>
                <w:color w:val="auto"/>
                <w:lang w:val="en-US"/>
              </w:rPr>
            </w:pPr>
            <w:r>
              <w:rPr>
                <w:rFonts w:hint="eastAsia"/>
                <w:color w:val="auto"/>
                <w:lang w:val="en-US"/>
              </w:rPr>
              <w:t>预算数</w:t>
            </w:r>
          </w:p>
        </w:tc>
        <w:tc>
          <w:tcPr>
            <w:tcW w:w="2221" w:type="dxa"/>
            <w:vAlign w:val="center"/>
          </w:tcPr>
          <w:p>
            <w:pPr>
              <w:pStyle w:val="20"/>
              <w:jc w:val="center"/>
              <w:rPr>
                <w:color w:val="auto"/>
                <w:lang w:val="en-US"/>
              </w:rPr>
            </w:pPr>
            <w:r>
              <w:rPr>
                <w:rFonts w:hint="eastAsia"/>
                <w:color w:val="auto"/>
                <w:lang w:val="en-US"/>
              </w:rPr>
              <w:t>执行数</w:t>
            </w:r>
          </w:p>
        </w:tc>
        <w:tc>
          <w:tcPr>
            <w:tcW w:w="2221" w:type="dxa"/>
            <w:vAlign w:val="center"/>
          </w:tcPr>
          <w:p>
            <w:pPr>
              <w:pStyle w:val="20"/>
              <w:jc w:val="center"/>
              <w:rPr>
                <w:color w:val="auto"/>
                <w:lang w:val="en-US"/>
              </w:rPr>
            </w:pPr>
            <w:r>
              <w:rPr>
                <w:rFonts w:hint="eastAsia"/>
                <w:color w:val="auto"/>
                <w:lang w:val="en-US"/>
              </w:rPr>
              <w:t>实际支付进度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55" w:type="dxa"/>
            <w:vAlign w:val="center"/>
          </w:tcPr>
          <w:p>
            <w:pPr>
              <w:pStyle w:val="20"/>
              <w:jc w:val="center"/>
              <w:rPr>
                <w:b/>
                <w:color w:val="auto"/>
                <w:lang w:val="en-US"/>
              </w:rPr>
            </w:pPr>
            <w:r>
              <w:rPr>
                <w:rFonts w:hint="eastAsia"/>
                <w:b/>
                <w:color w:val="auto"/>
                <w:lang w:val="en-US"/>
              </w:rPr>
              <w:t>1-6月</w:t>
            </w:r>
          </w:p>
        </w:tc>
        <w:tc>
          <w:tcPr>
            <w:tcW w:w="2221" w:type="dxa"/>
            <w:vAlign w:val="center"/>
          </w:tcPr>
          <w:p>
            <w:pPr>
              <w:pStyle w:val="20"/>
              <w:jc w:val="center"/>
              <w:rPr>
                <w:rFonts w:hint="default" w:eastAsia="仿宋_GB2312"/>
                <w:bCs w:val="0"/>
                <w:color w:val="auto"/>
                <w:lang w:val="en-US" w:eastAsia="zh-CN"/>
              </w:rPr>
            </w:pPr>
            <w:r>
              <w:rPr>
                <w:rFonts w:hint="eastAsia"/>
                <w:bCs w:val="0"/>
                <w:color w:val="auto"/>
                <w:lang w:val="en-US" w:eastAsia="zh-CN"/>
              </w:rPr>
              <w:t>1918.48</w:t>
            </w:r>
          </w:p>
        </w:tc>
        <w:tc>
          <w:tcPr>
            <w:tcW w:w="2221" w:type="dxa"/>
            <w:vAlign w:val="center"/>
          </w:tcPr>
          <w:p>
            <w:pPr>
              <w:pStyle w:val="20"/>
              <w:jc w:val="center"/>
              <w:rPr>
                <w:rFonts w:hint="default" w:eastAsia="仿宋_GB2312"/>
                <w:bCs w:val="0"/>
                <w:color w:val="auto"/>
                <w:lang w:val="en-US" w:eastAsia="zh-CN"/>
              </w:rPr>
            </w:pPr>
            <w:r>
              <w:rPr>
                <w:rFonts w:hint="eastAsia"/>
                <w:bCs w:val="0"/>
                <w:color w:val="auto"/>
                <w:lang w:val="en-US" w:eastAsia="zh-CN"/>
              </w:rPr>
              <w:t>872.9</w:t>
            </w:r>
          </w:p>
        </w:tc>
        <w:tc>
          <w:tcPr>
            <w:tcW w:w="2221" w:type="dxa"/>
            <w:vAlign w:val="center"/>
          </w:tcPr>
          <w:p>
            <w:pPr>
              <w:pStyle w:val="20"/>
              <w:jc w:val="center"/>
              <w:rPr>
                <w:rFonts w:hint="default" w:eastAsia="仿宋_GB2312"/>
                <w:bCs w:val="0"/>
                <w:color w:val="auto"/>
                <w:lang w:val="en-US" w:eastAsia="zh-CN"/>
              </w:rPr>
            </w:pPr>
            <w:r>
              <w:rPr>
                <w:rFonts w:hint="eastAsia"/>
                <w:bCs w:val="0"/>
                <w:color w:val="auto"/>
                <w:lang w:val="en-US" w:eastAsia="zh-CN"/>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55" w:type="dxa"/>
            <w:vAlign w:val="center"/>
          </w:tcPr>
          <w:p>
            <w:pPr>
              <w:pStyle w:val="20"/>
              <w:jc w:val="center"/>
              <w:rPr>
                <w:b/>
                <w:color w:val="auto"/>
                <w:lang w:val="en-US"/>
              </w:rPr>
            </w:pPr>
            <w:r>
              <w:rPr>
                <w:rFonts w:hint="eastAsia"/>
                <w:b/>
                <w:color w:val="auto"/>
                <w:lang w:val="en-US"/>
              </w:rPr>
              <w:t>1-9月</w:t>
            </w:r>
          </w:p>
        </w:tc>
        <w:tc>
          <w:tcPr>
            <w:tcW w:w="2221" w:type="dxa"/>
            <w:vAlign w:val="center"/>
          </w:tcPr>
          <w:p>
            <w:pPr>
              <w:pStyle w:val="20"/>
              <w:jc w:val="center"/>
              <w:rPr>
                <w:rFonts w:hint="default" w:eastAsia="仿宋_GB2312"/>
                <w:bCs w:val="0"/>
                <w:color w:val="auto"/>
                <w:lang w:val="en-US" w:eastAsia="zh-CN"/>
              </w:rPr>
            </w:pPr>
            <w:r>
              <w:rPr>
                <w:rFonts w:hint="eastAsia"/>
                <w:bCs w:val="0"/>
                <w:color w:val="auto"/>
                <w:lang w:val="en-US" w:eastAsia="zh-CN"/>
              </w:rPr>
              <w:t>1918.48</w:t>
            </w:r>
          </w:p>
        </w:tc>
        <w:tc>
          <w:tcPr>
            <w:tcW w:w="2221" w:type="dxa"/>
            <w:vAlign w:val="center"/>
          </w:tcPr>
          <w:p>
            <w:pPr>
              <w:pStyle w:val="20"/>
              <w:jc w:val="center"/>
              <w:rPr>
                <w:rFonts w:hint="default" w:eastAsia="仿宋_GB2312"/>
                <w:bCs w:val="0"/>
                <w:color w:val="auto"/>
                <w:lang w:val="en-US" w:eastAsia="zh-CN"/>
              </w:rPr>
            </w:pPr>
            <w:r>
              <w:rPr>
                <w:rFonts w:hint="eastAsia"/>
                <w:bCs w:val="0"/>
                <w:color w:val="auto"/>
                <w:lang w:val="en-US" w:eastAsia="zh-CN"/>
              </w:rPr>
              <w:t>1442.69</w:t>
            </w:r>
          </w:p>
        </w:tc>
        <w:tc>
          <w:tcPr>
            <w:tcW w:w="2221" w:type="dxa"/>
            <w:vAlign w:val="center"/>
          </w:tcPr>
          <w:p>
            <w:pPr>
              <w:pStyle w:val="20"/>
              <w:jc w:val="center"/>
              <w:rPr>
                <w:rFonts w:hint="default" w:eastAsia="仿宋_GB2312"/>
                <w:bCs w:val="0"/>
                <w:color w:val="auto"/>
                <w:lang w:val="en-US" w:eastAsia="zh-CN"/>
              </w:rPr>
            </w:pPr>
            <w:r>
              <w:rPr>
                <w:rFonts w:hint="eastAsia"/>
                <w:bCs w:val="0"/>
                <w:color w:val="auto"/>
                <w:lang w:val="en-US" w:eastAsia="zh-CN"/>
              </w:rPr>
              <w:t>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955" w:type="dxa"/>
            <w:vAlign w:val="center"/>
          </w:tcPr>
          <w:p>
            <w:pPr>
              <w:pStyle w:val="20"/>
              <w:jc w:val="center"/>
              <w:rPr>
                <w:b/>
                <w:color w:val="auto"/>
                <w:lang w:val="en-US"/>
              </w:rPr>
            </w:pPr>
            <w:r>
              <w:rPr>
                <w:rFonts w:hint="eastAsia"/>
                <w:b/>
                <w:color w:val="auto"/>
                <w:lang w:val="en-US"/>
              </w:rPr>
              <w:t>1-11月</w:t>
            </w:r>
          </w:p>
        </w:tc>
        <w:tc>
          <w:tcPr>
            <w:tcW w:w="2221" w:type="dxa"/>
            <w:vAlign w:val="center"/>
          </w:tcPr>
          <w:p>
            <w:pPr>
              <w:pStyle w:val="20"/>
              <w:jc w:val="center"/>
              <w:rPr>
                <w:rFonts w:hint="default" w:eastAsia="仿宋_GB2312"/>
                <w:bCs w:val="0"/>
                <w:color w:val="auto"/>
                <w:lang w:val="en-US" w:eastAsia="zh-CN"/>
              </w:rPr>
            </w:pPr>
            <w:r>
              <w:rPr>
                <w:rFonts w:hint="eastAsia"/>
                <w:bCs w:val="0"/>
                <w:color w:val="auto"/>
                <w:lang w:val="en-US" w:eastAsia="zh-CN"/>
              </w:rPr>
              <w:t>2299.6</w:t>
            </w:r>
          </w:p>
        </w:tc>
        <w:tc>
          <w:tcPr>
            <w:tcW w:w="2221" w:type="dxa"/>
            <w:vAlign w:val="center"/>
          </w:tcPr>
          <w:p>
            <w:pPr>
              <w:pStyle w:val="20"/>
              <w:jc w:val="center"/>
              <w:rPr>
                <w:rFonts w:hint="default" w:eastAsia="仿宋_GB2312"/>
                <w:bCs w:val="0"/>
                <w:color w:val="auto"/>
                <w:lang w:val="en-US" w:eastAsia="zh-CN"/>
              </w:rPr>
            </w:pPr>
            <w:r>
              <w:rPr>
                <w:rFonts w:hint="eastAsia"/>
                <w:bCs w:val="0"/>
                <w:color w:val="auto"/>
                <w:lang w:val="en-US" w:eastAsia="zh-CN"/>
              </w:rPr>
              <w:t>1785.13</w:t>
            </w:r>
          </w:p>
        </w:tc>
        <w:tc>
          <w:tcPr>
            <w:tcW w:w="2221" w:type="dxa"/>
            <w:vAlign w:val="center"/>
          </w:tcPr>
          <w:p>
            <w:pPr>
              <w:pStyle w:val="20"/>
              <w:jc w:val="center"/>
              <w:rPr>
                <w:rFonts w:hint="default" w:eastAsia="仿宋_GB2312"/>
                <w:bCs w:val="0"/>
                <w:color w:val="auto"/>
                <w:lang w:val="en-US" w:eastAsia="zh-CN"/>
              </w:rPr>
            </w:pPr>
            <w:r>
              <w:rPr>
                <w:rFonts w:hint="eastAsia"/>
                <w:bCs w:val="0"/>
                <w:color w:val="auto"/>
                <w:lang w:val="en-US" w:eastAsia="zh-CN"/>
              </w:rPr>
              <w:t>77.6%</w:t>
            </w:r>
          </w:p>
        </w:tc>
      </w:tr>
    </w:tbl>
    <w:p>
      <w:pPr>
        <w:pStyle w:val="19"/>
        <w:ind w:firstLine="482" w:firstLineChars="200"/>
        <w:jc w:val="right"/>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该指标分值标准10分，根据指标评价标准和公式计算，得</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3.完成结果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（1）预算完成</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县市场监督管理局</w:t>
      </w:r>
      <w:r>
        <w:rPr>
          <w:rFonts w:hint="eastAsia" w:ascii="仿宋_GB2312" w:hAnsi="仿宋_GB2312" w:eastAsia="仿宋_GB2312" w:cs="仿宋_GB2312"/>
          <w:sz w:val="32"/>
          <w:szCs w:val="32"/>
        </w:rPr>
        <w:t>2020年部门财政收入预算</w:t>
      </w:r>
      <w:r>
        <w:rPr>
          <w:rFonts w:hint="eastAsia" w:ascii="仿宋_GB2312" w:hAnsi="仿宋_GB2312" w:eastAsia="仿宋_GB2312" w:cs="仿宋_GB2312"/>
          <w:sz w:val="32"/>
          <w:szCs w:val="32"/>
          <w:lang w:val="en-US" w:eastAsia="zh-CN"/>
        </w:rPr>
        <w:t>2618.49</w:t>
      </w:r>
      <w:r>
        <w:rPr>
          <w:rFonts w:hint="eastAsia" w:ascii="仿宋_GB2312" w:hAnsi="仿宋_GB2312" w:eastAsia="仿宋_GB2312" w:cs="仿宋_GB2312"/>
          <w:sz w:val="32"/>
          <w:szCs w:val="32"/>
        </w:rPr>
        <w:t>万元，全年实际执行</w:t>
      </w:r>
      <w:r>
        <w:rPr>
          <w:rFonts w:hint="eastAsia" w:ascii="仿宋_GB2312" w:hAnsi="仿宋_GB2312" w:eastAsia="仿宋_GB2312" w:cs="仿宋_GB2312"/>
          <w:sz w:val="32"/>
          <w:szCs w:val="32"/>
          <w:lang w:val="en-US" w:eastAsia="zh-CN"/>
        </w:rPr>
        <w:t>2512.57</w:t>
      </w:r>
      <w:r>
        <w:rPr>
          <w:rFonts w:hint="eastAsia" w:ascii="仿宋_GB2312" w:hAnsi="仿宋_GB2312" w:eastAsia="仿宋_GB2312" w:cs="仿宋_GB2312"/>
          <w:sz w:val="32"/>
          <w:szCs w:val="32"/>
        </w:rPr>
        <w:t>万元，执行进度</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该指标分值标准10分，根据指标评价标准和公式计算，得分</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分。</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（2）违规记录 </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依据《旺苍县财政局关于开展“三公”经费、违纪违规乱发钱物等专项检查的通知》（旺财办〔2020〕23号）文件要求，旺苍县财政局对</w:t>
      </w:r>
      <w:r>
        <w:rPr>
          <w:rFonts w:hint="eastAsia" w:ascii="仿宋_GB2312" w:hAnsi="仿宋_GB2312" w:eastAsia="仿宋_GB2312" w:cs="仿宋_GB2312"/>
          <w:sz w:val="32"/>
          <w:szCs w:val="32"/>
          <w:lang w:eastAsia="zh-CN"/>
        </w:rPr>
        <w:t>县市场监督管理局</w:t>
      </w:r>
      <w:r>
        <w:rPr>
          <w:rFonts w:hint="eastAsia" w:ascii="仿宋_GB2312" w:hAnsi="仿宋_GB2312" w:eastAsia="仿宋_GB2312" w:cs="仿宋_GB2312"/>
          <w:sz w:val="32"/>
          <w:szCs w:val="32"/>
        </w:rPr>
        <w:t>开展检查时发现存在以下问题：1、财务资料附件不齐全，印刷的宣传资料无分发明细、使用的电脑耗材无购买序时清单。2、财务处理不规范，将培训费、差旅费误列入公务接待费,水电费误列入公务用车费。。</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该指标分值标准10分，根据指标评价标准和公式计算，得分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分。扣</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sz w:val="32"/>
          <w:szCs w:val="32"/>
        </w:rPr>
        <w:t>（二）绩效结果应用分析</w:t>
      </w:r>
    </w:p>
    <w:p>
      <w:pPr>
        <w:keepNext w:val="0"/>
        <w:keepLines w:val="0"/>
        <w:pageBreakBefore w:val="0"/>
        <w:widowControl w:val="0"/>
        <w:tabs>
          <w:tab w:val="left" w:pos="5696"/>
        </w:tabs>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1.自评质量</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县市场监督管理局</w:t>
      </w:r>
      <w:r>
        <w:rPr>
          <w:rFonts w:hint="eastAsia" w:ascii="仿宋_GB2312" w:hAnsi="仿宋_GB2312" w:eastAsia="仿宋_GB2312" w:cs="仿宋_GB2312"/>
          <w:sz w:val="32"/>
          <w:szCs w:val="32"/>
        </w:rPr>
        <w:t>2020年部门整体支出绩效自评得分9</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分（除自评质量指标外，满分96分）。根据现场评价情况，评价组对</w:t>
      </w:r>
      <w:r>
        <w:rPr>
          <w:rFonts w:hint="eastAsia" w:ascii="仿宋_GB2312" w:hAnsi="仿宋_GB2312" w:eastAsia="仿宋_GB2312" w:cs="仿宋_GB2312"/>
          <w:sz w:val="32"/>
          <w:szCs w:val="32"/>
          <w:lang w:eastAsia="zh-CN"/>
        </w:rPr>
        <w:t>县市场监督管理局</w:t>
      </w:r>
      <w:r>
        <w:rPr>
          <w:rFonts w:hint="eastAsia" w:ascii="仿宋_GB2312" w:hAnsi="仿宋_GB2312" w:eastAsia="仿宋_GB2312" w:cs="仿宋_GB2312"/>
          <w:sz w:val="32"/>
          <w:szCs w:val="32"/>
        </w:rPr>
        <w:t>的考评得分为</w:t>
      </w:r>
      <w:r>
        <w:rPr>
          <w:rFonts w:hint="eastAsia" w:ascii="仿宋_GB2312" w:hAnsi="仿宋_GB2312" w:eastAsia="仿宋_GB2312" w:cs="仿宋_GB2312"/>
          <w:sz w:val="32"/>
          <w:szCs w:val="32"/>
          <w:lang w:val="en-US" w:eastAsia="zh-CN"/>
        </w:rPr>
        <w:t>83.5</w:t>
      </w:r>
      <w:r>
        <w:rPr>
          <w:rFonts w:hint="eastAsia" w:ascii="仿宋_GB2312" w:hAnsi="仿宋_GB2312" w:eastAsia="仿宋_GB2312" w:cs="仿宋_GB2312"/>
          <w:sz w:val="32"/>
          <w:szCs w:val="32"/>
        </w:rPr>
        <w:t>分（除自评质量指标外，满分96分）。</w:t>
      </w:r>
      <w:r>
        <w:rPr>
          <w:rFonts w:hint="eastAsia" w:ascii="仿宋_GB2312" w:hAnsi="仿宋_GB2312" w:eastAsia="仿宋_GB2312" w:cs="仿宋_GB2312"/>
          <w:sz w:val="32"/>
          <w:szCs w:val="32"/>
          <w:lang w:eastAsia="zh-CN"/>
        </w:rPr>
        <w:t>县市场监督管理局</w:t>
      </w:r>
      <w:r>
        <w:rPr>
          <w:rFonts w:hint="eastAsia" w:ascii="仿宋_GB2312" w:hAnsi="仿宋_GB2312" w:eastAsia="仿宋_GB2312" w:cs="仿宋_GB2312"/>
          <w:sz w:val="32"/>
          <w:szCs w:val="32"/>
        </w:rPr>
        <w:t>自评得分与评价组考评分的差异为</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该指标分值标准4分，根据指标评价标准和公式计算，在10%-20%的，扣2分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得分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2.信息公开</w:t>
      </w:r>
    </w:p>
    <w:p>
      <w:pPr>
        <w:pStyle w:val="2"/>
        <w:keepNext w:val="0"/>
        <w:keepLines w:val="0"/>
        <w:pageBreakBefore w:val="0"/>
        <w:widowControl w:val="0"/>
        <w:tabs>
          <w:tab w:val="left" w:pos="362"/>
        </w:tabs>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（1）目标公开</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按照财政局要求，</w:t>
      </w:r>
      <w:r>
        <w:rPr>
          <w:rFonts w:hint="eastAsia" w:ascii="仿宋_GB2312" w:hAnsi="仿宋_GB2312" w:eastAsia="仿宋_GB2312" w:cs="仿宋_GB2312"/>
          <w:sz w:val="32"/>
          <w:szCs w:val="32"/>
          <w:lang w:eastAsia="zh-CN"/>
        </w:rPr>
        <w:t>县市场监督管理局</w:t>
      </w:r>
      <w:r>
        <w:rPr>
          <w:rFonts w:hint="eastAsia" w:ascii="仿宋_GB2312" w:hAnsi="仿宋_GB2312" w:eastAsia="仿宋_GB2312" w:cs="仿宋_GB2312"/>
          <w:sz w:val="32"/>
          <w:szCs w:val="32"/>
        </w:rPr>
        <w:t>绩效目标说明已按要求随部门预算在政府网站向社会公开。</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该指标分值标准4分，根据指标评价标准和公式计算，得分4分。</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（2）自评公开。</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按照财政局要求，</w:t>
      </w:r>
      <w:r>
        <w:rPr>
          <w:rFonts w:hint="eastAsia" w:ascii="仿宋_GB2312" w:hAnsi="仿宋_GB2312" w:eastAsia="仿宋_GB2312" w:cs="仿宋_GB2312"/>
          <w:sz w:val="32"/>
          <w:szCs w:val="32"/>
          <w:lang w:eastAsia="zh-CN"/>
        </w:rPr>
        <w:t>县市场监督管理局</w:t>
      </w:r>
      <w:r>
        <w:rPr>
          <w:rFonts w:hint="eastAsia" w:ascii="仿宋_GB2312" w:hAnsi="仿宋_GB2312" w:eastAsia="仿宋_GB2312" w:cs="仿宋_GB2312"/>
          <w:sz w:val="32"/>
          <w:szCs w:val="32"/>
        </w:rPr>
        <w:t xml:space="preserve">并将部门整体绩效自评情况和自行组织的评价情况随同决算公开。 </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该指标分值标准4分，根据指标评价标准和公式计算，得分4分。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3.整改反馈</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县市场监督管理局</w:t>
      </w:r>
      <w:r>
        <w:rPr>
          <w:rFonts w:hint="eastAsia" w:ascii="仿宋_GB2312" w:hAnsi="仿宋_GB2312" w:eastAsia="仿宋_GB2312" w:cs="仿宋_GB2312"/>
          <w:sz w:val="32"/>
          <w:szCs w:val="32"/>
        </w:rPr>
        <w:t>按照《旺苍县财政局关于“三公”经费、违纪违规乱发钱物等专项检查发现问题的整改通知》（旺财办〔2020〕46号）要求按时将整改报告报送财政局，并整改到位，不扣分。做到了按时向财政部门报送相应绩效自评报告，不扣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该指标分值标准4分，根据指标评价标准和公式计算，得分4分。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四、存在的主要问题</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（一）绩效目标编制方面存在的问题。</w:t>
      </w:r>
      <w:r>
        <w:rPr>
          <w:rFonts w:hint="eastAsia" w:ascii="仿宋_GB2312" w:hAnsi="仿宋_GB2312" w:eastAsia="仿宋_GB2312" w:cs="仿宋_GB2312"/>
          <w:sz w:val="32"/>
          <w:szCs w:val="32"/>
          <w:lang w:eastAsia="zh-CN"/>
        </w:rPr>
        <w:t>县市场监督管理局在预算绩效目标编制上，总体上能按照《</w:t>
      </w:r>
      <w:r>
        <w:rPr>
          <w:rFonts w:hint="eastAsia" w:ascii="仿宋_GB2312" w:hAnsi="仿宋_GB2312" w:eastAsia="仿宋_GB2312" w:cs="仿宋_GB2312"/>
          <w:sz w:val="32"/>
          <w:szCs w:val="32"/>
        </w:rPr>
        <w:t>旺苍县预算绩效目标管理办法》</w:t>
      </w:r>
      <w:r>
        <w:rPr>
          <w:rFonts w:hint="eastAsia" w:ascii="仿宋_GB2312" w:hAnsi="仿宋_GB2312" w:eastAsia="仿宋_GB2312" w:cs="仿宋_GB2312"/>
          <w:sz w:val="32"/>
          <w:szCs w:val="32"/>
          <w:lang w:eastAsia="zh-CN"/>
        </w:rPr>
        <w:t>进行编制，但在编制年度总体绩效目标未能反映出单位实际目标情况，部分指标不能细化、量化。</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（二）预算执行方面存在的问题。</w:t>
      </w:r>
      <w:r>
        <w:rPr>
          <w:rFonts w:hint="eastAsia" w:ascii="仿宋_GB2312" w:hAnsi="仿宋_GB2312" w:eastAsia="仿宋_GB2312" w:cs="仿宋_GB2312"/>
          <w:kern w:val="2"/>
          <w:sz w:val="32"/>
          <w:szCs w:val="32"/>
          <w:lang w:val="en-US" w:eastAsia="zh-CN" w:bidi="ar-SA"/>
        </w:rPr>
        <w:t>县市场监督管理局预算编制总体能按照要求，开展预算编制，但在预算执行上，尤其是商品和服务支出方面预算与执行偏差较大。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五、整改措施及建议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（一）强化人员管理。</w:t>
      </w:r>
      <w:r>
        <w:rPr>
          <w:rFonts w:hint="eastAsia" w:ascii="仿宋_GB2312" w:hAnsi="仿宋_GB2312" w:eastAsia="仿宋_GB2312" w:cs="仿宋_GB2312"/>
          <w:sz w:val="32"/>
          <w:szCs w:val="32"/>
          <w:lang w:eastAsia="zh-CN"/>
        </w:rPr>
        <w:t>要加强人员的学习、培训，做好预算绩效管理要紧紧围绕单位本年工作目标编制整体支出绩效目标，对能细化、量化的项，要尽可能细化、量化。</w:t>
      </w: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 xml:space="preserve">    （二）强化预算执行。</w:t>
      </w:r>
      <w:r>
        <w:rPr>
          <w:rFonts w:hint="eastAsia" w:ascii="仿宋_GB2312" w:hAnsi="仿宋_GB2312" w:eastAsia="仿宋_GB2312" w:cs="仿宋_GB2312"/>
          <w:sz w:val="32"/>
          <w:szCs w:val="32"/>
          <w:lang w:val="en-US" w:eastAsia="zh-CN"/>
        </w:rPr>
        <w:t>要切实根据预算编制情况，开展本年度预算执行，严禁超预算、无预算执行，切实提高预算执行的准确度。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adjustRightInd w:val="0"/>
        <w:snapToGrid w:val="0"/>
        <w:spacing w:line="800" w:lineRule="exact"/>
        <w:jc w:val="center"/>
        <w:rPr>
          <w:rFonts w:ascii="Times New Roman" w:hAnsi="Times New Roman" w:eastAsia="宋体" w:cs="Times New Roman"/>
          <w:kern w:val="0"/>
          <w:sz w:val="52"/>
          <w:szCs w:val="52"/>
        </w:rPr>
      </w:pPr>
      <w:bookmarkStart w:id="3" w:name="_Toc21875857"/>
      <w:bookmarkStart w:id="4" w:name="_Toc21264315"/>
    </w:p>
    <w:p>
      <w:pPr>
        <w:widowControl/>
        <w:adjustRightInd w:val="0"/>
        <w:snapToGrid w:val="0"/>
        <w:spacing w:line="800" w:lineRule="exact"/>
        <w:jc w:val="center"/>
        <w:rPr>
          <w:rFonts w:ascii="Times New Roman" w:hAnsi="Times New Roman" w:eastAsia="宋体" w:cs="Times New Roman"/>
          <w:kern w:val="0"/>
          <w:sz w:val="52"/>
          <w:szCs w:val="52"/>
        </w:rPr>
      </w:pPr>
    </w:p>
    <w:p>
      <w:pPr>
        <w:widowControl/>
        <w:adjustRightInd w:val="0"/>
        <w:snapToGrid w:val="0"/>
        <w:spacing w:line="800" w:lineRule="exact"/>
        <w:jc w:val="center"/>
        <w:rPr>
          <w:rFonts w:ascii="Times New Roman" w:hAnsi="Times New Roman" w:eastAsia="宋体" w:cs="Times New Roman"/>
          <w:b/>
          <w:kern w:val="0"/>
          <w:sz w:val="48"/>
          <w:szCs w:val="48"/>
        </w:rPr>
      </w:pPr>
      <w:bookmarkStart w:id="5" w:name="_Toc25408935"/>
      <w:bookmarkStart w:id="6" w:name="_Toc25408840"/>
      <w:bookmarkStart w:id="7" w:name="_Toc24809328"/>
      <w:bookmarkStart w:id="8" w:name="_Toc22296531"/>
      <w:bookmarkStart w:id="9" w:name="_Toc24808797"/>
    </w:p>
    <w:p>
      <w:pPr>
        <w:widowControl/>
        <w:adjustRightInd w:val="0"/>
        <w:snapToGrid w:val="0"/>
        <w:spacing w:line="800" w:lineRule="exact"/>
        <w:jc w:val="center"/>
        <w:rPr>
          <w:rFonts w:ascii="Times New Roman" w:hAnsi="Times New Roman" w:eastAsia="宋体" w:cs="Times New Roman"/>
          <w:b/>
          <w:kern w:val="0"/>
          <w:sz w:val="48"/>
          <w:szCs w:val="48"/>
        </w:rPr>
      </w:pPr>
    </w:p>
    <w:p>
      <w:pPr>
        <w:widowControl/>
        <w:adjustRightInd w:val="0"/>
        <w:snapToGrid w:val="0"/>
        <w:spacing w:line="800" w:lineRule="exact"/>
        <w:jc w:val="center"/>
        <w:rPr>
          <w:rFonts w:ascii="Times New Roman" w:hAnsi="Times New Roman" w:eastAsia="宋体" w:cs="Times New Roman"/>
          <w:b/>
          <w:kern w:val="0"/>
          <w:sz w:val="48"/>
          <w:szCs w:val="48"/>
        </w:rPr>
      </w:pPr>
    </w:p>
    <w:p>
      <w:pPr>
        <w:widowControl/>
        <w:adjustRightInd w:val="0"/>
        <w:snapToGrid w:val="0"/>
        <w:spacing w:line="800" w:lineRule="exact"/>
        <w:jc w:val="center"/>
        <w:rPr>
          <w:rFonts w:hint="eastAsia" w:ascii="黑体" w:hAnsi="黑体" w:eastAsia="黑体" w:cs="黑体"/>
          <w:b/>
          <w:kern w:val="0"/>
          <w:sz w:val="44"/>
          <w:szCs w:val="44"/>
        </w:rPr>
      </w:pPr>
    </w:p>
    <w:p>
      <w:pPr>
        <w:widowControl/>
        <w:adjustRightInd w:val="0"/>
        <w:snapToGrid w:val="0"/>
        <w:spacing w:line="800" w:lineRule="exact"/>
        <w:jc w:val="center"/>
        <w:rPr>
          <w:rFonts w:hint="eastAsia" w:ascii="黑体" w:hAnsi="黑体" w:eastAsia="黑体" w:cs="黑体"/>
          <w:b/>
          <w:kern w:val="0"/>
          <w:sz w:val="44"/>
          <w:szCs w:val="44"/>
        </w:rPr>
      </w:pPr>
      <w:r>
        <w:rPr>
          <w:rFonts w:hint="eastAsia" w:ascii="黑体" w:hAnsi="黑体" w:eastAsia="黑体" w:cs="黑体"/>
          <w:b/>
          <w:kern w:val="0"/>
          <w:sz w:val="44"/>
          <w:szCs w:val="44"/>
        </w:rPr>
        <w:t>旺苍县人民检察院2020年部门整体支出</w:t>
      </w:r>
    </w:p>
    <w:p>
      <w:pPr>
        <w:widowControl/>
        <w:adjustRightInd w:val="0"/>
        <w:snapToGrid w:val="0"/>
        <w:spacing w:line="800" w:lineRule="exact"/>
        <w:jc w:val="center"/>
        <w:rPr>
          <w:rFonts w:hint="eastAsia" w:ascii="黑体" w:hAnsi="黑体" w:eastAsia="黑体" w:cs="黑体"/>
          <w:b/>
          <w:kern w:val="0"/>
          <w:sz w:val="44"/>
          <w:szCs w:val="44"/>
        </w:rPr>
      </w:pPr>
    </w:p>
    <w:p>
      <w:pPr>
        <w:widowControl/>
        <w:adjustRightInd w:val="0"/>
        <w:snapToGrid w:val="0"/>
        <w:spacing w:line="480" w:lineRule="auto"/>
        <w:jc w:val="center"/>
        <w:rPr>
          <w:rFonts w:ascii="黑体" w:hAnsi="黑体" w:eastAsia="黑体" w:cs="黑体"/>
          <w:b/>
          <w:kern w:val="0"/>
          <w:sz w:val="52"/>
          <w:szCs w:val="52"/>
        </w:rPr>
      </w:pPr>
    </w:p>
    <w:p>
      <w:pPr>
        <w:widowControl/>
        <w:adjustRightInd w:val="0"/>
        <w:snapToGrid w:val="0"/>
        <w:spacing w:line="480" w:lineRule="auto"/>
        <w:jc w:val="center"/>
        <w:rPr>
          <w:rFonts w:ascii="黑体" w:hAnsi="黑体" w:eastAsia="黑体" w:cs="黑体"/>
          <w:b/>
          <w:kern w:val="0"/>
          <w:sz w:val="52"/>
          <w:szCs w:val="52"/>
        </w:rPr>
      </w:pPr>
      <w:r>
        <w:rPr>
          <w:rFonts w:hint="eastAsia" w:ascii="黑体" w:hAnsi="黑体" w:eastAsia="黑体" w:cs="黑体"/>
          <w:b/>
          <w:kern w:val="0"/>
          <w:sz w:val="52"/>
          <w:szCs w:val="52"/>
        </w:rPr>
        <w:t>绩效评价报告</w:t>
      </w:r>
      <w:bookmarkEnd w:id="3"/>
      <w:bookmarkEnd w:id="4"/>
      <w:bookmarkEnd w:id="5"/>
      <w:bookmarkEnd w:id="6"/>
      <w:bookmarkEnd w:id="7"/>
      <w:bookmarkEnd w:id="8"/>
      <w:bookmarkEnd w:id="9"/>
    </w:p>
    <w:p>
      <w:pPr>
        <w:adjustRightInd w:val="0"/>
        <w:snapToGrid w:val="0"/>
        <w:spacing w:line="600" w:lineRule="atLeast"/>
        <w:ind w:firstLine="723" w:firstLineChars="200"/>
        <w:jc w:val="center"/>
        <w:rPr>
          <w:rFonts w:ascii="黑体" w:hAnsi="黑体" w:eastAsia="黑体" w:cs="黑体"/>
          <w:b/>
          <w:sz w:val="36"/>
          <w:szCs w:val="36"/>
        </w:rPr>
      </w:pPr>
    </w:p>
    <w:p>
      <w:pPr>
        <w:adjustRightInd w:val="0"/>
        <w:snapToGrid w:val="0"/>
        <w:spacing w:line="600" w:lineRule="atLeast"/>
        <w:jc w:val="center"/>
        <w:rPr>
          <w:rFonts w:hint="eastAsia" w:ascii="黑体" w:hAnsi="黑体" w:eastAsia="黑体" w:cs="黑体"/>
          <w:b/>
          <w:kern w:val="0"/>
          <w:sz w:val="36"/>
          <w:szCs w:val="36"/>
        </w:rPr>
      </w:pPr>
      <w:r>
        <w:rPr>
          <w:rFonts w:hint="eastAsia" w:ascii="黑体" w:hAnsi="黑体" w:eastAsia="黑体" w:cs="黑体"/>
          <w:b/>
          <w:sz w:val="36"/>
          <w:szCs w:val="36"/>
        </w:rPr>
        <w:t>川檀会</w:t>
      </w:r>
      <w:r>
        <w:rPr>
          <w:rFonts w:hint="eastAsia" w:ascii="黑体" w:hAnsi="黑体" w:eastAsia="黑体" w:cs="黑体"/>
          <w:b/>
          <w:kern w:val="0"/>
          <w:sz w:val="36"/>
          <w:szCs w:val="36"/>
        </w:rPr>
        <w:t>审核字〔2021〕第</w:t>
      </w:r>
      <w:r>
        <w:rPr>
          <w:rFonts w:hint="eastAsia" w:ascii="黑体" w:hAnsi="黑体" w:eastAsia="黑体" w:cs="黑体"/>
          <w:b/>
          <w:kern w:val="0"/>
          <w:sz w:val="36"/>
          <w:szCs w:val="36"/>
          <w:lang w:val="en-US" w:eastAsia="zh-CN"/>
        </w:rPr>
        <w:t>019</w:t>
      </w:r>
      <w:r>
        <w:rPr>
          <w:rFonts w:hint="eastAsia" w:ascii="黑体" w:hAnsi="黑体" w:eastAsia="黑体" w:cs="黑体"/>
          <w:b/>
          <w:kern w:val="0"/>
          <w:sz w:val="36"/>
          <w:szCs w:val="36"/>
        </w:rPr>
        <w:t>号</w:t>
      </w:r>
    </w:p>
    <w:p>
      <w:pPr>
        <w:adjustRightInd w:val="0"/>
        <w:spacing w:line="500" w:lineRule="exact"/>
        <w:ind w:left="-199" w:leftChars="-95" w:right="-313" w:rightChars="-149"/>
        <w:jc w:val="center"/>
        <w:rPr>
          <w:rFonts w:ascii="Times New Roman" w:hAnsi="Times New Roman" w:eastAsia="宋体" w:cs="Times New Roman"/>
          <w:b/>
          <w:spacing w:val="72"/>
          <w:sz w:val="48"/>
        </w:rPr>
      </w:pPr>
    </w:p>
    <w:p>
      <w:pPr>
        <w:adjustRightInd w:val="0"/>
        <w:spacing w:line="500" w:lineRule="exact"/>
        <w:ind w:left="-199" w:leftChars="-95" w:right="-313" w:rightChars="-149"/>
        <w:jc w:val="center"/>
        <w:rPr>
          <w:rFonts w:ascii="Times New Roman" w:hAnsi="Times New Roman" w:eastAsia="宋体" w:cs="Times New Roman"/>
          <w:b/>
          <w:spacing w:val="72"/>
          <w:sz w:val="48"/>
        </w:rPr>
      </w:pPr>
    </w:p>
    <w:p>
      <w:pPr>
        <w:adjustRightInd w:val="0"/>
        <w:spacing w:line="500" w:lineRule="exact"/>
        <w:ind w:left="-199" w:leftChars="-95" w:right="-313" w:rightChars="-149"/>
        <w:jc w:val="center"/>
        <w:rPr>
          <w:rFonts w:ascii="Times New Roman" w:hAnsi="Times New Roman" w:eastAsia="宋体" w:cs="Times New Roman"/>
          <w:b/>
          <w:spacing w:val="72"/>
          <w:sz w:val="48"/>
        </w:rPr>
      </w:pPr>
    </w:p>
    <w:p>
      <w:pPr>
        <w:adjustRightInd w:val="0"/>
        <w:spacing w:line="800" w:lineRule="exact"/>
        <w:rPr>
          <w:rFonts w:ascii="Times New Roman" w:hAnsi="Times New Roman" w:eastAsia="宋体" w:cs="Times New Roman"/>
          <w:b/>
          <w:sz w:val="30"/>
          <w:szCs w:val="30"/>
        </w:rPr>
      </w:pPr>
      <w:r>
        <w:rPr>
          <w:rFonts w:ascii="Times New Roman" w:hAnsi="Times New Roman" w:eastAsia="宋体" w:cs="Times New Roman"/>
          <w:b/>
          <w:sz w:val="30"/>
          <w:szCs w:val="30"/>
          <w:u w:val="single"/>
        </w:rPr>
        <w:t xml:space="preserve">                                                     </w:t>
      </w:r>
      <w:r>
        <w:rPr>
          <w:rFonts w:hint="eastAsia" w:ascii="Times New Roman" w:hAnsi="Times New Roman" w:eastAsia="宋体" w:cs="Times New Roman"/>
          <w:b/>
          <w:sz w:val="30"/>
          <w:szCs w:val="30"/>
          <w:u w:val="single"/>
        </w:rPr>
        <w:t xml:space="preserve">  </w:t>
      </w:r>
      <w:r>
        <w:rPr>
          <w:rFonts w:ascii="Times New Roman" w:hAnsi="Times New Roman" w:eastAsia="宋体" w:cs="Times New Roman"/>
          <w:b/>
          <w:sz w:val="30"/>
          <w:szCs w:val="30"/>
          <w:u w:val="single"/>
        </w:rPr>
        <w:t xml:space="preserve"> </w:t>
      </w:r>
    </w:p>
    <w:p>
      <w:pPr>
        <w:spacing w:line="480" w:lineRule="auto"/>
        <w:rPr>
          <w:rFonts w:ascii="Times New Roman" w:hAnsi="Times New Roman" w:eastAsia="宋体" w:cs="Times New Roman"/>
          <w:sz w:val="24"/>
        </w:rPr>
      </w:pPr>
      <w:r>
        <w:rPr>
          <w:rFonts w:ascii="Times New Roman" w:hAnsi="Times New Roman" w:eastAsia="宋体" w:cs="Times New Roman"/>
          <w:sz w:val="24"/>
        </w:rPr>
        <w:t>四川檀诚会计师事务所有限公司  电话:028-67758922   传真:028-85555901</w:t>
      </w:r>
    </w:p>
    <w:p>
      <w:pPr>
        <w:spacing w:line="480" w:lineRule="auto"/>
        <w:rPr>
          <w:rFonts w:ascii="Times New Roman" w:hAnsi="Times New Roman" w:eastAsia="宋体" w:cs="Times New Roman"/>
          <w:b/>
          <w:spacing w:val="72"/>
          <w:sz w:val="48"/>
        </w:rPr>
      </w:pPr>
      <w:r>
        <w:rPr>
          <w:rFonts w:ascii="Times New Roman" w:hAnsi="Times New Roman" w:eastAsia="宋体" w:cs="Times New Roman"/>
          <w:sz w:val="24"/>
        </w:rPr>
        <w:t>地址: 成都市洗面桥街29号通用工程702室</w:t>
      </w:r>
    </w:p>
    <w:p>
      <w:pPr>
        <w:jc w:val="center"/>
        <w:rPr>
          <w:rFonts w:hint="eastAsia" w:ascii="仿宋" w:hAnsi="仿宋" w:eastAsia="仿宋" w:cs="仿宋"/>
          <w:b/>
          <w:bCs/>
          <w:sz w:val="32"/>
          <w:szCs w:val="32"/>
        </w:rPr>
        <w:sectPr>
          <w:pgSz w:w="11906" w:h="16838"/>
          <w:pgMar w:top="1440" w:right="1803" w:bottom="1440" w:left="1803" w:header="851" w:footer="992" w:gutter="0"/>
          <w:cols w:space="720" w:num="1"/>
          <w:docGrid w:type="lines" w:linePitch="312" w:charSpace="0"/>
        </w:sectPr>
      </w:pP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6"/>
        <w:tabs>
          <w:tab w:val="right" w:leader="dot" w:pos="8300"/>
        </w:tabs>
        <w:rPr>
          <w:rFonts w:ascii="Times New Roman" w:hAnsi="Times New Roman" w:eastAsia="宋体" w:cs="Times New Roman"/>
        </w:rPr>
      </w:pPr>
      <w:r>
        <w:rPr>
          <w:rFonts w:ascii="Times New Roman" w:hAnsi="Times New Roman" w:eastAsia="宋体" w:cs="Times New Roman"/>
          <w:b/>
          <w:spacing w:val="72"/>
          <w:sz w:val="48"/>
        </w:rPr>
        <w:fldChar w:fldCharType="begin"/>
      </w:r>
      <w:r>
        <w:rPr>
          <w:rFonts w:ascii="Times New Roman" w:hAnsi="Times New Roman" w:eastAsia="宋体" w:cs="Times New Roman"/>
          <w:b/>
          <w:spacing w:val="72"/>
          <w:sz w:val="48"/>
        </w:rPr>
        <w:instrText xml:space="preserve">TOC \o "1-3" \h \u </w:instrText>
      </w:r>
      <w:r>
        <w:rPr>
          <w:rFonts w:ascii="Times New Roman" w:hAnsi="Times New Roman" w:eastAsia="宋体" w:cs="Times New Roman"/>
          <w:b/>
          <w:spacing w:val="72"/>
          <w:sz w:val="48"/>
        </w:rPr>
        <w:fldChar w:fldCharType="separate"/>
      </w:r>
    </w:p>
    <w:p>
      <w:pPr>
        <w:pStyle w:val="26"/>
        <w:tabs>
          <w:tab w:val="right" w:leader="dot" w:pos="8300"/>
        </w:tabs>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_Toc2649 </w:instrText>
      </w:r>
      <w:r>
        <w:rPr>
          <w:rFonts w:hint="eastAsia" w:ascii="仿宋" w:hAnsi="仿宋" w:eastAsia="仿宋" w:cs="仿宋"/>
          <w:spacing w:val="72"/>
          <w:sz w:val="32"/>
          <w:szCs w:val="32"/>
        </w:rPr>
        <w:fldChar w:fldCharType="separate"/>
      </w:r>
      <w:r>
        <w:rPr>
          <w:rFonts w:hint="eastAsia" w:ascii="仿宋" w:hAnsi="仿宋" w:eastAsia="仿宋" w:cs="仿宋"/>
          <w:bCs/>
          <w:sz w:val="32"/>
          <w:szCs w:val="32"/>
        </w:rPr>
        <w:t>一、部门概况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_Toc2649 \h </w:instrText>
      </w:r>
      <w:r>
        <w:rPr>
          <w:rFonts w:hint="eastAsia" w:ascii="仿宋" w:hAnsi="仿宋" w:eastAsia="仿宋" w:cs="仿宋"/>
          <w:sz w:val="32"/>
          <w:szCs w:val="32"/>
        </w:rPr>
        <w:fldChar w:fldCharType="separate"/>
      </w:r>
      <w:r>
        <w:rPr>
          <w:rFonts w:hint="eastAsia" w:ascii="仿宋" w:hAnsi="仿宋" w:eastAsia="仿宋" w:cs="仿宋"/>
          <w:sz w:val="32"/>
          <w:szCs w:val="32"/>
        </w:rPr>
        <w:t>- 3 -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7"/>
        <w:tabs>
          <w:tab w:val="right" w:leader="dot" w:pos="8300"/>
        </w:tabs>
        <w:ind w:left="42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_Toc29845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（一）机构构成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_Toc29845 \h </w:instrText>
      </w:r>
      <w:r>
        <w:rPr>
          <w:rFonts w:hint="eastAsia" w:ascii="仿宋" w:hAnsi="仿宋" w:eastAsia="仿宋" w:cs="仿宋"/>
          <w:sz w:val="32"/>
          <w:szCs w:val="32"/>
        </w:rPr>
        <w:fldChar w:fldCharType="separate"/>
      </w:r>
      <w:r>
        <w:rPr>
          <w:rFonts w:hint="eastAsia" w:ascii="仿宋" w:hAnsi="仿宋" w:eastAsia="仿宋" w:cs="仿宋"/>
          <w:sz w:val="32"/>
          <w:szCs w:val="32"/>
        </w:rPr>
        <w:t>- 3 -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7"/>
        <w:tabs>
          <w:tab w:val="right" w:leader="dot" w:pos="8300"/>
        </w:tabs>
        <w:ind w:left="42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_Toc26267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（二）基本职能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_Toc26267 \h </w:instrText>
      </w:r>
      <w:r>
        <w:rPr>
          <w:rFonts w:hint="eastAsia" w:ascii="仿宋" w:hAnsi="仿宋" w:eastAsia="仿宋" w:cs="仿宋"/>
          <w:sz w:val="32"/>
          <w:szCs w:val="32"/>
        </w:rPr>
        <w:fldChar w:fldCharType="separate"/>
      </w:r>
      <w:r>
        <w:rPr>
          <w:rFonts w:hint="eastAsia" w:ascii="仿宋" w:hAnsi="仿宋" w:eastAsia="仿宋" w:cs="仿宋"/>
          <w:sz w:val="32"/>
          <w:szCs w:val="32"/>
        </w:rPr>
        <w:t>- 4 -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7"/>
        <w:tabs>
          <w:tab w:val="right" w:leader="dot" w:pos="8300"/>
        </w:tabs>
        <w:ind w:left="42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_Toc10181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（三）人员结构及相关情况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_Toc10181 \h </w:instrText>
      </w:r>
      <w:r>
        <w:rPr>
          <w:rFonts w:hint="eastAsia" w:ascii="仿宋" w:hAnsi="仿宋" w:eastAsia="仿宋" w:cs="仿宋"/>
          <w:sz w:val="32"/>
          <w:szCs w:val="32"/>
        </w:rPr>
        <w:fldChar w:fldCharType="separate"/>
      </w:r>
      <w:r>
        <w:rPr>
          <w:rFonts w:hint="eastAsia" w:ascii="仿宋" w:hAnsi="仿宋" w:eastAsia="仿宋" w:cs="仿宋"/>
          <w:sz w:val="32"/>
          <w:szCs w:val="32"/>
        </w:rPr>
        <w:t>- 6 -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6"/>
        <w:tabs>
          <w:tab w:val="right" w:leader="dot" w:pos="8300"/>
        </w:tabs>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_Toc25152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二、部门财政资金收支情况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_Toc25152 \h </w:instrText>
      </w:r>
      <w:r>
        <w:rPr>
          <w:rFonts w:hint="eastAsia" w:ascii="仿宋" w:hAnsi="仿宋" w:eastAsia="仿宋" w:cs="仿宋"/>
          <w:sz w:val="32"/>
          <w:szCs w:val="32"/>
        </w:rPr>
        <w:fldChar w:fldCharType="separate"/>
      </w:r>
      <w:r>
        <w:rPr>
          <w:rFonts w:hint="eastAsia" w:ascii="仿宋" w:hAnsi="仿宋" w:eastAsia="仿宋" w:cs="仿宋"/>
          <w:sz w:val="32"/>
          <w:szCs w:val="32"/>
        </w:rPr>
        <w:t>- 7 -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7"/>
        <w:tabs>
          <w:tab w:val="right" w:leader="dot" w:pos="8300"/>
        </w:tabs>
        <w:ind w:left="42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_Toc11734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（一）部门决策情况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_Toc11734 \h </w:instrText>
      </w:r>
      <w:r>
        <w:rPr>
          <w:rFonts w:hint="eastAsia" w:ascii="仿宋" w:hAnsi="仿宋" w:eastAsia="仿宋" w:cs="仿宋"/>
          <w:sz w:val="32"/>
          <w:szCs w:val="32"/>
        </w:rPr>
        <w:fldChar w:fldCharType="separate"/>
      </w:r>
      <w:r>
        <w:rPr>
          <w:rFonts w:hint="eastAsia" w:ascii="仿宋" w:hAnsi="仿宋" w:eastAsia="仿宋" w:cs="仿宋"/>
          <w:sz w:val="32"/>
          <w:szCs w:val="32"/>
        </w:rPr>
        <w:t>- 7 -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7"/>
        <w:tabs>
          <w:tab w:val="right" w:leader="dot" w:pos="8300"/>
        </w:tabs>
        <w:ind w:left="42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_Toc15154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（二）部门财政资金收入情况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_Toc15154 \h </w:instrText>
      </w:r>
      <w:r>
        <w:rPr>
          <w:rFonts w:hint="eastAsia" w:ascii="仿宋" w:hAnsi="仿宋" w:eastAsia="仿宋" w:cs="仿宋"/>
          <w:sz w:val="32"/>
          <w:szCs w:val="32"/>
        </w:rPr>
        <w:fldChar w:fldCharType="separate"/>
      </w:r>
      <w:r>
        <w:rPr>
          <w:rFonts w:hint="eastAsia" w:ascii="仿宋" w:hAnsi="仿宋" w:eastAsia="仿宋" w:cs="仿宋"/>
          <w:sz w:val="32"/>
          <w:szCs w:val="32"/>
        </w:rPr>
        <w:t>- 8 -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8"/>
        <w:tabs>
          <w:tab w:val="right" w:leader="dot" w:pos="8300"/>
        </w:tabs>
        <w:ind w:left="84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_Toc24375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1、收入预算情况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_Toc24375 \h </w:instrText>
      </w:r>
      <w:r>
        <w:rPr>
          <w:rFonts w:hint="eastAsia" w:ascii="仿宋" w:hAnsi="仿宋" w:eastAsia="仿宋" w:cs="仿宋"/>
          <w:sz w:val="32"/>
          <w:szCs w:val="32"/>
        </w:rPr>
        <w:fldChar w:fldCharType="separate"/>
      </w:r>
      <w:r>
        <w:rPr>
          <w:rFonts w:hint="eastAsia" w:ascii="仿宋" w:hAnsi="仿宋" w:eastAsia="仿宋" w:cs="仿宋"/>
          <w:sz w:val="32"/>
          <w:szCs w:val="32"/>
        </w:rPr>
        <w:t>- 8 -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8"/>
        <w:tabs>
          <w:tab w:val="right" w:leader="dot" w:pos="8300"/>
        </w:tabs>
        <w:ind w:left="84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_Toc31111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2、收入决算情况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_Toc31111 \h </w:instrText>
      </w:r>
      <w:r>
        <w:rPr>
          <w:rFonts w:hint="eastAsia" w:ascii="仿宋" w:hAnsi="仿宋" w:eastAsia="仿宋" w:cs="仿宋"/>
          <w:sz w:val="32"/>
          <w:szCs w:val="32"/>
        </w:rPr>
        <w:fldChar w:fldCharType="separate"/>
      </w:r>
      <w:r>
        <w:rPr>
          <w:rFonts w:hint="eastAsia" w:ascii="仿宋" w:hAnsi="仿宋" w:eastAsia="仿宋" w:cs="仿宋"/>
          <w:sz w:val="32"/>
          <w:szCs w:val="32"/>
        </w:rPr>
        <w:t>- 8 -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7"/>
        <w:tabs>
          <w:tab w:val="right" w:leader="dot" w:pos="8300"/>
        </w:tabs>
        <w:ind w:left="42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_Toc5995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（三）部门财政资金支出情况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_Toc5995 \h </w:instrText>
      </w:r>
      <w:r>
        <w:rPr>
          <w:rFonts w:hint="eastAsia" w:ascii="仿宋" w:hAnsi="仿宋" w:eastAsia="仿宋" w:cs="仿宋"/>
          <w:sz w:val="32"/>
          <w:szCs w:val="32"/>
        </w:rPr>
        <w:fldChar w:fldCharType="separate"/>
      </w:r>
      <w:r>
        <w:rPr>
          <w:rFonts w:hint="eastAsia" w:ascii="仿宋" w:hAnsi="仿宋" w:eastAsia="仿宋" w:cs="仿宋"/>
          <w:sz w:val="32"/>
          <w:szCs w:val="32"/>
        </w:rPr>
        <w:t>- 8 -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8"/>
        <w:tabs>
          <w:tab w:val="right" w:leader="dot" w:pos="8300"/>
        </w:tabs>
        <w:ind w:left="84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_Toc14201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1、支出预算情况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_Toc14201 \h </w:instrText>
      </w:r>
      <w:r>
        <w:rPr>
          <w:rFonts w:hint="eastAsia" w:ascii="仿宋" w:hAnsi="仿宋" w:eastAsia="仿宋" w:cs="仿宋"/>
          <w:sz w:val="32"/>
          <w:szCs w:val="32"/>
        </w:rPr>
        <w:fldChar w:fldCharType="separate"/>
      </w:r>
      <w:r>
        <w:rPr>
          <w:rFonts w:hint="eastAsia" w:ascii="仿宋" w:hAnsi="仿宋" w:eastAsia="仿宋" w:cs="仿宋"/>
          <w:sz w:val="32"/>
          <w:szCs w:val="32"/>
        </w:rPr>
        <w:t>- 8 -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8"/>
        <w:tabs>
          <w:tab w:val="right" w:leader="dot" w:pos="8300"/>
        </w:tabs>
        <w:ind w:left="84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_Toc27026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2、支出决算情况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_Toc27026 \h </w:instrText>
      </w:r>
      <w:r>
        <w:rPr>
          <w:rFonts w:hint="eastAsia" w:ascii="仿宋" w:hAnsi="仿宋" w:eastAsia="仿宋" w:cs="仿宋"/>
          <w:sz w:val="32"/>
          <w:szCs w:val="32"/>
        </w:rPr>
        <w:fldChar w:fldCharType="separate"/>
      </w:r>
      <w:r>
        <w:rPr>
          <w:rFonts w:hint="eastAsia" w:ascii="仿宋" w:hAnsi="仿宋" w:eastAsia="仿宋" w:cs="仿宋"/>
          <w:sz w:val="32"/>
          <w:szCs w:val="32"/>
        </w:rPr>
        <w:t>- 8 -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6"/>
        <w:tabs>
          <w:tab w:val="right" w:leader="dot" w:pos="8300"/>
        </w:tabs>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_Toc24105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三、评价结论和绩效分析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_Toc24105 \h </w:instrText>
      </w:r>
      <w:r>
        <w:rPr>
          <w:rFonts w:hint="eastAsia" w:ascii="仿宋" w:hAnsi="仿宋" w:eastAsia="仿宋" w:cs="仿宋"/>
          <w:sz w:val="32"/>
          <w:szCs w:val="32"/>
        </w:rPr>
        <w:fldChar w:fldCharType="separate"/>
      </w:r>
      <w:r>
        <w:rPr>
          <w:rFonts w:hint="eastAsia" w:ascii="仿宋" w:hAnsi="仿宋" w:eastAsia="仿宋" w:cs="仿宋"/>
          <w:sz w:val="32"/>
          <w:szCs w:val="32"/>
        </w:rPr>
        <w:t>- 9 -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7"/>
        <w:tabs>
          <w:tab w:val="right" w:leader="dot" w:pos="8300"/>
        </w:tabs>
        <w:ind w:left="42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_Toc23214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（一）评价结论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_Toc23214 \h </w:instrText>
      </w:r>
      <w:r>
        <w:rPr>
          <w:rFonts w:hint="eastAsia" w:ascii="仿宋" w:hAnsi="仿宋" w:eastAsia="仿宋" w:cs="仿宋"/>
          <w:sz w:val="32"/>
          <w:szCs w:val="32"/>
        </w:rPr>
        <w:fldChar w:fldCharType="separate"/>
      </w:r>
      <w:r>
        <w:rPr>
          <w:rFonts w:hint="eastAsia" w:ascii="仿宋" w:hAnsi="仿宋" w:eastAsia="仿宋" w:cs="仿宋"/>
          <w:sz w:val="32"/>
          <w:szCs w:val="32"/>
        </w:rPr>
        <w:t>- 9 -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7"/>
        <w:tabs>
          <w:tab w:val="right" w:leader="dot" w:pos="8300"/>
        </w:tabs>
        <w:ind w:left="42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_Toc9585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（二）绩效分析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_Toc9585 \h </w:instrText>
      </w:r>
      <w:r>
        <w:rPr>
          <w:rFonts w:hint="eastAsia" w:ascii="仿宋" w:hAnsi="仿宋" w:eastAsia="仿宋" w:cs="仿宋"/>
          <w:sz w:val="32"/>
          <w:szCs w:val="32"/>
        </w:rPr>
        <w:fldChar w:fldCharType="separate"/>
      </w:r>
      <w:r>
        <w:rPr>
          <w:rFonts w:hint="eastAsia" w:ascii="仿宋" w:hAnsi="仿宋" w:eastAsia="仿宋" w:cs="仿宋"/>
          <w:sz w:val="32"/>
          <w:szCs w:val="32"/>
        </w:rPr>
        <w:t>- 10 -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8"/>
        <w:tabs>
          <w:tab w:val="right" w:leader="dot" w:pos="8300"/>
        </w:tabs>
        <w:ind w:left="84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_Toc22178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1、部门预算管理情况分析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_Toc22178 \h </w:instrText>
      </w:r>
      <w:r>
        <w:rPr>
          <w:rFonts w:hint="eastAsia" w:ascii="仿宋" w:hAnsi="仿宋" w:eastAsia="仿宋" w:cs="仿宋"/>
          <w:sz w:val="32"/>
          <w:szCs w:val="32"/>
        </w:rPr>
        <w:fldChar w:fldCharType="separate"/>
      </w:r>
      <w:r>
        <w:rPr>
          <w:rFonts w:hint="eastAsia" w:ascii="仿宋" w:hAnsi="仿宋" w:eastAsia="仿宋" w:cs="仿宋"/>
          <w:sz w:val="32"/>
          <w:szCs w:val="32"/>
        </w:rPr>
        <w:t>- 10 -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8"/>
        <w:tabs>
          <w:tab w:val="right" w:leader="dot" w:pos="8300"/>
        </w:tabs>
        <w:ind w:left="84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_Toc22354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2、绩效结果应用分析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_Toc22354 \h </w:instrText>
      </w:r>
      <w:r>
        <w:rPr>
          <w:rFonts w:hint="eastAsia" w:ascii="仿宋" w:hAnsi="仿宋" w:eastAsia="仿宋" w:cs="仿宋"/>
          <w:sz w:val="32"/>
          <w:szCs w:val="32"/>
        </w:rPr>
        <w:fldChar w:fldCharType="separate"/>
      </w:r>
      <w:r>
        <w:rPr>
          <w:rFonts w:hint="eastAsia" w:ascii="仿宋" w:hAnsi="仿宋" w:eastAsia="仿宋" w:cs="仿宋"/>
          <w:sz w:val="32"/>
          <w:szCs w:val="32"/>
        </w:rPr>
        <w:t>- 14 -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6"/>
        <w:tabs>
          <w:tab w:val="right" w:leader="dot" w:pos="8300"/>
        </w:tabs>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_Toc32367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四、存在的主要问题</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_Toc32367 \h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7"/>
        <w:tabs>
          <w:tab w:val="right" w:leader="dot" w:pos="8300"/>
        </w:tabs>
        <w:ind w:left="42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_Toc7100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（一）会计科目使用有误</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_Toc7100 \h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7"/>
        <w:tabs>
          <w:tab w:val="right" w:leader="dot" w:pos="8300"/>
        </w:tabs>
        <w:ind w:left="42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_Toc8530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（二）发票管理不严格</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_Toc8530 \h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7"/>
        <w:tabs>
          <w:tab w:val="right" w:leader="dot" w:pos="8300"/>
        </w:tabs>
        <w:ind w:left="42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_Toc30669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（三）内控管理不严格</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_Toc30669 \h </w:instrText>
      </w:r>
      <w:r>
        <w:rPr>
          <w:rFonts w:hint="eastAsia" w:ascii="仿宋" w:hAnsi="仿宋" w:eastAsia="仿宋" w:cs="仿宋"/>
          <w:sz w:val="32"/>
          <w:szCs w:val="32"/>
        </w:rPr>
        <w:fldChar w:fldCharType="separate"/>
      </w:r>
      <w:r>
        <w:rPr>
          <w:rFonts w:hint="eastAsia" w:ascii="仿宋" w:hAnsi="仿宋" w:eastAsia="仿宋" w:cs="仿宋"/>
          <w:sz w:val="32"/>
          <w:szCs w:val="32"/>
        </w:rPr>
        <w:t>- 17 -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7"/>
        <w:tabs>
          <w:tab w:val="right" w:leader="dot" w:pos="8300"/>
        </w:tabs>
        <w:ind w:left="42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_Toc32664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（四）慰问贫困户发放物资程序不合规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_Toc32664 \h </w:instrText>
      </w:r>
      <w:r>
        <w:rPr>
          <w:rFonts w:hint="eastAsia" w:ascii="仿宋" w:hAnsi="仿宋" w:eastAsia="仿宋" w:cs="仿宋"/>
          <w:sz w:val="32"/>
          <w:szCs w:val="32"/>
        </w:rPr>
        <w:fldChar w:fldCharType="separate"/>
      </w:r>
      <w:r>
        <w:rPr>
          <w:rFonts w:hint="eastAsia" w:ascii="仿宋" w:hAnsi="仿宋" w:eastAsia="仿宋" w:cs="仿宋"/>
          <w:sz w:val="32"/>
          <w:szCs w:val="32"/>
        </w:rPr>
        <w:t>- 18 -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7"/>
        <w:tabs>
          <w:tab w:val="right" w:leader="dot" w:pos="8300"/>
        </w:tabs>
        <w:ind w:left="420"/>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_Toc17328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（五）公车先维修后申请</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_Toc17328 \h </w:instrText>
      </w:r>
      <w:r>
        <w:rPr>
          <w:rFonts w:hint="eastAsia" w:ascii="仿宋" w:hAnsi="仿宋" w:eastAsia="仿宋" w:cs="仿宋"/>
          <w:sz w:val="32"/>
          <w:szCs w:val="32"/>
        </w:rPr>
        <w:fldChar w:fldCharType="separate"/>
      </w:r>
      <w:r>
        <w:rPr>
          <w:rFonts w:hint="eastAsia" w:ascii="仿宋" w:hAnsi="仿宋" w:eastAsia="仿宋" w:cs="仿宋"/>
          <w:sz w:val="32"/>
          <w:szCs w:val="32"/>
        </w:rPr>
        <w:t>- 18 -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6"/>
        <w:tabs>
          <w:tab w:val="right" w:leader="dot" w:pos="8300"/>
        </w:tabs>
        <w:rPr>
          <w:rFonts w:hint="eastAsia" w:ascii="仿宋" w:hAnsi="仿宋" w:eastAsia="仿宋" w:cs="仿宋"/>
          <w:sz w:val="32"/>
          <w:szCs w:val="32"/>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_Toc11633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五、整改措施及建议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_Toc11633 \h </w:instrText>
      </w:r>
      <w:r>
        <w:rPr>
          <w:rFonts w:hint="eastAsia" w:ascii="仿宋" w:hAnsi="仿宋" w:eastAsia="仿宋" w:cs="仿宋"/>
          <w:sz w:val="32"/>
          <w:szCs w:val="32"/>
        </w:rPr>
        <w:fldChar w:fldCharType="separate"/>
      </w:r>
      <w:r>
        <w:rPr>
          <w:rFonts w:hint="eastAsia" w:ascii="仿宋" w:hAnsi="仿宋" w:eastAsia="仿宋" w:cs="仿宋"/>
          <w:sz w:val="32"/>
          <w:szCs w:val="32"/>
        </w:rPr>
        <w:t>- 19 -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pStyle w:val="26"/>
        <w:tabs>
          <w:tab w:val="right" w:leader="dot" w:pos="8300"/>
        </w:tabs>
        <w:rPr>
          <w:rFonts w:ascii="Times New Roman" w:hAnsi="Times New Roman" w:eastAsia="宋体" w:cs="Times New Roman"/>
        </w:rPr>
      </w:pPr>
      <w:r>
        <w:rPr>
          <w:rFonts w:hint="eastAsia" w:ascii="仿宋" w:hAnsi="仿宋" w:eastAsia="仿宋" w:cs="仿宋"/>
          <w:spacing w:val="72"/>
          <w:sz w:val="32"/>
          <w:szCs w:val="32"/>
        </w:rPr>
        <w:fldChar w:fldCharType="begin"/>
      </w:r>
      <w:r>
        <w:rPr>
          <w:rFonts w:hint="eastAsia" w:ascii="仿宋" w:hAnsi="仿宋" w:eastAsia="仿宋" w:cs="仿宋"/>
          <w:spacing w:val="72"/>
          <w:sz w:val="32"/>
          <w:szCs w:val="32"/>
        </w:rPr>
        <w:instrText xml:space="preserve"> HYPERLINK \l _Toc13504 </w:instrText>
      </w:r>
      <w:r>
        <w:rPr>
          <w:rFonts w:hint="eastAsia" w:ascii="仿宋" w:hAnsi="仿宋" w:eastAsia="仿宋" w:cs="仿宋"/>
          <w:spacing w:val="72"/>
          <w:sz w:val="32"/>
          <w:szCs w:val="32"/>
        </w:rPr>
        <w:fldChar w:fldCharType="separate"/>
      </w:r>
      <w:r>
        <w:rPr>
          <w:rFonts w:hint="eastAsia" w:ascii="仿宋" w:hAnsi="仿宋" w:eastAsia="仿宋" w:cs="仿宋"/>
          <w:sz w:val="32"/>
          <w:szCs w:val="32"/>
        </w:rPr>
        <w:t>附件：旺苍县2020年部门整体支出绩效评价指标体系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_Toc13504 \h </w:instrText>
      </w:r>
      <w:r>
        <w:rPr>
          <w:rFonts w:hint="eastAsia" w:ascii="仿宋" w:hAnsi="仿宋" w:eastAsia="仿宋" w:cs="仿宋"/>
          <w:sz w:val="32"/>
          <w:szCs w:val="32"/>
        </w:rPr>
        <w:fldChar w:fldCharType="separate"/>
      </w:r>
      <w:r>
        <w:rPr>
          <w:rFonts w:hint="eastAsia" w:ascii="仿宋" w:hAnsi="仿宋" w:eastAsia="仿宋" w:cs="仿宋"/>
          <w:sz w:val="32"/>
          <w:szCs w:val="32"/>
        </w:rPr>
        <w:t>- 20 -</w:t>
      </w:r>
      <w:r>
        <w:rPr>
          <w:rFonts w:hint="eastAsia" w:ascii="仿宋" w:hAnsi="仿宋" w:eastAsia="仿宋" w:cs="仿宋"/>
          <w:sz w:val="32"/>
          <w:szCs w:val="32"/>
        </w:rPr>
        <w:fldChar w:fldCharType="end"/>
      </w:r>
      <w:r>
        <w:rPr>
          <w:rFonts w:hint="eastAsia" w:ascii="仿宋" w:hAnsi="仿宋" w:eastAsia="仿宋" w:cs="仿宋"/>
          <w:spacing w:val="72"/>
          <w:sz w:val="32"/>
          <w:szCs w:val="32"/>
        </w:rPr>
        <w:fldChar w:fldCharType="end"/>
      </w:r>
    </w:p>
    <w:p>
      <w:pPr>
        <w:rPr>
          <w:b/>
          <w:spacing w:val="72"/>
          <w:sz w:val="48"/>
        </w:rPr>
        <w:sectPr>
          <w:footerReference r:id="rId15" w:type="default"/>
          <w:pgSz w:w="11906" w:h="16838"/>
          <w:pgMar w:top="1440" w:right="1803" w:bottom="1440" w:left="1803" w:header="851" w:footer="992" w:gutter="0"/>
          <w:pgNumType w:fmt="numberInDash" w:start="1"/>
          <w:cols w:space="720" w:num="1"/>
          <w:docGrid w:type="lines" w:linePitch="312" w:charSpace="0"/>
        </w:sectPr>
      </w:pPr>
      <w:r>
        <w:rPr>
          <w:rFonts w:ascii="Times New Roman" w:hAnsi="Times New Roman" w:eastAsia="宋体" w:cs="Times New Roman"/>
          <w:spacing w:val="72"/>
          <w:kern w:val="2"/>
          <w:sz w:val="21"/>
          <w:szCs w:val="24"/>
          <w:lang w:val="en-US" w:eastAsia="zh-CN" w:bidi="ar-SA"/>
        </w:rPr>
        <w:fldChar w:fldCharType="end"/>
      </w:r>
    </w:p>
    <w:p>
      <w:pPr>
        <w:spacing w:line="500" w:lineRule="exact"/>
        <w:jc w:val="center"/>
        <w:outlineLvl w:val="0"/>
        <w:rPr>
          <w:rFonts w:hint="eastAsia" w:ascii="新宋体" w:hAnsi="新宋体" w:eastAsia="新宋体" w:cs="Times New Roman"/>
          <w:b/>
          <w:spacing w:val="72"/>
          <w:sz w:val="48"/>
          <w:szCs w:val="48"/>
        </w:rPr>
      </w:pPr>
      <w:bookmarkStart w:id="10" w:name="_Toc26752"/>
      <w:r>
        <w:rPr>
          <w:rFonts w:hint="eastAsia" w:ascii="新宋体" w:hAnsi="新宋体" w:eastAsia="新宋体" w:cs="Times New Roman"/>
          <w:b/>
          <w:spacing w:val="72"/>
          <w:sz w:val="48"/>
          <w:szCs w:val="48"/>
        </w:rPr>
        <w:t>四川檀诚会计师事务所有限公司</w:t>
      </w:r>
      <w:bookmarkEnd w:id="10"/>
    </w:p>
    <w:p>
      <w:pPr>
        <w:spacing w:line="500" w:lineRule="exact"/>
        <w:ind w:firstLine="176" w:firstLineChars="50"/>
        <w:rPr>
          <w:rFonts w:hint="eastAsia" w:ascii="新宋体" w:hAnsi="新宋体" w:eastAsia="新宋体" w:cs="Times New Roman"/>
          <w:b/>
          <w:w w:val="90"/>
          <w:sz w:val="52"/>
          <w:szCs w:val="52"/>
        </w:rPr>
      </w:pPr>
      <w:r>
        <w:rPr>
          <w:rFonts w:ascii="Times New Roman" w:hAnsi="Times New Roman" w:eastAsia="宋体" w:cs="Times New Roman"/>
          <w:spacing w:val="50"/>
          <w:w w:val="90"/>
          <w:sz w:val="28"/>
          <w:szCs w:val="28"/>
        </w:rPr>
        <w:t>S</w:t>
      </w:r>
      <w:r>
        <w:rPr>
          <w:rFonts w:hint="eastAsia" w:ascii="Times New Roman" w:hAnsi="Times New Roman" w:eastAsia="宋体" w:cs="Times New Roman"/>
          <w:spacing w:val="50"/>
          <w:w w:val="90"/>
          <w:sz w:val="28"/>
          <w:szCs w:val="28"/>
        </w:rPr>
        <w:t>ichuan Tan Cheng Certified Public Accountants Co.,Ltd</w:t>
      </w:r>
    </w:p>
    <w:p>
      <w:pPr>
        <w:spacing w:before="156" w:beforeLines="50"/>
        <w:rPr>
          <w:rFonts w:hint="eastAsia" w:ascii="宋体" w:hAnsi="宋体" w:eastAsia="宋体" w:cs="Times New Roman"/>
          <w:sz w:val="24"/>
        </w:rPr>
      </w:pPr>
      <w:r>
        <w:rPr>
          <w:rFonts w:ascii="宋体" w:hAnsi="宋体" w:eastAsia="宋体" w:cs="Times New Roman"/>
          <w:b/>
          <w:sz w:val="84"/>
          <w:szCs w:val="84"/>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81280</wp:posOffset>
                </wp:positionV>
                <wp:extent cx="58674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5867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pt;margin-top:6.4pt;height:0pt;width:462pt;z-index:251659264;mso-width-relative:page;mso-height-relative:page;" filled="f" stroked="t" coordsize="21600,21600" o:gfxdata="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D+pIH1AAAAAkBAAAPAAAA&#10;AAAAAAEAIAAAACIAAABkcnMvZG93bnJldi54bWxQSwECFAAUAAAACACHTuJAOX1OauABAACmAwAA&#10;DgAAAAAAAAABACAAAAAjAQAAZHJzL2Uyb0RvYy54bWxQSwUGAAAAAAYABgBZAQAAdQUAAAAA&#10;">
                <v:fill on="f" focussize="0,0"/>
                <v:stroke color="#000000" joinstyle="round"/>
                <v:imagedata o:title=""/>
                <o:lock v:ext="edit" aspectratio="f"/>
              </v:line>
            </w:pict>
          </mc:Fallback>
        </mc:AlternateContent>
      </w:r>
      <w:r>
        <w:rPr>
          <w:rFonts w:hint="eastAsia" w:ascii="宋体" w:hAnsi="宋体" w:eastAsia="宋体" w:cs="Times New Roman"/>
          <w:sz w:val="24"/>
        </w:rPr>
        <w:t xml:space="preserve">                   </w:t>
      </w:r>
      <w:r>
        <w:rPr>
          <w:rFonts w:hint="eastAsia" w:ascii="宋体" w:hAnsi="宋体" w:eastAsia="宋体" w:cs="Times New Roman"/>
          <w:szCs w:val="21"/>
        </w:rPr>
        <w:t xml:space="preserve">  </w:t>
      </w:r>
      <w:r>
        <w:rPr>
          <w:rFonts w:hint="eastAsia" w:ascii="宋体" w:hAnsi="宋体" w:eastAsia="宋体" w:cs="Times New Roman"/>
          <w:sz w:val="24"/>
        </w:rPr>
        <w:t xml:space="preserve">                           </w:t>
      </w:r>
      <w:r>
        <w:rPr>
          <w:rFonts w:hint="eastAsia" w:ascii="宋体" w:hAnsi="宋体" w:eastAsia="宋体" w:cs="Times New Roman"/>
          <w:szCs w:val="21"/>
        </w:rPr>
        <w:t>川檀会审核字〔2021〕第</w:t>
      </w:r>
      <w:r>
        <w:rPr>
          <w:rFonts w:hint="eastAsia" w:ascii="宋体" w:hAnsi="宋体" w:eastAsia="宋体" w:cs="Times New Roman"/>
          <w:szCs w:val="21"/>
          <w:lang w:val="en-US" w:eastAsia="zh-CN"/>
        </w:rPr>
        <w:t>019</w:t>
      </w:r>
      <w:r>
        <w:rPr>
          <w:rFonts w:hint="eastAsia" w:ascii="宋体" w:hAnsi="宋体" w:eastAsia="宋体" w:cs="Times New Roman"/>
          <w:szCs w:val="21"/>
        </w:rPr>
        <w:t>号</w:t>
      </w:r>
    </w:p>
    <w:p>
      <w:pPr>
        <w:jc w:val="center"/>
        <w:rPr>
          <w:rFonts w:hint="eastAsia" w:ascii="Times New Roman" w:hAnsi="Times New Roman" w:eastAsia="方正小标宋简体" w:cs="Times New Roman"/>
          <w:sz w:val="44"/>
          <w:szCs w:val="44"/>
        </w:rPr>
      </w:pPr>
    </w:p>
    <w:p>
      <w:pPr>
        <w:jc w:val="center"/>
        <w:outlineLvl w:val="0"/>
        <w:rPr>
          <w:rFonts w:ascii="Times New Roman" w:hAnsi="Times New Roman" w:eastAsia="方正小标宋简体" w:cs="Times New Roman"/>
          <w:sz w:val="44"/>
          <w:szCs w:val="44"/>
        </w:rPr>
      </w:pPr>
      <w:bookmarkStart w:id="11" w:name="_Toc18954"/>
      <w:r>
        <w:rPr>
          <w:rFonts w:hint="eastAsia" w:ascii="Times New Roman" w:hAnsi="Times New Roman" w:eastAsia="方正小标宋简体" w:cs="Times New Roman"/>
          <w:sz w:val="44"/>
          <w:szCs w:val="44"/>
        </w:rPr>
        <w:t>部门整体支出</w:t>
      </w:r>
      <w:r>
        <w:rPr>
          <w:rFonts w:ascii="Times New Roman" w:hAnsi="Times New Roman" w:eastAsia="方正小标宋简体" w:cs="Times New Roman"/>
          <w:sz w:val="44"/>
          <w:szCs w:val="44"/>
        </w:rPr>
        <w:t>绩效评价</w:t>
      </w:r>
      <w:r>
        <w:rPr>
          <w:rFonts w:hint="eastAsia" w:ascii="Times New Roman" w:hAnsi="Times New Roman" w:eastAsia="方正小标宋简体" w:cs="Times New Roman"/>
          <w:sz w:val="44"/>
          <w:szCs w:val="44"/>
        </w:rPr>
        <w:t>报告</w:t>
      </w:r>
      <w:bookmarkEnd w:id="11"/>
    </w:p>
    <w:p>
      <w:pPr>
        <w:jc w:val="right"/>
        <w:rPr>
          <w:rFonts w:hint="eastAsia" w:ascii="Times New Roman" w:hAnsi="Times New Roman" w:eastAsia="宋体" w:cs="Times New Roman"/>
          <w:sz w:val="24"/>
        </w:rPr>
      </w:pPr>
    </w:p>
    <w:p>
      <w:pPr>
        <w:jc w:val="right"/>
        <w:rPr>
          <w:rFonts w:ascii="Times New Roman" w:hAnsi="Times New Roman" w:eastAsia="宋体" w:cs="Times New Roman"/>
          <w:sz w:val="24"/>
        </w:rPr>
      </w:pPr>
    </w:p>
    <w:p>
      <w:pPr>
        <w:spacing w:line="360" w:lineRule="auto"/>
        <w:rPr>
          <w:rFonts w:hint="eastAsia" w:ascii="仿宋" w:hAnsi="仿宋" w:eastAsia="仿宋" w:cs="仿宋"/>
          <w:sz w:val="32"/>
          <w:szCs w:val="32"/>
        </w:rPr>
      </w:pPr>
      <w:r>
        <w:rPr>
          <w:rFonts w:hint="eastAsia" w:ascii="仿宋" w:hAnsi="仿宋" w:eastAsia="仿宋" w:cs="仿宋"/>
          <w:sz w:val="32"/>
          <w:szCs w:val="32"/>
        </w:rPr>
        <w:t>旺苍县财政局：</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我们接受贵局委托，按照旺苍县财政局《关于开展2021年财政支出绩效评价工作的通知》（旺财绩〔2020〕3号）</w:t>
      </w:r>
      <w:r>
        <w:rPr>
          <w:rFonts w:hint="eastAsia" w:ascii="仿宋" w:hAnsi="仿宋" w:eastAsia="仿宋" w:cs="仿宋"/>
          <w:kern w:val="0"/>
          <w:sz w:val="32"/>
          <w:szCs w:val="32"/>
        </w:rPr>
        <w:t>、《中共旺苍县委、旺苍县人民政府关于全面实施预算绩效管理的实施意见》（旺委发</w:t>
      </w:r>
      <w:r>
        <w:rPr>
          <w:rFonts w:hint="eastAsia" w:ascii="仿宋" w:hAnsi="仿宋" w:eastAsia="仿宋" w:cs="仿宋"/>
          <w:sz w:val="32"/>
          <w:szCs w:val="32"/>
        </w:rPr>
        <w:t>〔2020〕</w:t>
      </w:r>
      <w:r>
        <w:rPr>
          <w:rFonts w:hint="eastAsia" w:ascii="仿宋" w:hAnsi="仿宋" w:eastAsia="仿宋" w:cs="仿宋"/>
          <w:kern w:val="0"/>
          <w:sz w:val="32"/>
          <w:szCs w:val="32"/>
        </w:rPr>
        <w:t>7号）</w:t>
      </w:r>
      <w:r>
        <w:rPr>
          <w:rFonts w:hint="eastAsia" w:ascii="仿宋" w:hAnsi="仿宋" w:eastAsia="仿宋" w:cs="仿宋"/>
          <w:sz w:val="32"/>
          <w:szCs w:val="32"/>
        </w:rPr>
        <w:t>，于2021年9月22-27日对旺苍县人民检察院2020年部门整体支出开展绩效评价，评价情况如下：</w:t>
      </w:r>
    </w:p>
    <w:p>
      <w:pPr>
        <w:pStyle w:val="4"/>
        <w:ind w:left="0" w:leftChars="0"/>
        <w:jc w:val="left"/>
        <w:rPr>
          <w:rFonts w:hint="eastAsia" w:ascii="黑体" w:hAnsi="黑体" w:eastAsia="黑体" w:cs="黑体"/>
        </w:rPr>
      </w:pPr>
      <w:bookmarkStart w:id="12" w:name="_Toc2649"/>
      <w:r>
        <w:rPr>
          <w:rFonts w:hint="eastAsia" w:ascii="黑体" w:hAnsi="黑体" w:eastAsia="黑体" w:cs="黑体"/>
        </w:rPr>
        <w:t>一、部门概况</w:t>
      </w:r>
      <w:bookmarkEnd w:id="12"/>
    </w:p>
    <w:p>
      <w:pPr>
        <w:keepNext/>
        <w:keepLines/>
        <w:widowControl w:val="0"/>
        <w:spacing w:before="260" w:after="260" w:line="415" w:lineRule="auto"/>
        <w:ind w:left="420" w:leftChars="200"/>
        <w:jc w:val="both"/>
        <w:outlineLvl w:val="1"/>
        <w:rPr>
          <w:rFonts w:hint="eastAsia" w:ascii="仿宋" w:hAnsi="仿宋" w:eastAsia="仿宋" w:cs="仿宋"/>
          <w:b/>
          <w:bCs/>
          <w:kern w:val="2"/>
          <w:sz w:val="32"/>
          <w:szCs w:val="32"/>
          <w:lang w:val="en-US" w:eastAsia="zh-CN" w:bidi="ar-SA"/>
        </w:rPr>
      </w:pPr>
      <w:bookmarkStart w:id="13" w:name="_Toc29845"/>
      <w:r>
        <w:rPr>
          <w:rFonts w:hint="eastAsia" w:ascii="仿宋" w:hAnsi="仿宋" w:eastAsia="仿宋" w:cs="仿宋"/>
          <w:b/>
          <w:bCs/>
          <w:kern w:val="2"/>
          <w:sz w:val="32"/>
          <w:szCs w:val="32"/>
          <w:lang w:val="en-US" w:eastAsia="zh-CN" w:bidi="ar-SA"/>
        </w:rPr>
        <w:t>（一）机构构成</w:t>
      </w:r>
      <w:bookmarkEnd w:id="13"/>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旺苍县人民检察院属于一级行政单位，无下属二级单位。内设机构5个，派驻检查室2个：</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1、办公室。负责机关文电、会务、机要、档案、保密等工作。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2、第一检察部（未成年人检察部）。负责对法律规定由旺苍县人民检察院办理的刑事案件的审查逮捕、审查起诉、出庭支持公诉、抗诉，开展相关立案监督、侦查监督、审判监督及相关案件的补充侦查。</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第二检察部（生态环境资源检察部）。负责办理向旺苍县人民检察院申请监督的民事、行政案件的审查、提请抗诉。承办对旺苍县人民法院民事、行政诉讼活动的法律监督，对审判监督程序以外的其他民事、行政审判程序中审判人员违法行为提出检察建议，对民事、行政执行活动实行法律监督。</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4、第三检察部。负责对看守所和社区矫正机构等执法活动的监督，对刑事判决、裁定执行、强制医疗执行、羁押和办案期限的监督，羁押必要性审查。</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5、政治部（司法警察大队）。负责本院思想政治工作、新闻宣传、舆论引导、组织人事、教育培训、离退休人员工作。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6、旺苍县人民检察院派驻嘉川检察室。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7、派驻检察室。</w:t>
      </w:r>
    </w:p>
    <w:p>
      <w:pPr>
        <w:keepNext/>
        <w:keepLines/>
        <w:widowControl w:val="0"/>
        <w:spacing w:before="260" w:after="260" w:line="415" w:lineRule="auto"/>
        <w:ind w:left="420" w:leftChars="200"/>
        <w:jc w:val="both"/>
        <w:outlineLvl w:val="1"/>
        <w:rPr>
          <w:rFonts w:hint="eastAsia" w:ascii="仿宋" w:hAnsi="仿宋" w:eastAsia="仿宋" w:cs="仿宋"/>
          <w:b/>
          <w:bCs/>
          <w:kern w:val="2"/>
          <w:sz w:val="32"/>
          <w:szCs w:val="32"/>
          <w:lang w:val="en-US" w:eastAsia="zh-CN" w:bidi="ar-SA"/>
        </w:rPr>
      </w:pPr>
      <w:bookmarkStart w:id="14" w:name="_Toc26267"/>
      <w:r>
        <w:rPr>
          <w:rFonts w:hint="eastAsia" w:ascii="仿宋" w:hAnsi="仿宋" w:eastAsia="仿宋" w:cs="仿宋"/>
          <w:b/>
          <w:bCs/>
          <w:kern w:val="2"/>
          <w:sz w:val="32"/>
          <w:szCs w:val="32"/>
          <w:lang w:val="en-US" w:eastAsia="zh-CN" w:bidi="ar-SA"/>
        </w:rPr>
        <w:t>（二）基本职能</w:t>
      </w:r>
      <w:bookmarkEnd w:id="14"/>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人民检察院是国家的法律监督机关。旺苍县人民检察院通过依法独立行使检察权，监督法律实施，惩罚犯罪活动，保护国家安全、人民民主专政政权和社会主义制度，保护公民、法人和其他组织的合法权益，维护国家法律的统一和正确实施。接受县委和上级检察机关的领导，对旺苍县人民代表大会及其常委负责并报告工作，接受监督。不受行政机关、社会团体和个人的干涉。</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1.依法向旺苍县人民代表大会常务委员会提出议案。</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2.贯彻执行上级检察机关的工作方针和工作部署。</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3.对叛国案、分裂国家案以及严重破坏国家政策、法律、法令、政令统一实施的重大犯罪案件，依法行使检察权。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4.依法对国家机关工作人员利用职权实施的非法拘禁、刑讯逼供、报复陷害、非法搜查的侵犯公民人身权利和民主权利的犯罪以及国家机关工作人员利用职权实施的其他重大犯罪案件进行侦查。</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5.依法审查公安机关和本院侦查部门提请批捕和移送起诉的刑事犯罪案件，决定是否逮捕和依法向同级人民法院提起公诉，并对侦查和审判活动依法进行监督。</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6.负责对执行机关执行刑罚的活动依法实行监督。</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7.依法对民事、行政、经济案件的审判、裁定活动实行监督。</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8.对同级人民法院确有错误的判决、裁定依法提请或提起抗诉。</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9.受理单位和个人的报案、控告、申诉和举报，接受犯罪嫌疑人的自首。</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10.负责本院的行政装备、检察技术、检察宣传和应用法律的调研工作。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11.研究国家机关工作人员职务犯罪预防工作并提出预防对策；负责工作预防职务犯罪的法制宣传工作。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12.负责本院干警的思想政治工作和队伍建设，依法管理检察官和其他检察人员的工作，制定管理办法。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13.按照干部管理权限规定，协同县委和市检察党组考核副检察长、政治处主任；协同县委及组织部门对其他科级领导干部的考核；协助县委组织部门管理、考核检察员、检察委员会委员及考察、任免中层领导干部；依法办理向人大常委会提请任免副检察长、检察委员会委员、检察员的议案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14.协助县级主管部门和市检察院管理本院机构设置和人员编制。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15.负责其他应当由本院承办的事项。</w:t>
      </w:r>
    </w:p>
    <w:p>
      <w:pPr>
        <w:keepNext/>
        <w:keepLines/>
        <w:widowControl w:val="0"/>
        <w:spacing w:before="260" w:after="260" w:line="415" w:lineRule="auto"/>
        <w:ind w:left="420" w:leftChars="200"/>
        <w:jc w:val="both"/>
        <w:outlineLvl w:val="1"/>
        <w:rPr>
          <w:rFonts w:hint="eastAsia" w:ascii="仿宋" w:hAnsi="仿宋" w:eastAsia="仿宋" w:cs="仿宋"/>
          <w:b/>
          <w:bCs/>
          <w:kern w:val="2"/>
          <w:sz w:val="32"/>
          <w:szCs w:val="32"/>
          <w:lang w:val="en-US" w:eastAsia="zh-CN" w:bidi="ar-SA"/>
        </w:rPr>
      </w:pPr>
      <w:bookmarkStart w:id="15" w:name="_Toc10181"/>
      <w:r>
        <w:rPr>
          <w:rFonts w:hint="eastAsia" w:ascii="仿宋" w:hAnsi="仿宋" w:eastAsia="仿宋" w:cs="仿宋"/>
          <w:b/>
          <w:bCs/>
          <w:kern w:val="2"/>
          <w:sz w:val="32"/>
          <w:szCs w:val="32"/>
          <w:lang w:val="en-US" w:eastAsia="zh-CN" w:bidi="ar-SA"/>
        </w:rPr>
        <w:t>（三）人员结构及相关情况</w:t>
      </w:r>
      <w:bookmarkEnd w:id="15"/>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旺苍县人民检察院总编制44名，其中政法专项44名，事业编制0名（其中：参照公务员法管理的事业编制0名）。在职人员总数40人，其中：公务员37人，机关工勤人员3人，事业人员0人（其中：参照公务员法管理的事业人员0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另根据省检察院、省法院、省人社厅、省财政厅关于聘用制书记员的相关规定，我院现有15名聘用制书记员、12名协警。</w:t>
      </w:r>
    </w:p>
    <w:p>
      <w:pPr>
        <w:pStyle w:val="4"/>
        <w:ind w:left="0" w:leftChars="0"/>
        <w:jc w:val="left"/>
        <w:rPr>
          <w:rFonts w:hint="eastAsia" w:ascii="黑体" w:hAnsi="黑体" w:eastAsia="黑体" w:cs="黑体"/>
        </w:rPr>
      </w:pPr>
      <w:bookmarkStart w:id="16" w:name="_Toc25152"/>
      <w:r>
        <w:rPr>
          <w:rFonts w:hint="eastAsia" w:ascii="黑体" w:hAnsi="黑体" w:eastAsia="黑体" w:cs="黑体"/>
        </w:rPr>
        <w:t>二、部门财政资金收支情况</w:t>
      </w:r>
      <w:bookmarkEnd w:id="16"/>
    </w:p>
    <w:p>
      <w:pPr>
        <w:keepNext/>
        <w:keepLines/>
        <w:widowControl w:val="0"/>
        <w:spacing w:before="260" w:after="260" w:line="415" w:lineRule="auto"/>
        <w:ind w:left="420" w:leftChars="200"/>
        <w:jc w:val="both"/>
        <w:outlineLvl w:val="1"/>
        <w:rPr>
          <w:rFonts w:hint="eastAsia" w:ascii="仿宋" w:hAnsi="仿宋" w:eastAsia="仿宋" w:cs="仿宋"/>
          <w:b/>
          <w:bCs/>
          <w:kern w:val="2"/>
          <w:sz w:val="32"/>
          <w:szCs w:val="32"/>
          <w:lang w:val="en-US" w:eastAsia="zh-CN" w:bidi="ar-SA"/>
        </w:rPr>
      </w:pPr>
      <w:bookmarkStart w:id="17" w:name="_Toc11734"/>
      <w:r>
        <w:rPr>
          <w:rFonts w:hint="eastAsia" w:ascii="仿宋" w:hAnsi="仿宋" w:eastAsia="仿宋" w:cs="仿宋"/>
          <w:b/>
          <w:bCs/>
          <w:kern w:val="2"/>
          <w:sz w:val="32"/>
          <w:szCs w:val="32"/>
          <w:lang w:val="en-US" w:eastAsia="zh-CN" w:bidi="ar-SA"/>
        </w:rPr>
        <w:t>（一）部门决策情况</w:t>
      </w:r>
      <w:bookmarkEnd w:id="17"/>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1、大力推进刑事检察向更优发展。坚决维护国家政治安全和社会稳定。尤其要深入推进扫黑除恶专项斗争，依法打击涉疫犯罪，切实落实依法平等保护民营企业各项措施。</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2、大力推进民事检察向更强发展。切实改变“重刑轻民”观念，拓宽民事监督的广度和深度。更新理念，创新治理方式化解社会矛盾，实现案结事了人和。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3、大力推进行政检察向更实发展。健全以“精准化”为导向的行政诉讼监督机制，加大行政非诉执行监督力度。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4、大力推进公益诉讼向更好发展。按照最高检“积极、稳妥”原则、省院“稳规模、调结构、重质效、塑品牌”要求，积极开展“公益诉讼守护美好生活”专项监督行动，助力高质量发展。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5、大力推进检察队伍向四化发展。巩固提升“不忘初心、牢记使命”主题教育成果，持续推进能力素质建设。</w:t>
      </w:r>
    </w:p>
    <w:p>
      <w:pPr>
        <w:keepNext/>
        <w:keepLines/>
        <w:widowControl w:val="0"/>
        <w:spacing w:before="260" w:after="260" w:line="415" w:lineRule="auto"/>
        <w:ind w:left="420" w:leftChars="200"/>
        <w:jc w:val="both"/>
        <w:outlineLvl w:val="1"/>
        <w:rPr>
          <w:rFonts w:hint="eastAsia" w:ascii="仿宋" w:hAnsi="仿宋" w:eastAsia="仿宋" w:cs="仿宋"/>
          <w:b/>
          <w:bCs/>
          <w:kern w:val="2"/>
          <w:sz w:val="32"/>
          <w:szCs w:val="32"/>
          <w:lang w:val="en-US" w:eastAsia="zh-CN" w:bidi="ar-SA"/>
        </w:rPr>
      </w:pPr>
      <w:bookmarkStart w:id="18" w:name="_Toc15154"/>
      <w:r>
        <w:rPr>
          <w:rFonts w:hint="eastAsia" w:ascii="仿宋" w:hAnsi="仿宋" w:eastAsia="仿宋" w:cs="仿宋"/>
          <w:b/>
          <w:bCs/>
          <w:kern w:val="2"/>
          <w:sz w:val="32"/>
          <w:szCs w:val="32"/>
          <w:lang w:val="en-US" w:eastAsia="zh-CN" w:bidi="ar-SA"/>
        </w:rPr>
        <w:t>（二）部门财政资金收入情况</w:t>
      </w:r>
      <w:bookmarkEnd w:id="18"/>
    </w:p>
    <w:p>
      <w:pPr>
        <w:pStyle w:val="6"/>
        <w:ind w:firstLine="643" w:firstLineChars="200"/>
        <w:rPr>
          <w:rFonts w:hint="eastAsia" w:ascii="仿宋" w:hAnsi="仿宋" w:eastAsia="仿宋" w:cs="仿宋"/>
        </w:rPr>
      </w:pPr>
      <w:bookmarkStart w:id="19" w:name="_Toc24375"/>
      <w:r>
        <w:rPr>
          <w:rFonts w:hint="eastAsia" w:ascii="仿宋" w:hAnsi="仿宋" w:eastAsia="仿宋" w:cs="仿宋"/>
        </w:rPr>
        <w:t>1、收入预算情况</w:t>
      </w:r>
      <w:bookmarkEnd w:id="19"/>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2020年收入预算9,960,727.60元，其中：财政拨款收入9,807,326.00元、其他收入153,401.60元。</w:t>
      </w:r>
    </w:p>
    <w:p>
      <w:pPr>
        <w:pStyle w:val="6"/>
        <w:ind w:firstLine="643" w:firstLineChars="200"/>
        <w:rPr>
          <w:rFonts w:hint="eastAsia" w:ascii="仿宋" w:hAnsi="仿宋" w:eastAsia="仿宋" w:cs="仿宋"/>
        </w:rPr>
      </w:pPr>
      <w:bookmarkStart w:id="20" w:name="_Toc31111"/>
      <w:r>
        <w:rPr>
          <w:rFonts w:hint="eastAsia" w:ascii="仿宋" w:hAnsi="仿宋" w:eastAsia="仿宋" w:cs="仿宋"/>
        </w:rPr>
        <w:t>2、收入决算情况</w:t>
      </w:r>
      <w:bookmarkEnd w:id="20"/>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2020年收入决算9,960,727.60元，其中：财政拨款收入9,807,326.00元、其他收入153,401.60元。</w:t>
      </w:r>
    </w:p>
    <w:p>
      <w:pPr>
        <w:keepNext/>
        <w:keepLines/>
        <w:widowControl w:val="0"/>
        <w:spacing w:before="260" w:after="260" w:line="415" w:lineRule="auto"/>
        <w:ind w:left="420" w:leftChars="200"/>
        <w:jc w:val="both"/>
        <w:outlineLvl w:val="1"/>
        <w:rPr>
          <w:rFonts w:hint="eastAsia" w:ascii="仿宋" w:hAnsi="仿宋" w:eastAsia="仿宋" w:cs="仿宋"/>
          <w:b/>
          <w:bCs/>
          <w:kern w:val="2"/>
          <w:sz w:val="32"/>
          <w:szCs w:val="32"/>
          <w:lang w:val="en-US" w:eastAsia="zh-CN" w:bidi="ar-SA"/>
        </w:rPr>
      </w:pPr>
      <w:bookmarkStart w:id="21" w:name="_Toc5995"/>
      <w:r>
        <w:rPr>
          <w:rFonts w:hint="eastAsia" w:ascii="仿宋" w:hAnsi="仿宋" w:eastAsia="仿宋" w:cs="仿宋"/>
          <w:b/>
          <w:bCs/>
          <w:kern w:val="2"/>
          <w:sz w:val="32"/>
          <w:szCs w:val="32"/>
          <w:lang w:val="en-US" w:eastAsia="zh-CN" w:bidi="ar-SA"/>
        </w:rPr>
        <w:t>（三）部门财政资金支出情况</w:t>
      </w:r>
      <w:bookmarkEnd w:id="21"/>
    </w:p>
    <w:p>
      <w:pPr>
        <w:pStyle w:val="6"/>
        <w:ind w:firstLine="643" w:firstLineChars="200"/>
        <w:rPr>
          <w:rFonts w:hint="eastAsia" w:ascii="仿宋" w:hAnsi="仿宋" w:eastAsia="仿宋" w:cs="仿宋"/>
        </w:rPr>
      </w:pPr>
      <w:bookmarkStart w:id="22" w:name="_Toc14201"/>
      <w:r>
        <w:rPr>
          <w:rFonts w:hint="eastAsia" w:ascii="仿宋" w:hAnsi="仿宋" w:eastAsia="仿宋" w:cs="仿宋"/>
        </w:rPr>
        <w:t>1、支出预算情况</w:t>
      </w:r>
      <w:bookmarkEnd w:id="22"/>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2020年支出预算13,894,508.68元，其中：基本支出8,418,915.31元、项目支出5,475,593.37元。</w:t>
      </w:r>
    </w:p>
    <w:p>
      <w:pPr>
        <w:pStyle w:val="6"/>
        <w:ind w:firstLine="643" w:firstLineChars="200"/>
        <w:rPr>
          <w:rFonts w:hint="eastAsia" w:ascii="仿宋" w:hAnsi="仿宋" w:eastAsia="仿宋" w:cs="仿宋"/>
        </w:rPr>
      </w:pPr>
      <w:bookmarkStart w:id="23" w:name="_Toc27026"/>
      <w:r>
        <w:rPr>
          <w:rFonts w:hint="eastAsia" w:ascii="仿宋" w:hAnsi="仿宋" w:eastAsia="仿宋" w:cs="仿宋"/>
        </w:rPr>
        <w:t>2、支出决算情况</w:t>
      </w:r>
      <w:bookmarkEnd w:id="23"/>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2020年支出决算9,795,302.28元，其中：基本支出8,229,503.91元、项目支出1,565,798.37元。</w:t>
      </w:r>
    </w:p>
    <w:p>
      <w:pPr>
        <w:pStyle w:val="4"/>
        <w:ind w:left="0" w:leftChars="0"/>
        <w:jc w:val="left"/>
        <w:rPr>
          <w:rFonts w:hint="eastAsia" w:ascii="黑体" w:hAnsi="黑体" w:eastAsia="黑体" w:cs="黑体"/>
        </w:rPr>
      </w:pPr>
      <w:bookmarkStart w:id="24" w:name="_Toc24105"/>
      <w:r>
        <w:rPr>
          <w:rFonts w:hint="eastAsia" w:ascii="黑体" w:hAnsi="黑体" w:eastAsia="黑体" w:cs="黑体"/>
        </w:rPr>
        <w:t>三、评价结论和绩效分析</w:t>
      </w:r>
      <w:bookmarkEnd w:id="24"/>
    </w:p>
    <w:p>
      <w:pPr>
        <w:keepNext/>
        <w:keepLines/>
        <w:widowControl w:val="0"/>
        <w:spacing w:before="260" w:after="260" w:line="415" w:lineRule="auto"/>
        <w:ind w:left="420" w:leftChars="200"/>
        <w:jc w:val="both"/>
        <w:outlineLvl w:val="1"/>
        <w:rPr>
          <w:rFonts w:hint="eastAsia" w:ascii="仿宋" w:hAnsi="仿宋" w:eastAsia="仿宋" w:cs="仿宋"/>
          <w:b/>
          <w:bCs/>
          <w:kern w:val="2"/>
          <w:sz w:val="32"/>
          <w:szCs w:val="32"/>
          <w:lang w:val="en-US" w:eastAsia="zh-CN" w:bidi="ar-SA"/>
        </w:rPr>
      </w:pPr>
      <w:bookmarkStart w:id="25" w:name="_Toc23214"/>
      <w:r>
        <w:rPr>
          <w:rFonts w:hint="eastAsia" w:ascii="仿宋" w:hAnsi="仿宋" w:eastAsia="仿宋" w:cs="仿宋"/>
          <w:b/>
          <w:bCs/>
          <w:kern w:val="2"/>
          <w:sz w:val="32"/>
          <w:szCs w:val="32"/>
          <w:lang w:val="en-US" w:eastAsia="zh-CN" w:bidi="ar-SA"/>
        </w:rPr>
        <w:t>（一）评价结论</w:t>
      </w:r>
      <w:bookmarkEnd w:id="25"/>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部门整体支出绩效评价从部门预算管理、绩效结果应用两个大的方面进行评价，评价得分采用百分制。经评价，旺苍县人民检察院2020年部门整体支出绩效评价总体得分80.49分，其中，部门预算管理满分80分，评价得分62.49分，得分率79.11%；绩效结果应用满分20分，评价得分18分，得分率90%。</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评价组按照《中华人民共和国预算法》、《中共中央国务院关于全面实施预算绩效管理的意见》（财预〔2018〕167号）、</w:t>
      </w:r>
      <w:r>
        <w:rPr>
          <w:rFonts w:hint="eastAsia" w:ascii="仿宋" w:hAnsi="仿宋" w:eastAsia="仿宋" w:cs="仿宋"/>
          <w:snapToGrid w:val="0"/>
          <w:kern w:val="0"/>
          <w:sz w:val="32"/>
          <w:szCs w:val="32"/>
        </w:rPr>
        <w:t>《中共中央、国务院关于全面实施预算绩效管理的意见》（中发</w:t>
      </w:r>
      <w:r>
        <w:rPr>
          <w:rFonts w:hint="eastAsia" w:ascii="仿宋" w:hAnsi="仿宋" w:eastAsia="仿宋" w:cs="仿宋"/>
          <w:sz w:val="32"/>
          <w:szCs w:val="32"/>
        </w:rPr>
        <w:t>〔2018〕</w:t>
      </w:r>
      <w:r>
        <w:rPr>
          <w:rFonts w:hint="eastAsia" w:ascii="仿宋" w:hAnsi="仿宋" w:eastAsia="仿宋" w:cs="仿宋"/>
          <w:snapToGrid w:val="0"/>
          <w:kern w:val="0"/>
          <w:sz w:val="32"/>
          <w:szCs w:val="32"/>
        </w:rPr>
        <w:t>34号）、</w:t>
      </w:r>
      <w:r>
        <w:rPr>
          <w:rFonts w:hint="eastAsia" w:ascii="仿宋" w:hAnsi="仿宋" w:eastAsia="仿宋" w:cs="仿宋"/>
          <w:sz w:val="32"/>
          <w:szCs w:val="32"/>
        </w:rPr>
        <w:t>《关于推进预算绩效管理的指导意见》（财预〔2011〕416号）、《财政支出绩效评价管理暂行办法》（财预〔2011〕285号）、《预算绩效评价共性指标体系框架》（财预〔2013〕53号）将得分将评价标准划分为四个等级，分别为：评价计分90分（含）～100分对应的评价标准等级为“优”；80分（含）～90分对应的评价标准等级为“良”；60分（含）～80分对应的评价标准等级为“中”；60分以下对应的评价标准等级为“差”。</w:t>
      </w:r>
      <w:r>
        <w:rPr>
          <w:rFonts w:hint="eastAsia" w:ascii="仿宋" w:hAnsi="仿宋" w:eastAsia="仿宋" w:cs="仿宋"/>
          <w:kern w:val="0"/>
          <w:sz w:val="32"/>
          <w:szCs w:val="32"/>
        </w:rPr>
        <w:t>旺苍县人民检察院</w:t>
      </w:r>
      <w:r>
        <w:rPr>
          <w:rFonts w:hint="eastAsia" w:ascii="仿宋" w:hAnsi="仿宋" w:eastAsia="仿宋" w:cs="仿宋"/>
          <w:sz w:val="32"/>
          <w:szCs w:val="32"/>
        </w:rPr>
        <w:t>的绩效评分对应的等级为“良”。</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此次评价工作得到了</w:t>
      </w:r>
      <w:r>
        <w:rPr>
          <w:rFonts w:hint="eastAsia" w:ascii="仿宋" w:hAnsi="仿宋" w:eastAsia="仿宋" w:cs="仿宋"/>
          <w:kern w:val="0"/>
          <w:sz w:val="32"/>
          <w:szCs w:val="32"/>
        </w:rPr>
        <w:t>旺苍县人民检察院</w:t>
      </w:r>
      <w:r>
        <w:rPr>
          <w:rFonts w:hint="eastAsia" w:ascii="仿宋" w:hAnsi="仿宋" w:eastAsia="仿宋" w:cs="仿宋"/>
          <w:sz w:val="32"/>
          <w:szCs w:val="32"/>
        </w:rPr>
        <w:t>的支持、配合。对于我们提出的问题的陈述和解答较为细致、具体。被评价单位尊重此次工作并高度重视。被评价单位主动协调、积极协助评价工作。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此次评价工作表明，近年来，在旺苍县党委、政府的高度重视下，通过</w:t>
      </w:r>
      <w:r>
        <w:rPr>
          <w:rFonts w:hint="eastAsia" w:ascii="仿宋" w:hAnsi="仿宋" w:eastAsia="仿宋" w:cs="仿宋"/>
          <w:kern w:val="0"/>
          <w:sz w:val="32"/>
          <w:szCs w:val="32"/>
        </w:rPr>
        <w:t>旺苍县人民检察院</w:t>
      </w:r>
      <w:r>
        <w:rPr>
          <w:rFonts w:hint="eastAsia" w:ascii="仿宋" w:hAnsi="仿宋" w:eastAsia="仿宋" w:cs="仿宋"/>
          <w:sz w:val="32"/>
          <w:szCs w:val="32"/>
        </w:rPr>
        <w:t>的努力，预算绩效管理体系逐步建立完善，</w:t>
      </w:r>
      <w:r>
        <w:rPr>
          <w:rFonts w:hint="eastAsia" w:ascii="仿宋" w:hAnsi="仿宋" w:eastAsia="仿宋" w:cs="仿宋"/>
          <w:kern w:val="0"/>
          <w:sz w:val="32"/>
          <w:szCs w:val="32"/>
        </w:rPr>
        <w:t>旺苍县人民检察院</w:t>
      </w:r>
      <w:r>
        <w:rPr>
          <w:rFonts w:hint="eastAsia" w:ascii="仿宋" w:hAnsi="仿宋" w:eastAsia="仿宋" w:cs="仿宋"/>
          <w:sz w:val="32"/>
          <w:szCs w:val="32"/>
        </w:rPr>
        <w:t>绩效意识进一步深化，项目绩效目标进一步完善，财政资金使用效益进一步提高。</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此次评价进一步了解了</w:t>
      </w:r>
      <w:r>
        <w:rPr>
          <w:rFonts w:hint="eastAsia" w:ascii="仿宋" w:hAnsi="仿宋" w:eastAsia="仿宋" w:cs="仿宋"/>
          <w:kern w:val="0"/>
          <w:sz w:val="32"/>
          <w:szCs w:val="32"/>
        </w:rPr>
        <w:t>旺苍县人民检察院</w:t>
      </w:r>
      <w:r>
        <w:rPr>
          <w:rFonts w:hint="eastAsia" w:ascii="仿宋" w:hAnsi="仿宋" w:eastAsia="仿宋" w:cs="仿宋"/>
          <w:sz w:val="32"/>
          <w:szCs w:val="32"/>
        </w:rPr>
        <w:t>当前预算绩效目标管理的基本情况，发现了管理中存在的问题，探索了改进工作的途径和方法，更加科学规范和公平客观安排财政支出项目，达到了预期目的，为</w:t>
      </w:r>
      <w:r>
        <w:rPr>
          <w:rFonts w:hint="eastAsia" w:ascii="仿宋" w:hAnsi="仿宋" w:eastAsia="仿宋" w:cs="仿宋"/>
          <w:kern w:val="0"/>
          <w:sz w:val="32"/>
          <w:szCs w:val="32"/>
        </w:rPr>
        <w:t>旺苍县人民检察院</w:t>
      </w:r>
      <w:r>
        <w:rPr>
          <w:rFonts w:hint="eastAsia" w:ascii="仿宋" w:hAnsi="仿宋" w:eastAsia="仿宋" w:cs="仿宋"/>
          <w:sz w:val="32"/>
          <w:szCs w:val="32"/>
        </w:rPr>
        <w:t>进一步做好预算绩效管理工作，提升政府理财和公共服务水平奠定了坚实的基础。</w:t>
      </w:r>
    </w:p>
    <w:p>
      <w:pPr>
        <w:keepNext/>
        <w:keepLines/>
        <w:widowControl w:val="0"/>
        <w:spacing w:before="260" w:after="260" w:line="415" w:lineRule="auto"/>
        <w:ind w:left="420" w:leftChars="200"/>
        <w:jc w:val="both"/>
        <w:outlineLvl w:val="1"/>
        <w:rPr>
          <w:rFonts w:hint="eastAsia" w:ascii="仿宋" w:hAnsi="仿宋" w:eastAsia="仿宋" w:cs="仿宋"/>
          <w:b/>
          <w:bCs/>
          <w:kern w:val="2"/>
          <w:sz w:val="32"/>
          <w:szCs w:val="32"/>
          <w:lang w:val="en-US" w:eastAsia="zh-CN" w:bidi="ar-SA"/>
        </w:rPr>
      </w:pPr>
      <w:bookmarkStart w:id="26" w:name="_Toc9585"/>
      <w:r>
        <w:rPr>
          <w:rFonts w:hint="eastAsia" w:ascii="仿宋" w:hAnsi="仿宋" w:eastAsia="仿宋" w:cs="仿宋"/>
          <w:b/>
          <w:bCs/>
          <w:kern w:val="2"/>
          <w:sz w:val="32"/>
          <w:szCs w:val="32"/>
          <w:lang w:val="en-US" w:eastAsia="zh-CN" w:bidi="ar-SA"/>
        </w:rPr>
        <w:t>（二）绩效分析</w:t>
      </w:r>
      <w:bookmarkEnd w:id="26"/>
    </w:p>
    <w:p>
      <w:pPr>
        <w:pStyle w:val="6"/>
        <w:ind w:firstLine="643" w:firstLineChars="200"/>
        <w:rPr>
          <w:rFonts w:hint="eastAsia" w:ascii="仿宋" w:hAnsi="仿宋" w:eastAsia="仿宋" w:cs="仿宋"/>
        </w:rPr>
      </w:pPr>
      <w:bookmarkStart w:id="27" w:name="_Toc22178"/>
      <w:r>
        <w:rPr>
          <w:rFonts w:hint="eastAsia" w:ascii="仿宋" w:hAnsi="仿宋" w:eastAsia="仿宋" w:cs="仿宋"/>
        </w:rPr>
        <w:t>1、部门预算管理情况分析</w:t>
      </w:r>
      <w:bookmarkEnd w:id="27"/>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（1）目标制定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要点：评价部门绩效目标是否要素完整、细化量化。</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评价：检察院编制了2020年度整体支出绩效目标申报表，内容涵盖了年度主要任务、年度总体目标、年度绩效指标版块。没有设定一二级指标，直接分设20个三级指标，无法通过一二级指标归类。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8个绩效目标以事后实绩填报，而非事前目标设定。填报内容有误。</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指标设定较为细化量化，整体制定基本规范。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（2）目标完成</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评价部门绩效目标实际实现程度与预期目标的偏离度。以项目完成数量指标为核心，评价项目实际完成情况是否达到预期绩效目标，偏离度=达到预期绩效目标的部门项目个数/纳入绩效目标管理的部门预算项目个数</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评价：项目完成数量基本达成，实际完成情况基本达到预期绩效目标。基本合格。</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（3）编制准确</w:t>
      </w:r>
    </w:p>
    <w:p>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要点：评价部门年初预算编制是否科学准确。偏离度=1-年初预算数（一上）/（财政下达数（一下）+预算调整数）</w:t>
      </w:r>
    </w:p>
    <w:p>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评价：一上=一下=8648555，追加=1907121，追减=748350</w:t>
      </w:r>
    </w:p>
    <w:p>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预决算偏差率=[1-8648555/（8648555+1907121-748350）]*100%=11.82%</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（4）支出控制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评价部门公用经费及非定额公用支出控制情况。预决算偏差率负数为节约差，正数为超支差，评价超支的偏差程度。计算部门日常公用经费、项目支出中“办公费、印刷费、水费、电费、物业管理费”等科目年初预算数与决算数偏差程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评价：①预算数</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基本支出：公用经费=1352205</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项目支出：办公费=100000、印刷费=25000、水费=10000、电费=100000、物业管理费=5000</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②决算数</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基本支出：公用经费=969071.43</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项目支出：办公费=53420.97、印刷费=28349、水费=0、电费=69384.07、物业管理费=0</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③预决算偏差率=（决算数-预算数）/预算数*100%</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基本支出：公用经费=-28.33%（节约差得10分）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项目支出：办公费=-46.58%（节约差）、印刷费=13.40%、水费=-100%（节约差）、电费=-30.62%（节约差）、物业管理费=-100%（节约差）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（5）动态调整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要点：评价部门开展绩效运行监控后，将绩效监控结果应用到预算调整的情况。调整度=部门绩效监控调整取消额÷(部门绩效监控调整取消额+预算结余注销额）</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评价：自实行对绩效目标实现程度和预算执行进度实施双监控以来，县检察院无支付业务异常提示和部门绩效监控调整取消预算情况。绩效监控调整取消额与结余注销额之和为零。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（6）执行进度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要点：评价部门在6、9、11月的预算执行情况。部门预算执行进度在6、9、11月应达到序时进度的80%、90%、90%，即实际支出进度分别达到40%、67.5%、82.5%。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2020年6月,预算下达数8,648,555+财政应返还额度1,282,881.08=9,931,436.08元，执行数4,441,713.6元（账列支出），执行进度为44.72%，实际支出进度超过40%；2020年9月,预算下达数8,648,555+财政应返还额度1,492,881.08=10,141,436.08元，执行数7,246,952.23元，执行进度为71.46%,实际支出进度超过67.5%；2020年11月,预算下达数8,648,555+财政应返还额度1,492,881.08=10,141,436.08元，执行数8,276,424.68元，执行进度为81.61%，实际支出进度未超过82.5%。</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（7）预算完成</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要点：评价部门预算项目年终预算执行情况。按照实际进度量化。</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评价：年度决算收入=9807326，年度决算支出=9795302.28，预算完成率=9795302.28/9807326*100%=99.88%</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（8）违规记录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要点：根据审计监督、财政检查结果反映部门上一年度部门预算管理是否合规。</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中共旺苍县委巡察工作领导小组第三巡察组《关于巡察“回头看”县人民检察院党组的反馈意见》（旺委巡办〔2021〕107号）：二、巡察反馈后发现的新问题（二）整治群众身边腐败问题和不正之风方面。3、财务管理不够规范。“使用非预算工资福利经费发放食堂厨师劳务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经现场核实，食堂厨师劳务费在无预算的情况下列支“基本支出-人员经费-工资福利”，挤占基本支出。</w:t>
      </w:r>
    </w:p>
    <w:p>
      <w:pPr>
        <w:pStyle w:val="6"/>
        <w:ind w:firstLine="643" w:firstLineChars="200"/>
        <w:rPr>
          <w:rFonts w:hint="eastAsia" w:ascii="仿宋" w:hAnsi="仿宋" w:eastAsia="仿宋" w:cs="仿宋"/>
        </w:rPr>
      </w:pPr>
      <w:bookmarkStart w:id="28" w:name="_Toc22354"/>
      <w:r>
        <w:rPr>
          <w:rFonts w:hint="eastAsia" w:ascii="仿宋" w:hAnsi="仿宋" w:eastAsia="仿宋" w:cs="仿宋"/>
        </w:rPr>
        <w:t>2、绩效结果应用分析</w:t>
      </w:r>
      <w:bookmarkEnd w:id="28"/>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（1）自评质量-自评准确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要点：评价部门整体支出自评准确率。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评价：基本准确。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（2）目标公开</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要点：评价部门绩效目标是否按要求随同预算向社会公开。</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评价：《中华人民共和国预算法》第十四条规定“经本级人民代表大会或者本级人民代表大会常务委员会批准的决算、预算执行情况的报告及报表，应当在批准后二十日内由本级政府财政部门向社会公开。”</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四川省旺苍县财政局于2020年6月30日批复县检察院2020年度预算（旺财预〔2020〕10号），2020年度预算及部门绩效目标于2021年7月6日在旺苍县人民政府官网公布，时间在规定的20日内。</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（3）自评公开</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要点：评价部门是否按要求将部门整体绩效自评情况和自行组织的评价情况随同决算向社会公开。</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评价：《中华人民共和国预算法》第十四条规定“经本级政府财政部门批复的部门决算及报表，应当在批复后二十日内由各部门向社会公开。”</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截止评价日2020年决算公开工作全县尚未开展，故我们评价2020年内公开2019年度决算的情况。四川省旺苍县财政局于2020年11月13日批复县检察院2019年度决算（旺财库〔2020〕3号），2019年度决算及绩效自评报告于2020年11月26日在旺苍县人民政府官网公布，时间在规定的20日内。</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（4）结果整改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要点：评价部门根据绩效管理结果整改问题、完善政策、改进管理的情况。针对绩效管理过程中（包括绩效目标核查、绩效监控核查和重点绩效评价）提出的问题，查看整改情况。</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评价：2020年内无绩效目标核查、绩效监控核查和重点绩效评价。</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（5）应用反馈</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要点：评价部门按要求及时向财政部门反馈结果应用情况。部门是否在规定时间内向财政部门反馈、报送相应绩效自评报告、应用结果、整改报告。</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旺苍县财政局《关于开展2021年财政支出绩效评价工作的通知》（旺财绩〔2021〕3号）规定自评报告报送时间为2021年8月31日，县检察院于2021年8月31日定稿《2020年部门整体支出绩效评价自评报告》并报送县财政局，内容包含“绩效结果应用”“绩效公开、整改</w:t>
      </w:r>
      <w:r>
        <w:rPr>
          <w:rFonts w:hint="eastAsia" w:ascii="仿宋" w:hAnsi="仿宋" w:eastAsia="仿宋" w:cs="仿宋"/>
          <w:sz w:val="32"/>
          <w:szCs w:val="32"/>
          <w:lang w:eastAsia="zh-CN"/>
        </w:rPr>
        <w:t>情</w:t>
      </w:r>
      <w:r>
        <w:rPr>
          <w:rFonts w:hint="eastAsia" w:ascii="仿宋" w:hAnsi="仿宋" w:eastAsia="仿宋" w:cs="仿宋"/>
          <w:sz w:val="32"/>
          <w:szCs w:val="32"/>
        </w:rPr>
        <w:t>况”。</w:t>
      </w:r>
    </w:p>
    <w:p>
      <w:pPr>
        <w:pStyle w:val="4"/>
        <w:ind w:left="0" w:leftChars="0"/>
        <w:jc w:val="left"/>
        <w:rPr>
          <w:rFonts w:hint="eastAsia" w:ascii="黑体" w:hAnsi="黑体" w:eastAsia="黑体" w:cs="黑体"/>
        </w:rPr>
      </w:pPr>
      <w:bookmarkStart w:id="29" w:name="_Toc32367"/>
      <w:r>
        <w:rPr>
          <w:rFonts w:hint="eastAsia" w:ascii="黑体" w:hAnsi="黑体" w:eastAsia="黑体" w:cs="黑体"/>
        </w:rPr>
        <w:t>四、存在的主要问题</w:t>
      </w:r>
      <w:bookmarkEnd w:id="29"/>
    </w:p>
    <w:p>
      <w:pPr>
        <w:keepNext/>
        <w:keepLines/>
        <w:widowControl w:val="0"/>
        <w:spacing w:before="260" w:after="260" w:line="415" w:lineRule="auto"/>
        <w:ind w:left="420" w:leftChars="200"/>
        <w:jc w:val="both"/>
        <w:outlineLvl w:val="1"/>
        <w:rPr>
          <w:rFonts w:hint="eastAsia" w:ascii="仿宋" w:hAnsi="仿宋" w:eastAsia="仿宋" w:cs="仿宋"/>
          <w:b/>
          <w:bCs/>
          <w:kern w:val="2"/>
          <w:sz w:val="32"/>
          <w:szCs w:val="32"/>
          <w:lang w:val="en-US" w:eastAsia="zh-CN" w:bidi="ar-SA"/>
        </w:rPr>
      </w:pPr>
      <w:bookmarkStart w:id="30" w:name="_Toc7100"/>
      <w:r>
        <w:rPr>
          <w:rFonts w:hint="eastAsia" w:ascii="仿宋" w:hAnsi="仿宋" w:eastAsia="仿宋" w:cs="仿宋"/>
          <w:b/>
          <w:bCs/>
          <w:kern w:val="2"/>
          <w:sz w:val="32"/>
          <w:szCs w:val="32"/>
          <w:lang w:val="en-US" w:eastAsia="zh-CN" w:bidi="ar-SA"/>
        </w:rPr>
        <w:t>（一）会计科目使用有误</w:t>
      </w:r>
      <w:bookmarkEnd w:id="30"/>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2020年公用经费列支食堂工人劳务费，错记入“基本支出-人员经费-工资福利费用”科目。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2020年5月27号凭证，报销第三党支部活动餐费，错记入“基本支出-公务接待费”科目。</w:t>
      </w:r>
    </w:p>
    <w:p>
      <w:pPr>
        <w:keepNext/>
        <w:keepLines/>
        <w:widowControl w:val="0"/>
        <w:spacing w:before="260" w:after="260" w:line="415" w:lineRule="auto"/>
        <w:ind w:left="420" w:leftChars="200"/>
        <w:jc w:val="both"/>
        <w:outlineLvl w:val="1"/>
        <w:rPr>
          <w:rFonts w:hint="eastAsia" w:ascii="仿宋" w:hAnsi="仿宋" w:eastAsia="仿宋" w:cs="仿宋"/>
          <w:b/>
          <w:bCs/>
          <w:kern w:val="2"/>
          <w:sz w:val="32"/>
          <w:szCs w:val="32"/>
          <w:lang w:val="en-US" w:eastAsia="zh-CN" w:bidi="ar-SA"/>
        </w:rPr>
      </w:pPr>
      <w:bookmarkStart w:id="31" w:name="_Toc8530"/>
      <w:r>
        <w:rPr>
          <w:rFonts w:hint="eastAsia" w:ascii="仿宋" w:hAnsi="仿宋" w:eastAsia="仿宋" w:cs="仿宋"/>
          <w:b/>
          <w:bCs/>
          <w:kern w:val="2"/>
          <w:sz w:val="32"/>
          <w:szCs w:val="32"/>
          <w:lang w:val="en-US" w:eastAsia="zh-CN" w:bidi="ar-SA"/>
        </w:rPr>
        <w:t>（二）发票管理不严格</w:t>
      </w:r>
      <w:bookmarkEnd w:id="31"/>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1、取得的发票抬头有误</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2020年1月22号凭证，缴纳2019年10-12月电信业务使用费39628.00元，后附发票抬头为“检察院”。</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2020年9月20号凭证，缴纳2020年5-7月电信业务使用费558.00元，后附发票抬头为“检察院”。</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2、食堂食材发票“货物或缴税劳务、服务名称”基本均为“粮油”，而实际采购有其它种类，与事实不符。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2020年1月27号凭证，支付2019年10月及12月食堂食材款，发票货物名称为“粮油”，实际后附食材清单有蔬菜、肉类、调料等。</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2020年9月43号凭证，支付2020年1-5月食堂食材款，发票货物名称为“粮油”，实际后附食材清单有蔬菜、肉类、调料等。</w:t>
      </w:r>
    </w:p>
    <w:p>
      <w:pPr>
        <w:keepNext/>
        <w:keepLines/>
        <w:widowControl w:val="0"/>
        <w:spacing w:before="260" w:after="260" w:line="415" w:lineRule="auto"/>
        <w:ind w:left="420" w:leftChars="200"/>
        <w:jc w:val="both"/>
        <w:outlineLvl w:val="1"/>
        <w:rPr>
          <w:rFonts w:hint="eastAsia" w:ascii="仿宋" w:hAnsi="仿宋" w:eastAsia="仿宋" w:cs="仿宋"/>
          <w:b/>
          <w:bCs/>
          <w:kern w:val="2"/>
          <w:sz w:val="32"/>
          <w:szCs w:val="32"/>
          <w:lang w:val="en-US" w:eastAsia="zh-CN" w:bidi="ar-SA"/>
        </w:rPr>
      </w:pPr>
      <w:bookmarkStart w:id="32" w:name="_Toc30669"/>
      <w:r>
        <w:rPr>
          <w:rFonts w:hint="eastAsia" w:ascii="仿宋" w:hAnsi="仿宋" w:eastAsia="仿宋" w:cs="仿宋"/>
          <w:b/>
          <w:bCs/>
          <w:kern w:val="2"/>
          <w:sz w:val="32"/>
          <w:szCs w:val="32"/>
          <w:lang w:val="en-US" w:eastAsia="zh-CN" w:bidi="ar-SA"/>
        </w:rPr>
        <w:t>（三）内控管理不严格</w:t>
      </w:r>
      <w:bookmarkEnd w:id="32"/>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1、报销接待费未见事后接待清单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2020年1月25号凭证，支付2019年12月食堂接待餐费，仅有事前接待审批单、接待函，未见事后接待清单。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2020年5月27号凭证，支付2020年1月食堂接待餐费，仅有事前接待审批单、接待函，未见事后接待清单。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2、《旺苍县人民检察院出差审批单》未设计审批日期栏次，无法判定是否存在先出差后审批的违规行为。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3、《旺苍县人民检察院出差审批单》出差事由填报简略，仅注明“办案”“开会”“送文件”“出差”等。</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如：2020年5月36号凭证。</w:t>
      </w:r>
    </w:p>
    <w:p>
      <w:pPr>
        <w:keepNext/>
        <w:keepLines/>
        <w:widowControl w:val="0"/>
        <w:spacing w:before="260" w:after="260" w:line="415" w:lineRule="auto"/>
        <w:ind w:left="420" w:leftChars="200"/>
        <w:jc w:val="both"/>
        <w:outlineLvl w:val="1"/>
        <w:rPr>
          <w:rFonts w:hint="eastAsia" w:ascii="仿宋" w:hAnsi="仿宋" w:eastAsia="仿宋" w:cs="仿宋"/>
          <w:b/>
          <w:bCs/>
          <w:kern w:val="2"/>
          <w:sz w:val="32"/>
          <w:szCs w:val="32"/>
          <w:lang w:val="en-US" w:eastAsia="zh-CN" w:bidi="ar-SA"/>
        </w:rPr>
      </w:pPr>
      <w:bookmarkStart w:id="33" w:name="_Toc32664"/>
      <w:r>
        <w:rPr>
          <w:rFonts w:hint="eastAsia" w:ascii="仿宋" w:hAnsi="仿宋" w:eastAsia="仿宋" w:cs="仿宋"/>
          <w:b/>
          <w:bCs/>
          <w:kern w:val="2"/>
          <w:sz w:val="32"/>
          <w:szCs w:val="32"/>
          <w:lang w:val="en-US" w:eastAsia="zh-CN" w:bidi="ar-SA"/>
        </w:rPr>
        <w:t>（四）慰问贫困户发放物资程序不合规</w:t>
      </w:r>
      <w:bookmarkEnd w:id="33"/>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1、2020年1月12号凭证，购买并发放村民扶贫慰问品13683元，慰问物资签收表由责任人代为村民签字的均未注明“代”字。</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2、2020年9月35号凭证，购买并发放101户扶贫慰问品20200元，每人200元。发票及清单显示物资有奶、面条、大米、菜籽油、毛巾、食用盐各101份。慰问物资签收表未注明物资明细，仅有村民签字。</w:t>
      </w:r>
    </w:p>
    <w:p>
      <w:pPr>
        <w:keepNext/>
        <w:keepLines/>
        <w:widowControl w:val="0"/>
        <w:spacing w:before="260" w:after="260" w:line="415" w:lineRule="auto"/>
        <w:ind w:left="420" w:leftChars="200"/>
        <w:jc w:val="both"/>
        <w:outlineLvl w:val="1"/>
        <w:rPr>
          <w:rFonts w:hint="eastAsia" w:ascii="仿宋" w:hAnsi="仿宋" w:eastAsia="仿宋" w:cs="仿宋"/>
          <w:b/>
          <w:bCs/>
          <w:kern w:val="2"/>
          <w:sz w:val="32"/>
          <w:szCs w:val="32"/>
          <w:lang w:val="en-US" w:eastAsia="zh-CN" w:bidi="ar-SA"/>
        </w:rPr>
      </w:pPr>
      <w:bookmarkStart w:id="34" w:name="_Toc17328"/>
      <w:r>
        <w:rPr>
          <w:rFonts w:hint="eastAsia" w:ascii="仿宋" w:hAnsi="仿宋" w:eastAsia="仿宋" w:cs="仿宋"/>
          <w:b/>
          <w:bCs/>
          <w:kern w:val="2"/>
          <w:sz w:val="32"/>
          <w:szCs w:val="32"/>
          <w:lang w:val="en-US" w:eastAsia="zh-CN" w:bidi="ar-SA"/>
        </w:rPr>
        <w:t>（五）公车先维修后申请</w:t>
      </w:r>
      <w:bookmarkEnd w:id="34"/>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2020年4月18号凭证，3月25日皮刚申请维修川HB61081，宏明汽车销售服务有限公司出具的维修结算单显示送修日期为3月24日，金额583.95元。</w:t>
      </w:r>
    </w:p>
    <w:p>
      <w:pPr>
        <w:keepNext/>
        <w:keepLines/>
        <w:widowControl w:val="0"/>
        <w:spacing w:before="260" w:after="260" w:line="415" w:lineRule="auto"/>
        <w:ind w:left="420" w:leftChars="200"/>
        <w:jc w:val="both"/>
        <w:outlineLvl w:val="1"/>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（六）未全面实施绩效管理</w:t>
      </w:r>
    </w:p>
    <w:p>
      <w:pPr>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主要表现在落实单位主体责任、人员安排、自评质量、宣传学习、制度建设执行、资料收集整理存档等方面。</w:t>
      </w:r>
    </w:p>
    <w:p>
      <w:pPr>
        <w:pStyle w:val="4"/>
        <w:ind w:left="0" w:leftChars="0"/>
        <w:jc w:val="left"/>
        <w:rPr>
          <w:rFonts w:hint="eastAsia" w:ascii="黑体" w:hAnsi="黑体" w:eastAsia="黑体" w:cs="黑体"/>
        </w:rPr>
      </w:pPr>
      <w:bookmarkStart w:id="35" w:name="_Toc11633"/>
      <w:r>
        <w:rPr>
          <w:rFonts w:hint="eastAsia" w:ascii="黑体" w:hAnsi="黑体" w:eastAsia="黑体" w:cs="黑体"/>
        </w:rPr>
        <w:t>五、整改措施及建议</w:t>
      </w:r>
      <w:bookmarkEnd w:id="35"/>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严格按照《会计基础工作规范》定期对财务人员进行继续学习教育培训。会计核算应严格遵循真实性、及时性、完整性原则，全面反映预算收支情况，以实际发生的经济业务为依据，按照规定的会计处理方法进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加强发票管理，入账应取得合规票据，避免发票抬头错开，票据抬头要完整无误，票据日期、金额、出票方、收款方、盖章等要素应完整准确。经办人、财务人员加强原始票据的审核工作，严格规范报销审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（三）加强内控管理、规范制度建设及实施。根据国家政策法规，结合本单位的实际情况，及时修订完善本单位接待制度，规范管理。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（四）严格审核发放慰问品签字情况，杜绝一人代签多人情况的发生，发放表应注明发放物资的具体品名。</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（五）严格按照“三公”经费相关管理办法报销费用，明确专人进行车辆管理工作，严格执行公务用车维修信息登记，杜绝先维修后申请的情况。</w:t>
      </w:r>
    </w:p>
    <w:p>
      <w:pPr>
        <w:spacing w:line="360" w:lineRule="auto"/>
        <w:ind w:firstLine="640" w:firstLineChars="200"/>
        <w:rPr>
          <w:rFonts w:hint="eastAsia" w:ascii="仿宋" w:hAnsi="仿宋" w:eastAsia="仿宋" w:cs="仿宋"/>
          <w:sz w:val="32"/>
          <w:szCs w:val="32"/>
        </w:rPr>
      </w:pPr>
      <w:bookmarkStart w:id="36" w:name="_Toc86182328"/>
      <w:r>
        <w:rPr>
          <w:rFonts w:hint="eastAsia" w:ascii="仿宋" w:hAnsi="仿宋" w:eastAsia="仿宋" w:cs="仿宋"/>
          <w:sz w:val="32"/>
          <w:szCs w:val="32"/>
        </w:rPr>
        <w:t>（六）全面实施绩效管理方面</w:t>
      </w:r>
      <w:bookmarkEnd w:id="36"/>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建议旺苍县人民检察院以此次预算绩效目标审核为契机，进一步加强预算绩效管理工作，提高资金管理水平。建议对发现的问题逐条对照分析，查找原因，制定切实可行的措施，认真落实整改要求。同时，通过举一反三，扩大自查范围。</w:t>
      </w:r>
    </w:p>
    <w:p>
      <w:pPr>
        <w:widowControl w:val="0"/>
        <w:spacing w:after="120" w:afterLines="0"/>
        <w:jc w:val="both"/>
        <w:rPr>
          <w:rFonts w:hint="eastAsia" w:ascii="Times New Roman" w:hAnsi="Times New Roman" w:eastAsia="宋体" w:cs="Times New Roman"/>
          <w:kern w:val="2"/>
          <w:sz w:val="21"/>
          <w:szCs w:val="24"/>
          <w:lang w:val="en-US" w:eastAsia="zh-CN" w:bidi="ar-SA"/>
        </w:rPr>
      </w:pPr>
    </w:p>
    <w:p>
      <w:pPr>
        <w:spacing w:line="560" w:lineRule="exact"/>
        <w:ind w:firstLine="643" w:firstLineChars="200"/>
        <w:outlineLvl w:val="0"/>
        <w:rPr>
          <w:rFonts w:hint="eastAsia" w:ascii="仿宋" w:hAnsi="仿宋" w:eastAsia="仿宋" w:cs="仿宋"/>
          <w:sz w:val="32"/>
          <w:szCs w:val="32"/>
        </w:rPr>
      </w:pPr>
      <w:bookmarkStart w:id="37" w:name="_Toc13504"/>
      <w:r>
        <w:rPr>
          <w:rFonts w:hint="eastAsia" w:ascii="仿宋" w:hAnsi="仿宋" w:eastAsia="仿宋" w:cs="仿宋"/>
          <w:b/>
          <w:sz w:val="32"/>
          <w:szCs w:val="32"/>
        </w:rPr>
        <w:t>附件：旺苍县2020年部门整体支出绩效评价指标体系</w:t>
      </w:r>
      <w:bookmarkEnd w:id="37"/>
      <w:r>
        <w:rPr>
          <w:rFonts w:hint="eastAsia" w:ascii="仿宋" w:hAnsi="仿宋" w:eastAsia="仿宋" w:cs="仿宋"/>
          <w:b/>
          <w:sz w:val="32"/>
          <w:szCs w:val="32"/>
        </w:rPr>
        <w:tab/>
      </w:r>
      <w:r>
        <w:rPr>
          <w:rFonts w:hint="eastAsia" w:ascii="仿宋" w:hAnsi="仿宋" w:eastAsia="仿宋" w:cs="仿宋"/>
          <w:b/>
          <w:sz w:val="32"/>
          <w:szCs w:val="32"/>
        </w:rPr>
        <w:tab/>
      </w:r>
    </w:p>
    <w:p>
      <w:pPr>
        <w:spacing w:line="600" w:lineRule="auto"/>
        <w:rPr>
          <w:rFonts w:hint="eastAsia" w:ascii="仿宋" w:hAnsi="仿宋" w:eastAsia="仿宋" w:cs="仿宋"/>
          <w:b/>
          <w:sz w:val="32"/>
          <w:szCs w:val="32"/>
        </w:rPr>
      </w:pPr>
    </w:p>
    <w:p>
      <w:pPr>
        <w:ind w:firstLine="301" w:firstLineChars="100"/>
        <w:rPr>
          <w:rFonts w:hint="eastAsia" w:ascii="仿宋" w:hAnsi="仿宋" w:eastAsia="仿宋" w:cs="仿宋"/>
          <w:b/>
          <w:bCs/>
          <w:sz w:val="30"/>
          <w:szCs w:val="30"/>
        </w:rPr>
      </w:pPr>
      <w:bookmarkStart w:id="38" w:name="_Toc7907"/>
      <w:bookmarkStart w:id="39" w:name="_Toc13094"/>
      <w:bookmarkStart w:id="40" w:name="_Toc3936"/>
      <w:bookmarkStart w:id="41" w:name="_Toc15388"/>
      <w:bookmarkStart w:id="42" w:name="_Toc20415"/>
      <w:bookmarkStart w:id="43" w:name="_Toc22416"/>
      <w:r>
        <w:rPr>
          <w:rFonts w:hint="eastAsia" w:ascii="仿宋" w:hAnsi="仿宋" w:eastAsia="仿宋" w:cs="仿宋"/>
          <w:b/>
          <w:bCs/>
          <w:sz w:val="30"/>
          <w:szCs w:val="30"/>
        </w:rPr>
        <w:t>四川檀诚会计师事务所有限公司   中国注册会计师：</w:t>
      </w:r>
      <w:bookmarkEnd w:id="38"/>
      <w:bookmarkEnd w:id="39"/>
      <w:bookmarkEnd w:id="40"/>
      <w:bookmarkEnd w:id="41"/>
      <w:bookmarkEnd w:id="42"/>
      <w:bookmarkEnd w:id="43"/>
    </w:p>
    <w:p>
      <w:pPr>
        <w:ind w:firstLine="1205" w:firstLineChars="400"/>
        <w:rPr>
          <w:rFonts w:hint="eastAsia" w:ascii="仿宋" w:hAnsi="仿宋" w:eastAsia="仿宋" w:cs="仿宋"/>
          <w:b/>
          <w:bCs/>
          <w:sz w:val="30"/>
          <w:szCs w:val="30"/>
        </w:rPr>
      </w:pPr>
      <w:bookmarkStart w:id="44" w:name="_Toc10404"/>
      <w:bookmarkStart w:id="45" w:name="_Toc20169"/>
      <w:bookmarkStart w:id="46" w:name="_Toc27844"/>
      <w:r>
        <w:rPr>
          <w:rFonts w:hint="eastAsia" w:ascii="仿宋" w:hAnsi="仿宋" w:eastAsia="仿宋" w:cs="仿宋"/>
          <w:b/>
          <w:bCs/>
          <w:sz w:val="30"/>
          <w:szCs w:val="30"/>
        </w:rPr>
        <w:t>中国·成都</w:t>
      </w:r>
      <w:bookmarkEnd w:id="44"/>
      <w:bookmarkEnd w:id="45"/>
      <w:bookmarkEnd w:id="46"/>
    </w:p>
    <w:p>
      <w:pPr>
        <w:widowControl w:val="0"/>
        <w:spacing w:after="120" w:afterLines="0"/>
        <w:jc w:val="both"/>
        <w:rPr>
          <w:rFonts w:hint="eastAsia" w:ascii="Times New Roman" w:hAnsi="Times New Roman" w:eastAsia="宋体" w:cs="Times New Roman"/>
          <w:kern w:val="2"/>
          <w:sz w:val="30"/>
          <w:szCs w:val="30"/>
          <w:lang w:val="en-US" w:eastAsia="zh-CN" w:bidi="ar-SA"/>
        </w:rPr>
      </w:pPr>
    </w:p>
    <w:p>
      <w:pPr>
        <w:widowControl w:val="0"/>
        <w:spacing w:after="120" w:afterLines="0"/>
        <w:jc w:val="both"/>
        <w:rPr>
          <w:rFonts w:hint="eastAsia" w:ascii="Times New Roman" w:hAnsi="Times New Roman" w:eastAsia="宋体" w:cs="Times New Roman"/>
          <w:kern w:val="2"/>
          <w:sz w:val="30"/>
          <w:szCs w:val="30"/>
          <w:lang w:val="en-US" w:eastAsia="zh-CN" w:bidi="ar-SA"/>
        </w:rPr>
      </w:pPr>
    </w:p>
    <w:p>
      <w:pPr>
        <w:rPr>
          <w:rFonts w:hint="eastAsia" w:ascii="仿宋" w:hAnsi="仿宋" w:eastAsia="仿宋" w:cs="仿宋"/>
          <w:b/>
          <w:bCs/>
          <w:sz w:val="30"/>
          <w:szCs w:val="30"/>
        </w:rPr>
      </w:pPr>
      <w:r>
        <w:rPr>
          <w:rFonts w:hint="eastAsia" w:ascii="仿宋" w:hAnsi="仿宋" w:eastAsia="仿宋" w:cs="仿宋"/>
          <w:b/>
          <w:bCs/>
          <w:sz w:val="30"/>
          <w:szCs w:val="30"/>
        </w:rPr>
        <w:t xml:space="preserve"> </w:t>
      </w:r>
      <w:r>
        <w:rPr>
          <w:rFonts w:hint="eastAsia" w:ascii="仿宋" w:hAnsi="仿宋" w:eastAsia="仿宋" w:cs="仿宋"/>
          <w:b/>
          <w:bCs/>
          <w:sz w:val="30"/>
          <w:szCs w:val="30"/>
        </w:rPr>
        <w:tab/>
      </w:r>
      <w:r>
        <w:rPr>
          <w:rFonts w:hint="eastAsia" w:ascii="仿宋" w:hAnsi="仿宋" w:eastAsia="仿宋" w:cs="仿宋"/>
          <w:b/>
          <w:bCs/>
          <w:sz w:val="30"/>
          <w:szCs w:val="30"/>
        </w:rPr>
        <w:tab/>
      </w:r>
      <w:r>
        <w:rPr>
          <w:rFonts w:hint="eastAsia" w:ascii="仿宋" w:hAnsi="仿宋" w:eastAsia="仿宋" w:cs="仿宋"/>
          <w:b/>
          <w:bCs/>
          <w:sz w:val="30"/>
          <w:szCs w:val="30"/>
        </w:rPr>
        <w:tab/>
      </w:r>
      <w:r>
        <w:rPr>
          <w:rFonts w:hint="eastAsia" w:ascii="仿宋" w:hAnsi="仿宋" w:eastAsia="仿宋" w:cs="仿宋"/>
          <w:b/>
          <w:bCs/>
          <w:sz w:val="30"/>
          <w:szCs w:val="30"/>
        </w:rPr>
        <w:tab/>
      </w:r>
      <w:r>
        <w:rPr>
          <w:rFonts w:hint="eastAsia" w:ascii="仿宋" w:hAnsi="仿宋" w:eastAsia="仿宋" w:cs="仿宋"/>
          <w:b/>
          <w:bCs/>
          <w:sz w:val="30"/>
          <w:szCs w:val="30"/>
        </w:rPr>
        <w:tab/>
      </w:r>
      <w:r>
        <w:rPr>
          <w:rFonts w:hint="eastAsia" w:ascii="仿宋" w:hAnsi="仿宋" w:eastAsia="仿宋" w:cs="仿宋"/>
          <w:b/>
          <w:bCs/>
          <w:sz w:val="30"/>
          <w:szCs w:val="30"/>
        </w:rPr>
        <w:t xml:space="preserve">    </w:t>
      </w:r>
      <w:bookmarkStart w:id="47" w:name="_Toc24753"/>
      <w:r>
        <w:rPr>
          <w:rFonts w:hint="eastAsia" w:ascii="仿宋" w:hAnsi="仿宋" w:eastAsia="仿宋" w:cs="仿宋"/>
          <w:b/>
          <w:bCs/>
          <w:sz w:val="30"/>
          <w:szCs w:val="30"/>
        </w:rPr>
        <w:t xml:space="preserve">  </w:t>
      </w:r>
      <w:bookmarkStart w:id="48" w:name="_Toc27978"/>
      <w:bookmarkStart w:id="49" w:name="_Toc18169"/>
      <w:bookmarkStart w:id="50" w:name="_Toc32725"/>
      <w:bookmarkStart w:id="51" w:name="_Toc25836"/>
      <w:bookmarkStart w:id="52" w:name="_Toc277"/>
      <w:r>
        <w:rPr>
          <w:rFonts w:hint="eastAsia" w:ascii="仿宋" w:hAnsi="仿宋" w:eastAsia="仿宋" w:cs="仿宋"/>
          <w:b/>
          <w:bCs/>
          <w:sz w:val="30"/>
          <w:szCs w:val="30"/>
        </w:rPr>
        <w:t xml:space="preserve">      </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 xml:space="preserve">      中国注册会计师：</w:t>
      </w:r>
      <w:bookmarkEnd w:id="47"/>
      <w:bookmarkEnd w:id="48"/>
      <w:bookmarkEnd w:id="49"/>
      <w:bookmarkEnd w:id="50"/>
      <w:bookmarkEnd w:id="51"/>
      <w:bookmarkEnd w:id="52"/>
    </w:p>
    <w:p>
      <w:pPr>
        <w:rPr>
          <w:rFonts w:hint="eastAsia" w:ascii="仿宋" w:hAnsi="仿宋" w:eastAsia="仿宋" w:cs="仿宋"/>
          <w:b/>
          <w:bCs/>
          <w:sz w:val="30"/>
          <w:szCs w:val="30"/>
        </w:rPr>
      </w:pPr>
    </w:p>
    <w:p>
      <w:pPr>
        <w:widowControl w:val="0"/>
        <w:spacing w:after="120" w:afterLines="0"/>
        <w:jc w:val="both"/>
        <w:rPr>
          <w:rFonts w:hint="eastAsia" w:ascii="Times New Roman" w:hAnsi="Times New Roman" w:eastAsia="宋体" w:cs="Times New Roman"/>
          <w:kern w:val="2"/>
          <w:sz w:val="21"/>
          <w:szCs w:val="24"/>
          <w:lang w:val="en-US" w:eastAsia="zh-CN" w:bidi="ar-SA"/>
        </w:rPr>
      </w:pPr>
    </w:p>
    <w:p>
      <w:pPr>
        <w:rPr>
          <w:rFonts w:hint="eastAsia" w:ascii="仿宋" w:hAnsi="仿宋" w:eastAsia="仿宋" w:cs="仿宋"/>
          <w:b/>
          <w:bCs/>
          <w:sz w:val="30"/>
          <w:szCs w:val="30"/>
        </w:rPr>
        <w:sectPr>
          <w:headerReference r:id="rId16" w:type="default"/>
          <w:footerReference r:id="rId17" w:type="default"/>
          <w:pgSz w:w="11906" w:h="16838"/>
          <w:pgMar w:top="2098" w:right="1474" w:bottom="1985" w:left="1588" w:header="851" w:footer="1559" w:gutter="0"/>
          <w:pgNumType w:fmt="numberInDash"/>
          <w:cols w:space="720" w:num="1"/>
          <w:docGrid w:type="lines" w:linePitch="312" w:charSpace="0"/>
        </w:sectPr>
      </w:pPr>
      <w:bookmarkStart w:id="53" w:name="_Toc25552"/>
      <w:r>
        <w:rPr>
          <w:rFonts w:hint="eastAsia" w:ascii="仿宋" w:hAnsi="仿宋" w:eastAsia="仿宋" w:cs="仿宋"/>
          <w:b/>
          <w:bCs/>
          <w:sz w:val="30"/>
          <w:szCs w:val="30"/>
        </w:rPr>
        <w:t xml:space="preserve">                           </w:t>
      </w:r>
      <w:bookmarkStart w:id="54" w:name="_Toc27430"/>
      <w:bookmarkStart w:id="55" w:name="_Toc3886"/>
      <w:bookmarkStart w:id="56" w:name="_Toc32470"/>
      <w:bookmarkStart w:id="57" w:name="_Toc26522"/>
      <w:bookmarkStart w:id="58" w:name="_Toc22184"/>
      <w:r>
        <w:rPr>
          <w:rFonts w:hint="eastAsia" w:ascii="仿宋" w:hAnsi="仿宋" w:eastAsia="仿宋" w:cs="仿宋"/>
          <w:b/>
          <w:bCs/>
          <w:sz w:val="30"/>
          <w:szCs w:val="30"/>
        </w:rPr>
        <w:t>报告日期：</w:t>
      </w:r>
      <w:bookmarkStart w:id="59" w:name="OLE_LINK12"/>
      <w:r>
        <w:rPr>
          <w:rFonts w:hint="eastAsia" w:ascii="仿宋" w:hAnsi="仿宋" w:eastAsia="仿宋" w:cs="仿宋"/>
          <w:b/>
          <w:bCs/>
          <w:sz w:val="30"/>
          <w:szCs w:val="30"/>
        </w:rPr>
        <w:t>二〇二一年十月二十九</w:t>
      </w:r>
      <w:bookmarkEnd w:id="53"/>
      <w:bookmarkEnd w:id="54"/>
      <w:bookmarkEnd w:id="55"/>
      <w:bookmarkEnd w:id="56"/>
      <w:bookmarkEnd w:id="57"/>
      <w:bookmarkEnd w:id="58"/>
      <w:bookmarkEnd w:id="59"/>
    </w:p>
    <w:p>
      <w:pPr>
        <w:pStyle w:val="2"/>
        <w:outlineLvl w:val="0"/>
        <w:rPr>
          <w:rFonts w:hint="eastAsia" w:ascii="仿宋" w:hAnsi="仿宋" w:eastAsia="仿宋" w:cs="仿宋"/>
          <w:b/>
          <w:sz w:val="32"/>
          <w:szCs w:val="32"/>
        </w:rPr>
      </w:pPr>
      <w:bookmarkStart w:id="60" w:name="_Toc23821"/>
      <w:r>
        <w:rPr>
          <w:rFonts w:hint="eastAsia" w:ascii="仿宋" w:hAnsi="仿宋" w:eastAsia="仿宋" w:cs="仿宋"/>
          <w:b/>
          <w:sz w:val="32"/>
          <w:szCs w:val="32"/>
        </w:rPr>
        <w:t>附件：旺苍县2020年部门整体支出绩效评价指标体系</w:t>
      </w:r>
      <w:bookmarkEnd w:id="60"/>
    </w:p>
    <w:tbl>
      <w:tblPr>
        <w:tblStyle w:val="12"/>
        <w:tblW w:w="13077" w:type="dxa"/>
        <w:jc w:val="center"/>
        <w:tblLayout w:type="autofit"/>
        <w:tblCellMar>
          <w:top w:w="0" w:type="dxa"/>
          <w:left w:w="108" w:type="dxa"/>
          <w:bottom w:w="0" w:type="dxa"/>
          <w:right w:w="108" w:type="dxa"/>
        </w:tblCellMar>
      </w:tblPr>
      <w:tblGrid>
        <w:gridCol w:w="910"/>
        <w:gridCol w:w="910"/>
        <w:gridCol w:w="907"/>
        <w:gridCol w:w="486"/>
        <w:gridCol w:w="666"/>
        <w:gridCol w:w="1863"/>
        <w:gridCol w:w="3189"/>
        <w:gridCol w:w="4146"/>
      </w:tblGrid>
      <w:tr>
        <w:tblPrEx>
          <w:tblCellMar>
            <w:top w:w="0" w:type="dxa"/>
            <w:left w:w="108" w:type="dxa"/>
            <w:bottom w:w="0" w:type="dxa"/>
            <w:right w:w="108" w:type="dxa"/>
          </w:tblCellMar>
        </w:tblPrEx>
        <w:trPr>
          <w:trHeight w:val="324" w:hRule="atLeast"/>
          <w:jc w:val="center"/>
        </w:trPr>
        <w:tc>
          <w:tcPr>
            <w:tcW w:w="274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绩效指标</w:t>
            </w:r>
          </w:p>
        </w:tc>
        <w:tc>
          <w:tcPr>
            <w:tcW w:w="4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指标分值</w:t>
            </w:r>
          </w:p>
        </w:tc>
        <w:tc>
          <w:tcPr>
            <w:tcW w:w="61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指标得分</w:t>
            </w:r>
          </w:p>
        </w:tc>
        <w:tc>
          <w:tcPr>
            <w:tcW w:w="18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指标解释</w:t>
            </w:r>
          </w:p>
        </w:tc>
        <w:tc>
          <w:tcPr>
            <w:tcW w:w="32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计分标准</w:t>
            </w:r>
          </w:p>
        </w:tc>
        <w:tc>
          <w:tcPr>
            <w:tcW w:w="41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备注</w:t>
            </w:r>
          </w:p>
        </w:tc>
      </w:tr>
      <w:tr>
        <w:tblPrEx>
          <w:tblCellMar>
            <w:top w:w="0" w:type="dxa"/>
            <w:left w:w="108" w:type="dxa"/>
            <w:bottom w:w="0" w:type="dxa"/>
            <w:right w:w="108" w:type="dxa"/>
          </w:tblCellMar>
        </w:tblPrEx>
        <w:trPr>
          <w:trHeight w:val="943" w:hRule="atLeast"/>
          <w:jc w:val="center"/>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一级指标</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二级指标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三级指标</w:t>
            </w:r>
          </w:p>
        </w:tc>
        <w:tc>
          <w:tcPr>
            <w:tcW w:w="4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0"/>
                <w:szCs w:val="20"/>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0"/>
                <w:szCs w:val="20"/>
              </w:rPr>
            </w:pPr>
          </w:p>
        </w:tc>
        <w:tc>
          <w:tcPr>
            <w:tcW w:w="3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0"/>
                <w:szCs w:val="20"/>
              </w:rPr>
            </w:pPr>
          </w:p>
        </w:tc>
        <w:tc>
          <w:tcPr>
            <w:tcW w:w="41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0"/>
                <w:szCs w:val="20"/>
              </w:rPr>
            </w:pPr>
          </w:p>
        </w:tc>
      </w:tr>
      <w:tr>
        <w:tblPrEx>
          <w:tblCellMar>
            <w:top w:w="0" w:type="dxa"/>
            <w:left w:w="108" w:type="dxa"/>
            <w:bottom w:w="0" w:type="dxa"/>
            <w:right w:w="108" w:type="dxa"/>
          </w:tblCellMar>
        </w:tblPrEx>
        <w:trPr>
          <w:trHeight w:val="2212" w:hRule="atLeast"/>
          <w:jc w:val="center"/>
        </w:trPr>
        <w:tc>
          <w:tcPr>
            <w:tcW w:w="9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部门预算管理（80分）</w:t>
            </w:r>
          </w:p>
        </w:tc>
        <w:tc>
          <w:tcPr>
            <w:tcW w:w="9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预算</w:t>
            </w:r>
          </w:p>
          <w:p>
            <w:pPr>
              <w:widowControl/>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编制</w:t>
            </w:r>
          </w:p>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（30分）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目标制定</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评价部门绩效目标是否要素完整、细化量化。</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 xml:space="preserve">1.绩效目标编制要素完整的，得5分，否则酌情扣分。                                                       2.绩效指标细化量化的，得5分，否则酌情扣分。                                                                    </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检察院编制了2020年度整体支出绩效目标申报表，内容涵盖了年度主要任务、年度总体目标、年度绩效指标版块。没有设定一二级指标，直接分设20个三级指标，无法通过一二级指标归类。</w:t>
            </w:r>
          </w:p>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8个绩效目标以事后实绩填报，而非事前目标设定。填报内容有误。</w:t>
            </w:r>
          </w:p>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指标设定较为细化量化，整体制定基本规范。</w:t>
            </w:r>
          </w:p>
        </w:tc>
      </w:tr>
      <w:tr>
        <w:tblPrEx>
          <w:tblCellMar>
            <w:top w:w="0" w:type="dxa"/>
            <w:left w:w="108" w:type="dxa"/>
            <w:bottom w:w="0" w:type="dxa"/>
            <w:right w:w="108" w:type="dxa"/>
          </w:tblCellMar>
        </w:tblPrEx>
        <w:trPr>
          <w:trHeight w:val="1268"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目标完成</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评价部门绩效目标实际实现程度与预期目标的偏离度。</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以项目完成数量指标为核心，评价项目实际完成情况是否达到预期绩效目标，指标得分=达到预期绩效目标的部门项目个数/纳入绩效目标管理的部门预算项目个数*10</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项目完成数量基本达成，实际完成情况基本达到预期绩效目标。基本合格。</w:t>
            </w:r>
          </w:p>
        </w:tc>
      </w:tr>
      <w:tr>
        <w:tblPrEx>
          <w:tblCellMar>
            <w:top w:w="0" w:type="dxa"/>
            <w:left w:w="108" w:type="dxa"/>
            <w:bottom w:w="0" w:type="dxa"/>
            <w:right w:w="108" w:type="dxa"/>
          </w:tblCellMar>
        </w:tblPrEx>
        <w:trPr>
          <w:trHeight w:val="1583"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编制准确</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评价部门年初预算编制是否科学准确。</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指标得分=1-年初预算数（一上）/（财政下达数（一下）+预算调整数）基本支出资金，预决算偏差程度在10%以内的，得10分，偏差度在10%-20%之间的，得5分，偏差度超过20%的，不得分。</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一上=一下=8648555，追加=1907121，追减=748350</w:t>
            </w:r>
          </w:p>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预决算偏差率=[1-8648555/（8648555+1907121-748350）]*100%=11.82%</w:t>
            </w:r>
          </w:p>
        </w:tc>
      </w:tr>
      <w:tr>
        <w:tblPrEx>
          <w:tblCellMar>
            <w:top w:w="0" w:type="dxa"/>
            <w:left w:w="108" w:type="dxa"/>
            <w:bottom w:w="0" w:type="dxa"/>
            <w:right w:w="108" w:type="dxa"/>
          </w:tblCellMar>
        </w:tblPrEx>
        <w:trPr>
          <w:trHeight w:val="4729"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 xml:space="preserve">                                                                             预算</w:t>
            </w:r>
          </w:p>
          <w:p>
            <w:pPr>
              <w:widowControl/>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执行</w:t>
            </w:r>
          </w:p>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（30分）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支出控制</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9.33</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评价部门公用经费及非定额公用支出控制情况。预决算偏差率负数为节约差，正数为超支差，评价超支的偏差程度。</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计算部门日常公用经费、项目支出中“办公费、印刷费、水费、电费、物业管理费”等科目年初预算数与决算数偏差程度                                                                  预决算偏差程度在10%以内的，得10分。偏差度在10%-20%之间的，得6分，偏差度超过20%的，不得分。</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（一）预算数</w:t>
            </w:r>
          </w:p>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基本支出：公用经费=1352205</w:t>
            </w:r>
          </w:p>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项目支出：办公费=100000、印刷费=25000、水费=10000、电费=100000、物业管理费=5000</w:t>
            </w:r>
          </w:p>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（二）决算数</w:t>
            </w:r>
          </w:p>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基本支出：公用经费=969071.43</w:t>
            </w:r>
          </w:p>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项目支出：办公费=53420.97、印刷费=28349、水费=0、电费=69384.07、物业管理费=0</w:t>
            </w:r>
          </w:p>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（三）预决算偏差率=（决算数-预算数）/预算数*100%</w:t>
            </w:r>
          </w:p>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基本支出：公用经费=-28.33%（节约差得10分）</w:t>
            </w:r>
          </w:p>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项目支出：办公费=-46.58%（节约差得10分）、印刷费=13.40%（6分）、水费=-100%（节约差得10分）、电费=-30.62%（节约差得10分）、物业管理费=-100%（节约差得10分）</w:t>
            </w:r>
          </w:p>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综合得分=（10+10+6+10+10+10）/6=9.33分</w:t>
            </w:r>
          </w:p>
        </w:tc>
      </w:tr>
      <w:tr>
        <w:tblPrEx>
          <w:tblCellMar>
            <w:top w:w="0" w:type="dxa"/>
            <w:left w:w="108" w:type="dxa"/>
            <w:bottom w:w="0" w:type="dxa"/>
            <w:right w:w="108" w:type="dxa"/>
          </w:tblCellMar>
        </w:tblPrEx>
        <w:trPr>
          <w:trHeight w:val="1268"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动态调整</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评价部门开展绩效运行监控后，将绩效监控结果应用到预算调整的情况。</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指标得分=部门绩效监控调整取消额÷(部门绩效监控调整取消额+预算结余注销额）*10                                                                          当部门绩效监控调整取消额与结余注销额之和为零时，得满分。</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自实行对绩效目标实现程度和预算执行进度实施双监控以来，县检察院无支付业务异常提示和部门绩效监控调整取消预算情况。绩效监控调整取消额与结余注销额之和为零。</w:t>
            </w:r>
          </w:p>
        </w:tc>
      </w:tr>
      <w:tr>
        <w:tblPrEx>
          <w:tblCellMar>
            <w:top w:w="0" w:type="dxa"/>
            <w:left w:w="108" w:type="dxa"/>
            <w:bottom w:w="0" w:type="dxa"/>
            <w:right w:w="108" w:type="dxa"/>
          </w:tblCellMar>
        </w:tblPrEx>
        <w:trPr>
          <w:trHeight w:val="2527"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执行进度</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6.67</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评价部门在6、9、11月的预算执行情况。</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 xml:space="preserve">部门预算执行进度在6、9、11月应达到序时进度的80%、90%、90%，即实际支出进度分别达到40%、67.5%、82.5%。                                                     </w:t>
            </w:r>
          </w:p>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6、9、11月部门预算执行进度达到量化指标的分别得3、4、3分，未达到目标进度</w:t>
            </w:r>
            <w:r>
              <w:rPr>
                <w:rFonts w:hint="eastAsia" w:ascii="仿宋" w:hAnsi="仿宋" w:eastAsia="仿宋" w:cs="仿宋"/>
                <w:color w:val="000000"/>
                <w:kern w:val="0"/>
                <w:sz w:val="18"/>
                <w:szCs w:val="18"/>
                <w:lang w:eastAsia="zh-CN" w:bidi="ar"/>
              </w:rPr>
              <w:t>的</w:t>
            </w:r>
            <w:r>
              <w:rPr>
                <w:rFonts w:hint="eastAsia" w:ascii="仿宋" w:hAnsi="仿宋" w:eastAsia="仿宋" w:cs="仿宋"/>
                <w:color w:val="000000"/>
                <w:kern w:val="0"/>
                <w:sz w:val="18"/>
                <w:szCs w:val="18"/>
                <w:lang w:bidi="ar"/>
              </w:rPr>
              <w:t xml:space="preserve">按其实际进度占目标进度的比重计算得分。                                             </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2020年6月,预算下达数8,648,555+财政应返还额度1,282,881.08=9,931,436.08元，执行数4,441,713.6元（账列支出），执行进度为44.72%，实际支出进度超过40%；2020年9月,预算下达数8,648,555+财政应返还额度1,492,881.08=10,141,436.08元，执行数7,246,952.23元，执行进度为71.46%,实际支出进度超过67.5%；2020年11月,预算下达数8,648,555+财政应返还额度1,492,881.08=10,141,436.08元，执行数8,276,424.68元，执行进度为81.61%，实际支出进度未超过82.5%。</w:t>
            </w:r>
          </w:p>
        </w:tc>
      </w:tr>
      <w:tr>
        <w:tblPrEx>
          <w:tblCellMar>
            <w:top w:w="0" w:type="dxa"/>
            <w:left w:w="108" w:type="dxa"/>
            <w:bottom w:w="0" w:type="dxa"/>
            <w:right w:w="108" w:type="dxa"/>
          </w:tblCellMar>
        </w:tblPrEx>
        <w:trPr>
          <w:trHeight w:val="953"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完成</w:t>
            </w:r>
          </w:p>
          <w:p>
            <w:pPr>
              <w:widowControl/>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结果</w:t>
            </w:r>
          </w:p>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预算完成</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9.99</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评价部门预算项目年终预算执行情况。</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部门预算项目12月预算执行进度达到100%的，得10分，未达100%的，按照实际进度量化计算得分。</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年度决算收入=9807326，年度决算支出=9795302.28，预算完成率=9795302.28/9807326*100%=99.88%</w:t>
            </w:r>
          </w:p>
        </w:tc>
      </w:tr>
      <w:tr>
        <w:tblPrEx>
          <w:tblCellMar>
            <w:top w:w="0" w:type="dxa"/>
            <w:left w:w="108" w:type="dxa"/>
            <w:bottom w:w="0" w:type="dxa"/>
            <w:right w:w="108" w:type="dxa"/>
          </w:tblCellMar>
        </w:tblPrEx>
        <w:trPr>
          <w:trHeight w:val="2212"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违规记录</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9.5</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根据审计监督、财政检查结果反映部门上一年度部门预算管理是否合规。</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依据上一年度审计监督、财政检查结果，出现部门预算管理方面违纪违规问题的，每个问题扣0.5分，直至扣完。</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中共旺苍县委巡察工作领导小组第三巡察组《关于巡察“回头看”县人民检察院党组的反馈意见》（旺委巡办〔2021〕107号）：二、巡察反馈后发现的新问题（二）整治群众身边腐败问题和不正之风方面。3、财务管理不够规范。“使用非预算工资福利经费发放食堂厨师劳务费”</w:t>
            </w:r>
          </w:p>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经现场核实，食堂厨师劳务费在无预算的情况下列支“基本支出-人员经费-工资福利”，挤占基本支出。</w:t>
            </w:r>
          </w:p>
        </w:tc>
      </w:tr>
      <w:tr>
        <w:tblPrEx>
          <w:tblCellMar>
            <w:top w:w="0" w:type="dxa"/>
            <w:left w:w="108" w:type="dxa"/>
            <w:bottom w:w="0" w:type="dxa"/>
            <w:right w:w="108" w:type="dxa"/>
          </w:tblCellMar>
        </w:tblPrEx>
        <w:trPr>
          <w:trHeight w:val="1268" w:hRule="atLeast"/>
          <w:jc w:val="center"/>
        </w:trPr>
        <w:tc>
          <w:tcPr>
            <w:tcW w:w="9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绩效结果应用（20分）</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自评</w:t>
            </w:r>
          </w:p>
          <w:p>
            <w:pPr>
              <w:widowControl/>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质量</w:t>
            </w:r>
          </w:p>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自评准确</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评价部门整体支出自评准确率。</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部门整体支出自评得分与评价组抽查得分差异在5%以内的，不扣分；在5%-10%之间的，扣1分，在10%-20%的，扣2分，在20%以上的，扣4分。</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自评93分与评价组评分78.49/（100-4）=81.76分，差异率12.09%。</w:t>
            </w:r>
          </w:p>
        </w:tc>
      </w:tr>
      <w:tr>
        <w:tblPrEx>
          <w:tblCellMar>
            <w:top w:w="0" w:type="dxa"/>
            <w:left w:w="108" w:type="dxa"/>
            <w:bottom w:w="0" w:type="dxa"/>
            <w:right w:w="108" w:type="dxa"/>
          </w:tblCellMar>
        </w:tblPrEx>
        <w:trPr>
          <w:trHeight w:val="2527"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信息</w:t>
            </w:r>
          </w:p>
          <w:p>
            <w:pPr>
              <w:widowControl/>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公开</w:t>
            </w:r>
          </w:p>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（8分）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目标公开</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评价部门绩效目标是否按要求向社会公开。</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按要求随同预算公开的，得4分。</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《中华人民共和国预算法》第十四条规定“经本级人民代表大会或者本级人民代表大会常务委员会批准的决算、预算执行情况的报告及报表，应当在批准后二十日内由本级政府财政部门向社会公开。”</w:t>
            </w:r>
          </w:p>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四川省旺苍县财政局于2020年6月30日批复县检察院2020年度预算（旺财预〔2020〕10号），2020年度预算及部门绩效目标于2021年7月6日在旺苍县人民政府官网公布，时间在规定的20日内。</w:t>
            </w:r>
          </w:p>
        </w:tc>
      </w:tr>
      <w:tr>
        <w:tblPrEx>
          <w:tblCellMar>
            <w:top w:w="0" w:type="dxa"/>
            <w:left w:w="108" w:type="dxa"/>
            <w:bottom w:w="0" w:type="dxa"/>
            <w:right w:w="108" w:type="dxa"/>
          </w:tblCellMar>
        </w:tblPrEx>
        <w:trPr>
          <w:trHeight w:val="2841"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自评公开</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评价部门是否按要求将部门整体绩效自评情况和自行组织的评价情况向社会公开。</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按要求随同决算公开的，得4分。</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《中华人民共和国预算法》第十四条规定“经本级政府财政部门批复的部门决算及报表，应当在批复后二十日内由各部门向社会公开。”</w:t>
            </w:r>
          </w:p>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截止评价日2020年决算公开工作全县尚未开展，故我们评价2020年内公开2019年度决算的情况。四川省旺苍县财政局于2020年11月13日批复县检察院2019年度决算（旺财库〔2020〕3号），2019年度决算及绩效自评报告于2020年11月26日在旺苍县人民政府官网公布，时间在规定的20日内。</w:t>
            </w:r>
          </w:p>
        </w:tc>
      </w:tr>
      <w:tr>
        <w:tblPrEx>
          <w:tblCellMar>
            <w:top w:w="0" w:type="dxa"/>
            <w:left w:w="108" w:type="dxa"/>
            <w:bottom w:w="0" w:type="dxa"/>
            <w:right w:w="108" w:type="dxa"/>
          </w:tblCellMar>
        </w:tblPrEx>
        <w:trPr>
          <w:trHeight w:val="395"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整改</w:t>
            </w:r>
          </w:p>
          <w:p>
            <w:pPr>
              <w:widowControl/>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反馈</w:t>
            </w:r>
          </w:p>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（8分）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结果整改</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评价部门根据绩效管理结果整改问题、完善政策、改进管理的情况。</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针对绩效管理过程中（包括绩效目标核查、绩效监控核查和重点绩效评价）提出的问题，发现一处未整改的，扣1分，直至扣完。</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2020年内无绩效目标核查、绩效监控核查和重点绩效评价。</w:t>
            </w:r>
          </w:p>
        </w:tc>
      </w:tr>
      <w:tr>
        <w:tblPrEx>
          <w:tblCellMar>
            <w:top w:w="0" w:type="dxa"/>
            <w:left w:w="108" w:type="dxa"/>
            <w:bottom w:w="0" w:type="dxa"/>
            <w:right w:w="108" w:type="dxa"/>
          </w:tblCellMar>
        </w:tblPrEx>
        <w:trPr>
          <w:trHeight w:val="1583"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18"/>
                <w:szCs w:val="18"/>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应用反馈</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评价部门按要求及时向财政部门反馈结果应用情况。</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部门在规定时间内向财政部门反馈、报送相应绩效自评报告、应用结果、整改报告的，得满分；未按时报送一次扣1分，扣完为止。</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旺苍县财政局《关于开展2021年财政支出绩效评价工作的通知》（旺财绩〔2021〕3号）规定自评报告报送时间为2021年8月31日，县检察院于2021年8月31日定稿《2020年部门整体支出绩效评价自评报告》并报送县财政局，内容包含“绩效结果应用”“绩效公开、整改</w:t>
            </w:r>
            <w:r>
              <w:rPr>
                <w:rFonts w:hint="eastAsia" w:ascii="仿宋" w:hAnsi="仿宋" w:eastAsia="仿宋" w:cs="仿宋"/>
                <w:color w:val="000000"/>
                <w:kern w:val="0"/>
                <w:sz w:val="20"/>
                <w:szCs w:val="20"/>
                <w:lang w:eastAsia="zh-CN" w:bidi="ar"/>
              </w:rPr>
              <w:t>情</w:t>
            </w:r>
            <w:r>
              <w:rPr>
                <w:rFonts w:hint="eastAsia" w:ascii="仿宋" w:hAnsi="仿宋" w:eastAsia="仿宋" w:cs="仿宋"/>
                <w:color w:val="000000"/>
                <w:kern w:val="0"/>
                <w:sz w:val="20"/>
                <w:szCs w:val="20"/>
                <w:lang w:bidi="ar"/>
              </w:rPr>
              <w:t>况”。</w:t>
            </w:r>
          </w:p>
        </w:tc>
      </w:tr>
      <w:tr>
        <w:tblPrEx>
          <w:tblCellMar>
            <w:top w:w="0" w:type="dxa"/>
            <w:left w:w="108" w:type="dxa"/>
            <w:bottom w:w="0" w:type="dxa"/>
            <w:right w:w="108" w:type="dxa"/>
          </w:tblCellMar>
        </w:tblPrEx>
        <w:trPr>
          <w:trHeight w:val="659" w:hRule="atLeast"/>
          <w:jc w:val="center"/>
        </w:trPr>
        <w:tc>
          <w:tcPr>
            <w:tcW w:w="274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总分合计</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100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80.49</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000000"/>
                <w:sz w:val="24"/>
              </w:rPr>
            </w:pP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16"/>
                <w:szCs w:val="16"/>
              </w:rPr>
            </w:pPr>
          </w:p>
        </w:tc>
        <w:tc>
          <w:tcPr>
            <w:tcW w:w="414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4"/>
              </w:rPr>
            </w:pPr>
          </w:p>
        </w:tc>
      </w:tr>
    </w:tbl>
    <w:p>
      <w:pPr>
        <w:pStyle w:val="3"/>
        <w:rPr>
          <w:rFonts w:hint="eastAsia"/>
        </w:rPr>
        <w:sectPr>
          <w:pgSz w:w="16838" w:h="11906" w:orient="landscape"/>
          <w:pgMar w:top="1588" w:right="2098" w:bottom="1474" w:left="1985" w:header="851" w:footer="1559" w:gutter="0"/>
          <w:pgNumType w:fmt="numberInDash"/>
          <w:cols w:space="720" w:num="1"/>
          <w:docGrid w:type="lines" w:linePitch="312" w:charSpace="0"/>
        </w:sectPr>
      </w:pPr>
    </w:p>
    <w:p>
      <w:pPr>
        <w:rPr>
          <w:rFonts w:hint="eastAsia"/>
        </w:rPr>
      </w:pPr>
    </w:p>
    <w:p>
      <w:pPr>
        <w:adjustRightInd w:val="0"/>
        <w:snapToGrid w:val="0"/>
        <w:spacing w:line="240" w:lineRule="atLeast"/>
        <w:jc w:val="center"/>
        <w:rPr>
          <w:rFonts w:ascii="方正小标宋简体" w:hAnsi="华文中宋" w:eastAsia="方正小标宋简体"/>
          <w:b/>
          <w:sz w:val="48"/>
          <w:szCs w:val="44"/>
        </w:rPr>
      </w:pPr>
      <w:r>
        <w:rPr>
          <w:rFonts w:hint="eastAsia" w:ascii="方正小标宋简体" w:hAnsi="华文中宋" w:eastAsia="方正小标宋简体"/>
          <w:b/>
          <w:sz w:val="48"/>
          <w:szCs w:val="44"/>
        </w:rPr>
        <w:t>旺苍县高阳镇人民政府部门整体支出</w:t>
      </w:r>
    </w:p>
    <w:p>
      <w:pPr>
        <w:adjustRightInd w:val="0"/>
        <w:snapToGrid w:val="0"/>
        <w:spacing w:line="240" w:lineRule="atLeast"/>
        <w:ind w:left="105" w:leftChars="50" w:firstLine="372" w:firstLineChars="103"/>
        <w:jc w:val="center"/>
        <w:rPr>
          <w:rFonts w:hint="eastAsia" w:ascii="方正小标宋简体" w:hAnsi="华文中宋" w:eastAsia="方正小标宋简体"/>
          <w:b/>
          <w:sz w:val="36"/>
          <w:szCs w:val="36"/>
        </w:rPr>
      </w:pPr>
    </w:p>
    <w:p>
      <w:pPr>
        <w:pStyle w:val="2"/>
        <w:spacing w:before="93"/>
      </w:pPr>
    </w:p>
    <w:p>
      <w:pPr>
        <w:adjustRightInd w:val="0"/>
        <w:snapToGrid w:val="0"/>
        <w:spacing w:line="240" w:lineRule="atLeast"/>
        <w:ind w:left="105" w:leftChars="50" w:firstLine="993" w:firstLineChars="103"/>
        <w:jc w:val="center"/>
        <w:rPr>
          <w:rFonts w:hint="eastAsia" w:ascii="楷体_GB2312" w:hAnsi="华文中宋" w:eastAsia="楷体_GB2312"/>
          <w:b/>
          <w:sz w:val="96"/>
          <w:szCs w:val="96"/>
        </w:rPr>
      </w:pPr>
      <w:r>
        <w:rPr>
          <w:rFonts w:hint="eastAsia" w:ascii="楷体_GB2312" w:hAnsi="华文中宋" w:eastAsia="楷体_GB2312"/>
          <w:b/>
          <w:sz w:val="96"/>
          <w:szCs w:val="96"/>
        </w:rPr>
        <w:t>绩</w:t>
      </w:r>
    </w:p>
    <w:p>
      <w:pPr>
        <w:adjustRightInd w:val="0"/>
        <w:snapToGrid w:val="0"/>
        <w:spacing w:line="240" w:lineRule="atLeast"/>
        <w:ind w:left="105" w:leftChars="50" w:firstLine="993" w:firstLineChars="103"/>
        <w:jc w:val="center"/>
        <w:rPr>
          <w:rFonts w:hint="eastAsia" w:ascii="楷体_GB2312" w:hAnsi="华文中宋" w:eastAsia="楷体_GB2312"/>
          <w:b/>
          <w:sz w:val="96"/>
          <w:szCs w:val="96"/>
        </w:rPr>
      </w:pPr>
      <w:r>
        <w:rPr>
          <w:rFonts w:hint="eastAsia" w:ascii="楷体_GB2312" w:hAnsi="华文中宋" w:eastAsia="楷体_GB2312"/>
          <w:b/>
          <w:sz w:val="96"/>
          <w:szCs w:val="96"/>
        </w:rPr>
        <w:t>效</w:t>
      </w:r>
    </w:p>
    <w:p>
      <w:pPr>
        <w:adjustRightInd w:val="0"/>
        <w:snapToGrid w:val="0"/>
        <w:spacing w:line="240" w:lineRule="atLeast"/>
        <w:ind w:left="105" w:leftChars="50" w:firstLine="993" w:firstLineChars="103"/>
        <w:jc w:val="center"/>
        <w:rPr>
          <w:rFonts w:hint="eastAsia" w:ascii="楷体_GB2312" w:hAnsi="华文中宋" w:eastAsia="楷体_GB2312"/>
          <w:b/>
          <w:sz w:val="96"/>
          <w:szCs w:val="96"/>
        </w:rPr>
      </w:pPr>
      <w:r>
        <w:rPr>
          <w:rFonts w:hint="eastAsia" w:ascii="楷体_GB2312" w:hAnsi="华文中宋" w:eastAsia="楷体_GB2312"/>
          <w:b/>
          <w:sz w:val="96"/>
          <w:szCs w:val="96"/>
        </w:rPr>
        <w:t>评</w:t>
      </w:r>
    </w:p>
    <w:p>
      <w:pPr>
        <w:adjustRightInd w:val="0"/>
        <w:snapToGrid w:val="0"/>
        <w:spacing w:line="240" w:lineRule="atLeast"/>
        <w:ind w:left="105" w:leftChars="50" w:firstLine="993" w:firstLineChars="103"/>
        <w:jc w:val="center"/>
        <w:rPr>
          <w:rFonts w:hint="eastAsia" w:ascii="楷体_GB2312" w:hAnsi="华文中宋" w:eastAsia="楷体_GB2312"/>
          <w:b/>
          <w:sz w:val="96"/>
          <w:szCs w:val="96"/>
        </w:rPr>
      </w:pPr>
      <w:r>
        <w:rPr>
          <w:rFonts w:hint="eastAsia" w:ascii="楷体_GB2312" w:hAnsi="华文中宋" w:eastAsia="楷体_GB2312"/>
          <w:b/>
          <w:sz w:val="96"/>
          <w:szCs w:val="96"/>
        </w:rPr>
        <w:t>价</w:t>
      </w:r>
    </w:p>
    <w:p>
      <w:pPr>
        <w:adjustRightInd w:val="0"/>
        <w:snapToGrid w:val="0"/>
        <w:spacing w:line="240" w:lineRule="atLeast"/>
        <w:ind w:left="105" w:leftChars="50" w:firstLine="993" w:firstLineChars="103"/>
        <w:jc w:val="center"/>
        <w:rPr>
          <w:rFonts w:hint="eastAsia" w:ascii="楷体_GB2312" w:hAnsi="华文中宋" w:eastAsia="楷体_GB2312"/>
          <w:b/>
          <w:sz w:val="96"/>
          <w:szCs w:val="96"/>
        </w:rPr>
      </w:pPr>
      <w:r>
        <w:rPr>
          <w:rFonts w:hint="eastAsia" w:ascii="楷体_GB2312" w:hAnsi="华文中宋" w:eastAsia="楷体_GB2312"/>
          <w:b/>
          <w:sz w:val="96"/>
          <w:szCs w:val="96"/>
        </w:rPr>
        <w:t>报</w:t>
      </w:r>
    </w:p>
    <w:p>
      <w:pPr>
        <w:adjustRightInd w:val="0"/>
        <w:snapToGrid w:val="0"/>
        <w:spacing w:line="240" w:lineRule="atLeast"/>
        <w:ind w:left="105" w:leftChars="50" w:firstLine="993" w:firstLineChars="103"/>
        <w:jc w:val="center"/>
        <w:rPr>
          <w:rFonts w:hint="eastAsia" w:ascii="楷体_GB2312" w:hAnsi="华文中宋" w:eastAsia="楷体_GB2312"/>
          <w:b/>
          <w:sz w:val="96"/>
          <w:szCs w:val="96"/>
        </w:rPr>
      </w:pPr>
      <w:r>
        <w:rPr>
          <w:rFonts w:hint="eastAsia" w:ascii="楷体_GB2312" w:hAnsi="华文中宋" w:eastAsia="楷体_GB2312"/>
          <w:b/>
          <w:sz w:val="96"/>
          <w:szCs w:val="96"/>
        </w:rPr>
        <w:t>告</w:t>
      </w: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adjustRightInd w:val="0"/>
        <w:snapToGrid w:val="0"/>
        <w:spacing w:line="240" w:lineRule="atLeast"/>
        <w:ind w:left="105" w:leftChars="50" w:firstLine="370" w:firstLineChars="103"/>
        <w:jc w:val="center"/>
        <w:rPr>
          <w:rFonts w:ascii="楷体" w:hAnsi="楷体" w:eastAsia="楷体" w:cs="楷体"/>
          <w:bCs/>
          <w:sz w:val="36"/>
          <w:szCs w:val="36"/>
        </w:rPr>
      </w:pPr>
    </w:p>
    <w:p>
      <w:pPr>
        <w:tabs>
          <w:tab w:val="left" w:pos="3885"/>
        </w:tabs>
        <w:snapToGrid w:val="0"/>
        <w:spacing w:line="600" w:lineRule="atLeast"/>
        <w:ind w:firstLine="803" w:firstLineChars="250"/>
        <w:jc w:val="left"/>
        <w:rPr>
          <w:rFonts w:hint="eastAsia" w:ascii="楷体_GB2312" w:hAnsi="楷体" w:eastAsia="楷体_GB2312" w:cs="楷体"/>
          <w:b/>
          <w:sz w:val="32"/>
          <w:szCs w:val="32"/>
        </w:rPr>
      </w:pPr>
      <w:r>
        <w:rPr>
          <w:rFonts w:hint="eastAsia" w:ascii="楷体_GB2312" w:hAnsi="楷体" w:eastAsia="楷体_GB2312" w:cs="楷体"/>
          <w:b/>
          <w:sz w:val="32"/>
          <w:szCs w:val="32"/>
        </w:rPr>
        <w:t>评价部门：旺苍县财政局</w:t>
      </w:r>
    </w:p>
    <w:p>
      <w:pPr>
        <w:tabs>
          <w:tab w:val="left" w:pos="3885"/>
        </w:tabs>
        <w:snapToGrid w:val="0"/>
        <w:spacing w:line="600" w:lineRule="atLeast"/>
        <w:ind w:firstLine="803" w:firstLineChars="250"/>
        <w:jc w:val="left"/>
        <w:rPr>
          <w:rFonts w:hint="eastAsia" w:ascii="楷体_GB2312" w:hAnsi="楷体" w:eastAsia="楷体_GB2312" w:cs="楷体"/>
          <w:b/>
          <w:sz w:val="32"/>
          <w:szCs w:val="32"/>
        </w:rPr>
      </w:pPr>
      <w:r>
        <w:rPr>
          <w:rFonts w:hint="eastAsia" w:ascii="楷体_GB2312" w:hAnsi="楷体" w:eastAsia="楷体_GB2312" w:cs="楷体"/>
          <w:b/>
          <w:sz w:val="32"/>
          <w:szCs w:val="32"/>
        </w:rPr>
        <w:t>评价人员：向敏   高松  向柳</w:t>
      </w:r>
    </w:p>
    <w:p>
      <w:pPr>
        <w:tabs>
          <w:tab w:val="left" w:pos="3885"/>
        </w:tabs>
        <w:snapToGrid w:val="0"/>
        <w:spacing w:line="600" w:lineRule="atLeast"/>
        <w:ind w:firstLine="803" w:firstLineChars="250"/>
        <w:jc w:val="left"/>
        <w:rPr>
          <w:rFonts w:hint="eastAsia" w:ascii="楷体_GB2312" w:hAnsi="楷体" w:eastAsia="楷体_GB2312" w:cs="楷体"/>
          <w:b/>
          <w:sz w:val="32"/>
          <w:szCs w:val="32"/>
        </w:rPr>
      </w:pPr>
      <w:r>
        <w:rPr>
          <w:rFonts w:hint="eastAsia" w:ascii="楷体_GB2312" w:hAnsi="楷体" w:eastAsia="楷体_GB2312" w:cs="楷体"/>
          <w:b/>
          <w:sz w:val="32"/>
          <w:szCs w:val="32"/>
        </w:rPr>
        <w:t>报告时间： 2021年10月12日</w:t>
      </w:r>
    </w:p>
    <w:p>
      <w:pPr>
        <w:spacing w:line="576" w:lineRule="exact"/>
        <w:ind w:firstLine="640" w:firstLineChars="200"/>
        <w:rPr>
          <w:rFonts w:hint="eastAsia" w:ascii="黑体" w:hAnsi="黑体" w:eastAsia="黑体"/>
          <w:sz w:val="32"/>
          <w:szCs w:val="32"/>
        </w:rPr>
        <w:sectPr>
          <w:headerReference r:id="rId18" w:type="default"/>
          <w:footerReference r:id="rId19" w:type="default"/>
          <w:footerReference r:id="rId20" w:type="even"/>
          <w:pgSz w:w="11906" w:h="16838"/>
          <w:pgMar w:top="2098" w:right="1474" w:bottom="1985" w:left="1588" w:header="851" w:footer="1559" w:gutter="0"/>
          <w:pgNumType w:fmt="numberInDash" w:start="1"/>
          <w:cols w:space="720" w:num="1"/>
          <w:docGrid w:type="lines" w:linePitch="312" w:charSpace="0"/>
        </w:sectPr>
      </w:pPr>
    </w:p>
    <w:p>
      <w:pPr>
        <w:spacing w:line="576" w:lineRule="exact"/>
        <w:rPr>
          <w:rFonts w:hint="eastAsia" w:ascii="黑体" w:hAnsi="黑体" w:eastAsia="黑体"/>
          <w:sz w:val="32"/>
          <w:szCs w:val="32"/>
        </w:rPr>
      </w:pPr>
      <w:r>
        <w:rPr>
          <w:rFonts w:hint="eastAsia" w:ascii="黑体" w:hAnsi="黑体" w:eastAsia="黑体"/>
          <w:sz w:val="32"/>
          <w:szCs w:val="32"/>
        </w:rPr>
        <w:t>一、部门概况</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（一）机构组成</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高阳镇人民政府下设一办一所四中心，主要包括：党政综合办公室、财政所、农业综合服务中心、社会治安综合治理中心、便民服务中心、乡村建设和文化（旅游）服务中心。</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（二）基本职能</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1.宣传、落实党的路线，方针、政策和国家的法律、法规，稳定农村基本经济制度，坚持依法行政，推进政务公开，加强对村民委员会的指导，提高、培育村民委员会自治能力。</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科学制订发展规划，营造农村经济发展环境，加强农村市场监督，培育、提升市场功能，搞活市场流通，推广农业技术，完善农业社会化服务体系，引导农民发展现代农业，调整产业结构，加强农村劳动力技能培训，引导农村劳动力转移和就业，不断提高社会主义新农村建设水平。</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4.加强民政、教育、科技、文化、卫生、计划生育、安全生产、劳动保障和乡村规划等社会管理加盟社会主义精神文明建设，做好防灾减灾工作，加强环境保护，努力改善农村人环境，不断提高农村人口素质和农民生活质量。</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5.发展和完善农业社会化服务体系，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人民群众的关系等工作。</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（三）人员概况</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旺苍县高阳镇人民政府下属二级预算单位0个。总编制46人，其中行政编制25人，工勤编制3人，事业编制18人，实际在职46人，其中公务员28人，机关工勤人员3人，事业人员15人。退休人员15人。</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 xml:space="preserve">二、部门财政资金收支情况 </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（一）部门决策情况</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高阳镇人民政府2020年重点工作如下：</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持续、巩固提升3个贫困村产业园区。在双午村产业园管护黄花350亩、种植辣椒100亩、莴笋30亩、养殖海南飞蛋鸡1.5万羽；在古柏村产业园管护猕猴桃300亩；在关山村产业园养殖肉羊225头，土鸡3000只。二是稳健推进“五小短产业”发展，结合疫情防控需要，大力发展短平快产业，新发展茶叶1260亩，羊肚菌30亩、养鸡22万余只，稳步推进368户贫困户微庭园上档升级。</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社会事业蓬勃发展，全面完成虎垭村5.9公里联户路、5.7公里通村组道路和崔河村3公里联户路硬化，双午村提灌站等建设任务；新建鹿渡村一、二社居民聚居点污水处理站1个及配套管网3公里；新建双午村二社安置点污水处理站1个及配套管网2公里；改建鹿渡村太阳能提灌站1个；新建枣树村罗家渡至漫水桥硬化公路3.5km；改扩建鹿渡村一社至虎垭村委会公路2.9km；恢复洪灾水毁道路0.5公里，有效解决原枣树村16户通行难题；在每个村内成立了管水协会，完善农村用水制度，健全水表管理。</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3、强化农旅融合发展。一是围绕</w:t>
      </w:r>
      <w:r>
        <w:rPr>
          <w:rFonts w:hint="eastAsia" w:ascii="仿宋_GB2312" w:eastAsia="仿宋_GB2312"/>
          <w:sz w:val="32"/>
          <w:szCs w:val="32"/>
          <w:lang w:eastAsia="zh-CN"/>
        </w:rPr>
        <w:t>县委、县政府</w:t>
      </w:r>
      <w:r>
        <w:rPr>
          <w:rFonts w:hint="eastAsia" w:ascii="仿宋_GB2312" w:eastAsia="仿宋_GB2312"/>
          <w:sz w:val="32"/>
          <w:szCs w:val="32"/>
        </w:rPr>
        <w:t>大文旅“红城、绿谷、茶乡、古道”四张名片整体布局，结合高阳实际，编制了温泉贡茶小镇建设规划。二是全力做好高阳镇罗家渡大桥—黄洋镇水营村（二期）道路建设协调服务，已完成协调林地145亩、土地35亩、房屋拆迁2户295平方米、迁坟9座，目前，工程建设进度完成50%。三是配合旅游等部门抓好原温泉开发的遗留问题处理，确保了鹿亭温泉顺利开业。四是在旅游沿线全力打造鹿缘等4家农家乐上档升级，规范旅游线茶叶生产加工大户30家。</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(二)部门财政资金收入情况</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2020年高阳镇人民政府本年收入合计915.8万元，其中：一般公共预算财政拨款收入907.3万元，占99.07%；政府性基金预算财政拨款收入8.5万元，占0.93%；国有资本经营预算财政拨款收入0万元，占0%；事业收入0万元，占0%；经营收入0万元，占0%；附属单位上缴收入0万元，占0%；其他收入0万元，占0%。上年结转216.47万元，具体情况见表1-1：</w:t>
      </w:r>
    </w:p>
    <w:p>
      <w:pPr>
        <w:pStyle w:val="19"/>
        <w:spacing w:after="0"/>
        <w:ind w:firstLine="562" w:firstLineChars="200"/>
        <w:rPr>
          <w:sz w:val="28"/>
        </w:rPr>
      </w:pPr>
      <w:r>
        <w:rPr>
          <w:rFonts w:hint="eastAsia"/>
          <w:sz w:val="28"/>
        </w:rPr>
        <w:t>表1</w:t>
      </w:r>
      <w:r>
        <w:rPr>
          <w:sz w:val="28"/>
        </w:rPr>
        <w:t>-</w:t>
      </w:r>
      <w:r>
        <w:rPr>
          <w:rFonts w:hint="eastAsia"/>
          <w:sz w:val="28"/>
        </w:rPr>
        <w:t>1  2020</w:t>
      </w:r>
      <w:r>
        <w:rPr>
          <w:sz w:val="28"/>
        </w:rPr>
        <w:t>年</w:t>
      </w:r>
      <w:r>
        <w:rPr>
          <w:rFonts w:hint="eastAsia"/>
          <w:sz w:val="28"/>
        </w:rPr>
        <w:t>高阳镇人民政府</w:t>
      </w:r>
      <w:r>
        <w:rPr>
          <w:sz w:val="28"/>
        </w:rPr>
        <w:t>收入预决算情况表</w:t>
      </w:r>
    </w:p>
    <w:p>
      <w:pPr>
        <w:pStyle w:val="19"/>
        <w:spacing w:after="0"/>
        <w:ind w:right="480" w:firstLine="482" w:firstLineChars="200"/>
      </w:pPr>
      <w:r>
        <w:rPr>
          <w:rFonts w:hint="eastAsia"/>
        </w:rPr>
        <w:t xml:space="preserve">                                                       单位</w:t>
      </w:r>
      <w:r>
        <w:t>：万元</w:t>
      </w:r>
    </w:p>
    <w:tbl>
      <w:tblPr>
        <w:tblStyle w:val="12"/>
        <w:tblW w:w="9206"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1"/>
        <w:gridCol w:w="1696"/>
        <w:gridCol w:w="2195"/>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Header/>
        </w:trPr>
        <w:tc>
          <w:tcPr>
            <w:tcW w:w="3441" w:type="dxa"/>
            <w:noWrap w:val="0"/>
            <w:vAlign w:val="center"/>
          </w:tcPr>
          <w:p>
            <w:pPr>
              <w:pStyle w:val="20"/>
              <w:ind w:firstLine="440" w:firstLineChars="200"/>
              <w:rPr>
                <w:rFonts w:ascii="宋体" w:hAnsi="宋体" w:eastAsia="宋体"/>
                <w:color w:val="auto"/>
              </w:rPr>
            </w:pPr>
          </w:p>
        </w:tc>
        <w:tc>
          <w:tcPr>
            <w:tcW w:w="1696" w:type="dxa"/>
            <w:noWrap w:val="0"/>
            <w:vAlign w:val="center"/>
          </w:tcPr>
          <w:p>
            <w:pPr>
              <w:pStyle w:val="20"/>
              <w:rPr>
                <w:rFonts w:ascii="宋体" w:hAnsi="宋体" w:eastAsia="宋体"/>
                <w:b/>
                <w:bCs w:val="0"/>
                <w:color w:val="auto"/>
              </w:rPr>
            </w:pPr>
            <w:r>
              <w:rPr>
                <w:rFonts w:hint="eastAsia" w:ascii="宋体" w:hAnsi="宋体" w:eastAsia="宋体"/>
                <w:b/>
                <w:bCs w:val="0"/>
                <w:color w:val="auto"/>
              </w:rPr>
              <w:t>收入预算数</w:t>
            </w:r>
          </w:p>
        </w:tc>
        <w:tc>
          <w:tcPr>
            <w:tcW w:w="2195" w:type="dxa"/>
            <w:noWrap w:val="0"/>
            <w:vAlign w:val="center"/>
          </w:tcPr>
          <w:p>
            <w:pPr>
              <w:pStyle w:val="20"/>
              <w:rPr>
                <w:rFonts w:ascii="宋体" w:hAnsi="宋体" w:eastAsia="宋体"/>
                <w:b/>
                <w:bCs w:val="0"/>
                <w:color w:val="auto"/>
              </w:rPr>
            </w:pPr>
            <w:r>
              <w:rPr>
                <w:rFonts w:hint="eastAsia" w:ascii="宋体" w:hAnsi="宋体" w:eastAsia="宋体"/>
                <w:b/>
                <w:bCs w:val="0"/>
                <w:color w:val="auto"/>
              </w:rPr>
              <w:t>收入调整数</w:t>
            </w:r>
          </w:p>
        </w:tc>
        <w:tc>
          <w:tcPr>
            <w:tcW w:w="1874" w:type="dxa"/>
            <w:noWrap w:val="0"/>
            <w:vAlign w:val="center"/>
          </w:tcPr>
          <w:p>
            <w:pPr>
              <w:pStyle w:val="20"/>
              <w:rPr>
                <w:rFonts w:ascii="宋体" w:hAnsi="宋体" w:eastAsia="宋体"/>
                <w:b/>
                <w:bCs w:val="0"/>
                <w:color w:val="auto"/>
              </w:rPr>
            </w:pPr>
            <w:r>
              <w:rPr>
                <w:rFonts w:hint="eastAsia" w:ascii="宋体" w:hAnsi="宋体" w:eastAsia="宋体"/>
                <w:b/>
                <w:bCs w:val="0"/>
                <w:color w:val="auto"/>
              </w:rPr>
              <w:t>收入决算数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441" w:type="dxa"/>
            <w:noWrap w:val="0"/>
            <w:vAlign w:val="center"/>
          </w:tcPr>
          <w:p>
            <w:pPr>
              <w:pStyle w:val="20"/>
              <w:rPr>
                <w:rFonts w:ascii="宋体" w:hAnsi="宋体" w:eastAsia="宋体"/>
                <w:color w:val="auto"/>
              </w:rPr>
            </w:pPr>
            <w:r>
              <w:rPr>
                <w:rFonts w:hint="eastAsia" w:ascii="宋体" w:hAnsi="宋体" w:eastAsia="宋体"/>
                <w:color w:val="auto"/>
              </w:rPr>
              <w:t>一般公共预算财政拨款收入</w:t>
            </w:r>
          </w:p>
        </w:tc>
        <w:tc>
          <w:tcPr>
            <w:tcW w:w="1696"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736.67</w:t>
            </w:r>
          </w:p>
        </w:tc>
        <w:tc>
          <w:tcPr>
            <w:tcW w:w="2195"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907.3</w:t>
            </w:r>
          </w:p>
        </w:tc>
        <w:tc>
          <w:tcPr>
            <w:tcW w:w="1874"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907.3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441" w:type="dxa"/>
            <w:noWrap w:val="0"/>
            <w:vAlign w:val="center"/>
          </w:tcPr>
          <w:p>
            <w:pPr>
              <w:pStyle w:val="20"/>
              <w:rPr>
                <w:rFonts w:ascii="宋体" w:hAnsi="宋体" w:eastAsia="宋体"/>
                <w:color w:val="auto"/>
              </w:rPr>
            </w:pPr>
            <w:r>
              <w:rPr>
                <w:rFonts w:hint="eastAsia" w:ascii="宋体" w:hAnsi="宋体" w:eastAsia="宋体"/>
                <w:color w:val="auto"/>
              </w:rPr>
              <w:t>政府性基金预算财政拨款收入</w:t>
            </w:r>
          </w:p>
        </w:tc>
        <w:tc>
          <w:tcPr>
            <w:tcW w:w="1696" w:type="dxa"/>
            <w:noWrap w:val="0"/>
            <w:vAlign w:val="center"/>
          </w:tcPr>
          <w:p>
            <w:pPr>
              <w:pStyle w:val="20"/>
              <w:ind w:firstLine="440" w:firstLineChars="200"/>
              <w:rPr>
                <w:rFonts w:ascii="宋体" w:hAnsi="宋体" w:eastAsia="宋体"/>
                <w:color w:val="auto"/>
                <w:lang w:val="en-US"/>
              </w:rPr>
            </w:pPr>
          </w:p>
        </w:tc>
        <w:tc>
          <w:tcPr>
            <w:tcW w:w="2195"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8.5</w:t>
            </w:r>
          </w:p>
        </w:tc>
        <w:tc>
          <w:tcPr>
            <w:tcW w:w="1874"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441" w:type="dxa"/>
            <w:noWrap w:val="0"/>
            <w:vAlign w:val="center"/>
          </w:tcPr>
          <w:p>
            <w:pPr>
              <w:pStyle w:val="20"/>
              <w:ind w:firstLine="440" w:firstLineChars="200"/>
              <w:rPr>
                <w:rFonts w:ascii="宋体" w:hAnsi="宋体" w:eastAsia="宋体"/>
                <w:color w:val="auto"/>
              </w:rPr>
            </w:pPr>
            <w:r>
              <w:rPr>
                <w:rFonts w:hint="eastAsia" w:ascii="宋体" w:hAnsi="宋体" w:eastAsia="宋体"/>
                <w:color w:val="auto"/>
              </w:rPr>
              <w:t>经营收入</w:t>
            </w:r>
          </w:p>
        </w:tc>
        <w:tc>
          <w:tcPr>
            <w:tcW w:w="1696" w:type="dxa"/>
            <w:noWrap w:val="0"/>
            <w:vAlign w:val="center"/>
          </w:tcPr>
          <w:p>
            <w:pPr>
              <w:pStyle w:val="20"/>
              <w:ind w:firstLine="440" w:firstLineChars="200"/>
              <w:rPr>
                <w:rFonts w:ascii="宋体" w:hAnsi="宋体" w:eastAsia="宋体"/>
                <w:color w:val="auto"/>
              </w:rPr>
            </w:pPr>
          </w:p>
        </w:tc>
        <w:tc>
          <w:tcPr>
            <w:tcW w:w="2195" w:type="dxa"/>
            <w:noWrap w:val="0"/>
            <w:vAlign w:val="center"/>
          </w:tcPr>
          <w:p>
            <w:pPr>
              <w:pStyle w:val="20"/>
              <w:ind w:firstLine="440" w:firstLineChars="200"/>
              <w:rPr>
                <w:rFonts w:ascii="宋体" w:hAnsi="宋体" w:eastAsia="宋体"/>
                <w:color w:val="auto"/>
              </w:rPr>
            </w:pPr>
          </w:p>
        </w:tc>
        <w:tc>
          <w:tcPr>
            <w:tcW w:w="1874" w:type="dxa"/>
            <w:noWrap w:val="0"/>
            <w:vAlign w:val="center"/>
          </w:tcPr>
          <w:p>
            <w:pPr>
              <w:pStyle w:val="20"/>
              <w:ind w:firstLine="440" w:firstLineChars="200"/>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441" w:type="dxa"/>
            <w:noWrap w:val="0"/>
            <w:vAlign w:val="center"/>
          </w:tcPr>
          <w:p>
            <w:pPr>
              <w:pStyle w:val="20"/>
              <w:ind w:firstLine="440" w:firstLineChars="200"/>
              <w:rPr>
                <w:rFonts w:ascii="宋体" w:hAnsi="宋体" w:eastAsia="宋体"/>
                <w:color w:val="auto"/>
              </w:rPr>
            </w:pPr>
            <w:r>
              <w:rPr>
                <w:rFonts w:hint="eastAsia" w:ascii="宋体" w:hAnsi="宋体" w:eastAsia="宋体"/>
                <w:color w:val="auto"/>
              </w:rPr>
              <w:t>其他收入</w:t>
            </w:r>
          </w:p>
        </w:tc>
        <w:tc>
          <w:tcPr>
            <w:tcW w:w="1696" w:type="dxa"/>
            <w:noWrap w:val="0"/>
            <w:vAlign w:val="center"/>
          </w:tcPr>
          <w:p>
            <w:pPr>
              <w:pStyle w:val="20"/>
              <w:ind w:firstLine="440" w:firstLineChars="200"/>
              <w:rPr>
                <w:rFonts w:ascii="宋体" w:hAnsi="宋体" w:eastAsia="宋体"/>
                <w:color w:val="auto"/>
              </w:rPr>
            </w:pPr>
          </w:p>
        </w:tc>
        <w:tc>
          <w:tcPr>
            <w:tcW w:w="2195" w:type="dxa"/>
            <w:noWrap w:val="0"/>
            <w:vAlign w:val="center"/>
          </w:tcPr>
          <w:p>
            <w:pPr>
              <w:pStyle w:val="20"/>
              <w:ind w:firstLine="440" w:firstLineChars="200"/>
              <w:rPr>
                <w:rFonts w:ascii="宋体" w:hAnsi="宋体" w:eastAsia="宋体"/>
                <w:color w:val="auto"/>
              </w:rPr>
            </w:pPr>
          </w:p>
        </w:tc>
        <w:tc>
          <w:tcPr>
            <w:tcW w:w="1874" w:type="dxa"/>
            <w:noWrap w:val="0"/>
            <w:vAlign w:val="center"/>
          </w:tcPr>
          <w:p>
            <w:pPr>
              <w:pStyle w:val="20"/>
              <w:ind w:firstLine="440" w:firstLineChars="200"/>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441" w:type="dxa"/>
            <w:noWrap w:val="0"/>
            <w:vAlign w:val="center"/>
          </w:tcPr>
          <w:p>
            <w:pPr>
              <w:pStyle w:val="20"/>
              <w:ind w:firstLine="440" w:firstLineChars="200"/>
              <w:rPr>
                <w:rFonts w:ascii="宋体" w:hAnsi="宋体" w:eastAsia="宋体"/>
                <w:color w:val="auto"/>
              </w:rPr>
            </w:pPr>
            <w:r>
              <w:rPr>
                <w:rFonts w:hint="eastAsia" w:ascii="宋体" w:hAnsi="宋体" w:eastAsia="宋体"/>
                <w:color w:val="auto"/>
              </w:rPr>
              <w:t>年初</w:t>
            </w:r>
            <w:r>
              <w:rPr>
                <w:rFonts w:ascii="宋体" w:hAnsi="宋体" w:eastAsia="宋体"/>
                <w:color w:val="auto"/>
              </w:rPr>
              <w:t>结转结余</w:t>
            </w:r>
          </w:p>
        </w:tc>
        <w:tc>
          <w:tcPr>
            <w:tcW w:w="1696"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133.85</w:t>
            </w:r>
          </w:p>
        </w:tc>
        <w:tc>
          <w:tcPr>
            <w:tcW w:w="2195"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216.47</w:t>
            </w:r>
          </w:p>
        </w:tc>
        <w:tc>
          <w:tcPr>
            <w:tcW w:w="1874"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216.47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441" w:type="dxa"/>
            <w:noWrap w:val="0"/>
            <w:vAlign w:val="center"/>
          </w:tcPr>
          <w:p>
            <w:pPr>
              <w:pStyle w:val="20"/>
              <w:ind w:firstLine="442" w:firstLineChars="200"/>
              <w:rPr>
                <w:rFonts w:ascii="宋体" w:hAnsi="宋体" w:eastAsia="宋体"/>
                <w:b/>
                <w:bCs w:val="0"/>
                <w:color w:val="auto"/>
              </w:rPr>
            </w:pPr>
            <w:r>
              <w:rPr>
                <w:rFonts w:hint="eastAsia" w:ascii="宋体" w:hAnsi="宋体" w:eastAsia="宋体"/>
                <w:b/>
                <w:bCs w:val="0"/>
                <w:color w:val="auto"/>
              </w:rPr>
              <w:t>合计</w:t>
            </w:r>
          </w:p>
        </w:tc>
        <w:tc>
          <w:tcPr>
            <w:tcW w:w="1696" w:type="dxa"/>
            <w:noWrap w:val="0"/>
            <w:vAlign w:val="center"/>
          </w:tcPr>
          <w:p>
            <w:pPr>
              <w:pStyle w:val="20"/>
              <w:ind w:firstLine="442" w:firstLineChars="200"/>
              <w:rPr>
                <w:rFonts w:ascii="宋体" w:hAnsi="宋体" w:eastAsia="宋体"/>
                <w:b/>
                <w:bCs w:val="0"/>
                <w:color w:val="auto"/>
                <w:lang w:val="en-US"/>
              </w:rPr>
            </w:pPr>
            <w:r>
              <w:rPr>
                <w:rFonts w:hint="eastAsia" w:ascii="宋体" w:hAnsi="宋体" w:eastAsia="宋体"/>
                <w:b/>
                <w:bCs w:val="0"/>
                <w:color w:val="auto"/>
                <w:lang w:val="en-US"/>
              </w:rPr>
              <w:t>870.52</w:t>
            </w:r>
          </w:p>
        </w:tc>
        <w:tc>
          <w:tcPr>
            <w:tcW w:w="2195" w:type="dxa"/>
            <w:noWrap w:val="0"/>
            <w:vAlign w:val="center"/>
          </w:tcPr>
          <w:p>
            <w:pPr>
              <w:pStyle w:val="20"/>
              <w:ind w:firstLine="442" w:firstLineChars="200"/>
              <w:rPr>
                <w:rFonts w:ascii="宋体" w:hAnsi="宋体" w:eastAsia="宋体"/>
                <w:b/>
                <w:bCs w:val="0"/>
                <w:color w:val="auto"/>
                <w:lang w:val="en-US"/>
              </w:rPr>
            </w:pPr>
            <w:r>
              <w:rPr>
                <w:rFonts w:hint="eastAsia" w:ascii="宋体" w:hAnsi="宋体" w:eastAsia="宋体"/>
                <w:b/>
                <w:bCs w:val="0"/>
                <w:color w:val="auto"/>
                <w:lang w:val="en-US"/>
              </w:rPr>
              <w:t>1132.27</w:t>
            </w:r>
          </w:p>
        </w:tc>
        <w:tc>
          <w:tcPr>
            <w:tcW w:w="1874" w:type="dxa"/>
            <w:noWrap w:val="0"/>
            <w:vAlign w:val="center"/>
          </w:tcPr>
          <w:p>
            <w:pPr>
              <w:pStyle w:val="20"/>
              <w:ind w:firstLine="442" w:firstLineChars="200"/>
              <w:rPr>
                <w:rFonts w:ascii="宋体" w:hAnsi="宋体" w:eastAsia="宋体"/>
                <w:b/>
                <w:bCs w:val="0"/>
                <w:color w:val="auto"/>
                <w:lang w:val="en-US"/>
              </w:rPr>
            </w:pPr>
            <w:r>
              <w:rPr>
                <w:rFonts w:hint="eastAsia" w:ascii="宋体" w:hAnsi="宋体" w:eastAsia="宋体"/>
                <w:b/>
                <w:bCs w:val="0"/>
                <w:color w:val="auto"/>
                <w:lang w:val="en-US"/>
              </w:rPr>
              <w:t>1132.27</w:t>
            </w:r>
          </w:p>
        </w:tc>
      </w:tr>
    </w:tbl>
    <w:p>
      <w:pPr>
        <w:tabs>
          <w:tab w:val="left" w:pos="1265"/>
        </w:tabs>
        <w:spacing w:line="560" w:lineRule="exact"/>
        <w:ind w:firstLine="315" w:firstLineChars="98"/>
        <w:rPr>
          <w:rFonts w:hint="eastAsia" w:ascii="楷体_GB2312" w:eastAsia="楷体_GB2312"/>
          <w:b/>
          <w:sz w:val="32"/>
          <w:szCs w:val="32"/>
        </w:rPr>
      </w:pPr>
    </w:p>
    <w:p>
      <w:pPr>
        <w:tabs>
          <w:tab w:val="left" w:pos="1265"/>
        </w:tabs>
        <w:spacing w:line="560" w:lineRule="exact"/>
        <w:ind w:firstLine="315" w:firstLineChars="98"/>
        <w:rPr>
          <w:rFonts w:ascii="楷体_GB2312" w:eastAsia="楷体_GB2312"/>
          <w:b/>
          <w:sz w:val="32"/>
          <w:szCs w:val="32"/>
        </w:rPr>
      </w:pPr>
      <w:r>
        <w:rPr>
          <w:rFonts w:hint="eastAsia" w:ascii="楷体_GB2312" w:eastAsia="楷体_GB2312"/>
          <w:b/>
          <w:sz w:val="32"/>
          <w:szCs w:val="32"/>
        </w:rPr>
        <w:t>（三）部门财政资金支出情况</w:t>
      </w:r>
    </w:p>
    <w:p>
      <w:pPr>
        <w:pStyle w:val="22"/>
        <w:rPr>
          <w:rFonts w:hint="eastAsia" w:ascii="仿宋_GB2312"/>
          <w:lang w:val="en-US"/>
        </w:rPr>
      </w:pPr>
      <w:r>
        <w:rPr>
          <w:rFonts w:hint="eastAsia" w:ascii="仿宋_GB2312"/>
          <w:lang w:val="en-US"/>
        </w:rPr>
        <w:t>2</w:t>
      </w:r>
      <w:r>
        <w:rPr>
          <w:rFonts w:hint="eastAsia" w:ascii="仿宋_GB2312"/>
        </w:rPr>
        <w:t>020年高阳镇人民政府支出合计858.54万元，其中：基本支出797.74万元，占92.92%；项目支出60.8万元，占7.08%；上缴上级支出0万元，占0%；经营支出0万元，占0%；对附属单位补助支出0万元，占0%；年末结转结余273.73万元。年初支出预算数为</w:t>
      </w:r>
      <w:r>
        <w:rPr>
          <w:rFonts w:hint="eastAsia" w:ascii="仿宋_GB2312"/>
          <w:lang w:val="en-US"/>
        </w:rPr>
        <w:t>870.52</w:t>
      </w:r>
      <w:r>
        <w:rPr>
          <w:rFonts w:hint="eastAsia" w:ascii="仿宋_GB2312"/>
        </w:rPr>
        <w:t>万元，支出调整预算数为</w:t>
      </w:r>
      <w:r>
        <w:rPr>
          <w:rFonts w:hint="eastAsia" w:ascii="仿宋_GB2312"/>
          <w:lang w:val="en-US"/>
        </w:rPr>
        <w:t>1132.27</w:t>
      </w:r>
      <w:r>
        <w:rPr>
          <w:rFonts w:hint="eastAsia" w:ascii="仿宋_GB2312"/>
        </w:rPr>
        <w:t>万元，支出决算数为</w:t>
      </w:r>
      <w:r>
        <w:rPr>
          <w:rFonts w:hint="eastAsia" w:ascii="仿宋_GB2312"/>
          <w:lang w:val="en-US"/>
        </w:rPr>
        <w:t>1132.27</w:t>
      </w:r>
      <w:r>
        <w:rPr>
          <w:rFonts w:hint="eastAsia" w:ascii="仿宋_GB2312"/>
        </w:rPr>
        <w:t>万元。具体情况见表</w:t>
      </w:r>
      <w:r>
        <w:rPr>
          <w:rFonts w:hint="eastAsia" w:ascii="仿宋_GB2312"/>
          <w:lang w:val="en-US"/>
        </w:rPr>
        <w:t>1</w:t>
      </w:r>
      <w:r>
        <w:rPr>
          <w:rFonts w:hint="eastAsia" w:ascii="仿宋_GB2312"/>
        </w:rPr>
        <w:t>-2</w:t>
      </w:r>
      <w:r>
        <w:rPr>
          <w:rFonts w:hint="eastAsia" w:ascii="仿宋_GB2312"/>
          <w:lang w:val="en-US"/>
        </w:rPr>
        <w:t>：</w:t>
      </w:r>
    </w:p>
    <w:p>
      <w:pPr>
        <w:pStyle w:val="19"/>
        <w:spacing w:after="0"/>
        <w:ind w:firstLine="482" w:firstLineChars="200"/>
        <w:rPr>
          <w:rFonts w:hint="eastAsia"/>
        </w:rPr>
      </w:pPr>
    </w:p>
    <w:p>
      <w:pPr>
        <w:pStyle w:val="19"/>
        <w:spacing w:after="0"/>
        <w:ind w:firstLine="562" w:firstLineChars="200"/>
        <w:rPr>
          <w:rFonts w:hint="eastAsia"/>
          <w:sz w:val="28"/>
        </w:rPr>
      </w:pPr>
    </w:p>
    <w:p>
      <w:pPr>
        <w:pStyle w:val="19"/>
        <w:spacing w:after="0"/>
        <w:ind w:firstLine="562" w:firstLineChars="200"/>
        <w:rPr>
          <w:sz w:val="28"/>
        </w:rPr>
      </w:pPr>
      <w:r>
        <w:rPr>
          <w:rFonts w:hint="eastAsia"/>
          <w:sz w:val="28"/>
        </w:rPr>
        <w:t>表1</w:t>
      </w:r>
      <w:r>
        <w:rPr>
          <w:sz w:val="28"/>
        </w:rPr>
        <w:t>-</w:t>
      </w:r>
      <w:r>
        <w:rPr>
          <w:rFonts w:hint="eastAsia"/>
          <w:sz w:val="28"/>
        </w:rPr>
        <w:t>2  2020</w:t>
      </w:r>
      <w:r>
        <w:rPr>
          <w:sz w:val="28"/>
        </w:rPr>
        <w:t>年</w:t>
      </w:r>
      <w:r>
        <w:rPr>
          <w:rFonts w:hint="eastAsia"/>
          <w:sz w:val="28"/>
        </w:rPr>
        <w:t>高阳镇人民政府支出</w:t>
      </w:r>
      <w:r>
        <w:rPr>
          <w:sz w:val="28"/>
        </w:rPr>
        <w:t>预决算情况表</w:t>
      </w:r>
    </w:p>
    <w:p>
      <w:pPr>
        <w:pStyle w:val="19"/>
        <w:spacing w:after="0"/>
        <w:ind w:firstLine="482" w:firstLineChars="200"/>
        <w:jc w:val="right"/>
      </w:pPr>
      <w:r>
        <w:rPr>
          <w:rFonts w:hint="eastAsia"/>
        </w:rPr>
        <w:t>单位</w:t>
      </w:r>
      <w:r>
        <w:t>：万元</w:t>
      </w:r>
    </w:p>
    <w:tbl>
      <w:tblPr>
        <w:tblStyle w:val="1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309"/>
        <w:gridCol w:w="2312"/>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blHeader/>
        </w:trPr>
        <w:tc>
          <w:tcPr>
            <w:tcW w:w="2310" w:type="dxa"/>
            <w:noWrap w:val="0"/>
            <w:vAlign w:val="center"/>
          </w:tcPr>
          <w:p>
            <w:pPr>
              <w:pStyle w:val="20"/>
              <w:ind w:firstLine="440" w:firstLineChars="200"/>
              <w:rPr>
                <w:rFonts w:ascii="宋体" w:hAnsi="宋体" w:eastAsia="宋体"/>
                <w:color w:val="auto"/>
              </w:rPr>
            </w:pPr>
          </w:p>
        </w:tc>
        <w:tc>
          <w:tcPr>
            <w:tcW w:w="2309" w:type="dxa"/>
            <w:noWrap w:val="0"/>
            <w:vAlign w:val="center"/>
          </w:tcPr>
          <w:p>
            <w:pPr>
              <w:pStyle w:val="20"/>
              <w:ind w:firstLine="442" w:firstLineChars="200"/>
              <w:rPr>
                <w:rFonts w:ascii="宋体" w:hAnsi="宋体" w:eastAsia="宋体"/>
                <w:b/>
                <w:color w:val="auto"/>
              </w:rPr>
            </w:pPr>
            <w:r>
              <w:rPr>
                <w:rFonts w:hint="eastAsia" w:ascii="宋体" w:hAnsi="宋体" w:eastAsia="宋体"/>
                <w:b/>
                <w:color w:val="auto"/>
              </w:rPr>
              <w:t>支出</w:t>
            </w:r>
            <w:r>
              <w:rPr>
                <w:rFonts w:ascii="宋体" w:hAnsi="宋体" w:eastAsia="宋体"/>
                <w:b/>
                <w:color w:val="auto"/>
              </w:rPr>
              <w:t>预算数</w:t>
            </w:r>
          </w:p>
        </w:tc>
        <w:tc>
          <w:tcPr>
            <w:tcW w:w="2312" w:type="dxa"/>
            <w:noWrap w:val="0"/>
            <w:vAlign w:val="center"/>
          </w:tcPr>
          <w:p>
            <w:pPr>
              <w:pStyle w:val="20"/>
              <w:ind w:firstLine="442" w:firstLineChars="200"/>
              <w:rPr>
                <w:rFonts w:ascii="宋体" w:hAnsi="宋体" w:eastAsia="宋体"/>
                <w:b/>
                <w:color w:val="auto"/>
              </w:rPr>
            </w:pPr>
            <w:r>
              <w:rPr>
                <w:rFonts w:hint="eastAsia" w:ascii="宋体" w:hAnsi="宋体" w:eastAsia="宋体"/>
                <w:b/>
                <w:color w:val="auto"/>
              </w:rPr>
              <w:t>支出</w:t>
            </w:r>
            <w:r>
              <w:rPr>
                <w:rFonts w:ascii="宋体" w:hAnsi="宋体" w:eastAsia="宋体"/>
                <w:b/>
                <w:color w:val="auto"/>
              </w:rPr>
              <w:t>调整数</w:t>
            </w:r>
          </w:p>
        </w:tc>
        <w:tc>
          <w:tcPr>
            <w:tcW w:w="2312" w:type="dxa"/>
            <w:noWrap w:val="0"/>
            <w:vAlign w:val="center"/>
          </w:tcPr>
          <w:p>
            <w:pPr>
              <w:pStyle w:val="20"/>
              <w:ind w:firstLine="442" w:firstLineChars="200"/>
              <w:rPr>
                <w:rFonts w:ascii="宋体" w:hAnsi="宋体" w:eastAsia="宋体"/>
                <w:b/>
                <w:color w:val="auto"/>
              </w:rPr>
            </w:pPr>
            <w:r>
              <w:rPr>
                <w:rFonts w:hint="eastAsia" w:ascii="宋体" w:hAnsi="宋体" w:eastAsia="宋体"/>
                <w:b/>
                <w:color w:val="auto"/>
              </w:rPr>
              <w:t>支出</w:t>
            </w:r>
            <w:r>
              <w:rPr>
                <w:rFonts w:ascii="宋体" w:hAnsi="宋体" w:eastAsia="宋体"/>
                <w:b/>
                <w:color w:val="auto"/>
              </w:rPr>
              <w:t>决算</w:t>
            </w:r>
            <w:r>
              <w:rPr>
                <w:rFonts w:hint="eastAsia" w:ascii="宋体" w:hAnsi="宋体" w:eastAsia="宋体"/>
                <w:b/>
                <w:color w:val="auto"/>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310" w:type="dxa"/>
            <w:noWrap w:val="0"/>
            <w:vAlign w:val="center"/>
          </w:tcPr>
          <w:p>
            <w:pPr>
              <w:pStyle w:val="20"/>
              <w:ind w:firstLine="440" w:firstLineChars="200"/>
              <w:rPr>
                <w:rFonts w:ascii="宋体" w:hAnsi="宋体" w:eastAsia="宋体"/>
                <w:color w:val="auto"/>
              </w:rPr>
            </w:pPr>
            <w:r>
              <w:rPr>
                <w:rFonts w:hint="eastAsia" w:ascii="宋体" w:hAnsi="宋体" w:eastAsia="宋体"/>
                <w:color w:val="auto"/>
              </w:rPr>
              <w:t>基本支出</w:t>
            </w:r>
          </w:p>
        </w:tc>
        <w:tc>
          <w:tcPr>
            <w:tcW w:w="2309"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783.74</w:t>
            </w:r>
          </w:p>
        </w:tc>
        <w:tc>
          <w:tcPr>
            <w:tcW w:w="2312"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904.85</w:t>
            </w:r>
          </w:p>
        </w:tc>
        <w:tc>
          <w:tcPr>
            <w:tcW w:w="2312"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797.74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310" w:type="dxa"/>
            <w:noWrap w:val="0"/>
            <w:vAlign w:val="center"/>
          </w:tcPr>
          <w:p>
            <w:pPr>
              <w:pStyle w:val="20"/>
              <w:ind w:firstLine="440" w:firstLineChars="200"/>
              <w:rPr>
                <w:rFonts w:ascii="宋体" w:hAnsi="宋体" w:eastAsia="宋体"/>
                <w:color w:val="auto"/>
              </w:rPr>
            </w:pPr>
            <w:r>
              <w:rPr>
                <w:rFonts w:hint="eastAsia" w:ascii="宋体" w:hAnsi="宋体" w:eastAsia="宋体"/>
                <w:color w:val="auto"/>
              </w:rPr>
              <w:t>项目支出</w:t>
            </w:r>
          </w:p>
        </w:tc>
        <w:tc>
          <w:tcPr>
            <w:tcW w:w="2309"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86.76</w:t>
            </w:r>
          </w:p>
        </w:tc>
        <w:tc>
          <w:tcPr>
            <w:tcW w:w="2312"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227.41</w:t>
            </w:r>
          </w:p>
        </w:tc>
        <w:tc>
          <w:tcPr>
            <w:tcW w:w="2312"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310" w:type="dxa"/>
            <w:noWrap w:val="0"/>
            <w:vAlign w:val="center"/>
          </w:tcPr>
          <w:p>
            <w:pPr>
              <w:pStyle w:val="20"/>
              <w:ind w:firstLine="440" w:firstLineChars="200"/>
              <w:rPr>
                <w:rFonts w:ascii="宋体" w:hAnsi="宋体" w:eastAsia="宋体"/>
                <w:color w:val="auto"/>
              </w:rPr>
            </w:pPr>
            <w:r>
              <w:rPr>
                <w:rFonts w:hint="eastAsia" w:ascii="宋体" w:hAnsi="宋体" w:eastAsia="宋体"/>
                <w:color w:val="auto"/>
              </w:rPr>
              <w:t>经营支出</w:t>
            </w:r>
          </w:p>
        </w:tc>
        <w:tc>
          <w:tcPr>
            <w:tcW w:w="2309" w:type="dxa"/>
            <w:noWrap w:val="0"/>
            <w:vAlign w:val="center"/>
          </w:tcPr>
          <w:p>
            <w:pPr>
              <w:pStyle w:val="20"/>
              <w:ind w:firstLine="440" w:firstLineChars="200"/>
              <w:rPr>
                <w:rFonts w:ascii="宋体" w:hAnsi="宋体" w:eastAsia="宋体"/>
                <w:color w:val="auto"/>
              </w:rPr>
            </w:pPr>
          </w:p>
        </w:tc>
        <w:tc>
          <w:tcPr>
            <w:tcW w:w="2312" w:type="dxa"/>
            <w:noWrap w:val="0"/>
            <w:vAlign w:val="center"/>
          </w:tcPr>
          <w:p>
            <w:pPr>
              <w:pStyle w:val="20"/>
              <w:ind w:firstLine="440" w:firstLineChars="200"/>
              <w:rPr>
                <w:rFonts w:ascii="宋体" w:hAnsi="宋体" w:eastAsia="宋体"/>
                <w:color w:val="auto"/>
              </w:rPr>
            </w:pPr>
          </w:p>
        </w:tc>
        <w:tc>
          <w:tcPr>
            <w:tcW w:w="2312" w:type="dxa"/>
            <w:noWrap w:val="0"/>
            <w:vAlign w:val="center"/>
          </w:tcPr>
          <w:p>
            <w:pPr>
              <w:pStyle w:val="20"/>
              <w:ind w:firstLine="440" w:firstLineChars="200"/>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310" w:type="dxa"/>
            <w:noWrap w:val="0"/>
            <w:vAlign w:val="center"/>
          </w:tcPr>
          <w:p>
            <w:pPr>
              <w:pStyle w:val="20"/>
              <w:ind w:firstLine="440" w:firstLineChars="200"/>
              <w:rPr>
                <w:rFonts w:ascii="宋体" w:hAnsi="宋体" w:eastAsia="宋体"/>
                <w:color w:val="auto"/>
              </w:rPr>
            </w:pPr>
            <w:r>
              <w:rPr>
                <w:rFonts w:hint="eastAsia" w:ascii="宋体" w:hAnsi="宋体" w:eastAsia="宋体"/>
                <w:color w:val="auto"/>
              </w:rPr>
              <w:t>结余分配</w:t>
            </w:r>
          </w:p>
        </w:tc>
        <w:tc>
          <w:tcPr>
            <w:tcW w:w="2309" w:type="dxa"/>
            <w:noWrap w:val="0"/>
            <w:vAlign w:val="center"/>
          </w:tcPr>
          <w:p>
            <w:pPr>
              <w:pStyle w:val="20"/>
              <w:ind w:firstLine="440" w:firstLineChars="200"/>
              <w:rPr>
                <w:rFonts w:ascii="宋体" w:hAnsi="宋体" w:eastAsia="宋体"/>
                <w:color w:val="auto"/>
              </w:rPr>
            </w:pPr>
          </w:p>
        </w:tc>
        <w:tc>
          <w:tcPr>
            <w:tcW w:w="2312" w:type="dxa"/>
            <w:noWrap w:val="0"/>
            <w:vAlign w:val="center"/>
          </w:tcPr>
          <w:p>
            <w:pPr>
              <w:pStyle w:val="20"/>
              <w:ind w:firstLine="440" w:firstLineChars="200"/>
              <w:rPr>
                <w:rFonts w:ascii="宋体" w:hAnsi="宋体" w:eastAsia="宋体"/>
                <w:color w:val="auto"/>
              </w:rPr>
            </w:pPr>
          </w:p>
        </w:tc>
        <w:tc>
          <w:tcPr>
            <w:tcW w:w="2312" w:type="dxa"/>
            <w:noWrap w:val="0"/>
            <w:vAlign w:val="center"/>
          </w:tcPr>
          <w:p>
            <w:pPr>
              <w:pStyle w:val="20"/>
              <w:ind w:firstLine="440" w:firstLineChars="200"/>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310" w:type="dxa"/>
            <w:noWrap w:val="0"/>
            <w:vAlign w:val="center"/>
          </w:tcPr>
          <w:p>
            <w:pPr>
              <w:pStyle w:val="20"/>
              <w:ind w:firstLine="440" w:firstLineChars="200"/>
              <w:rPr>
                <w:rFonts w:ascii="宋体" w:hAnsi="宋体" w:eastAsia="宋体"/>
                <w:color w:val="auto"/>
              </w:rPr>
            </w:pPr>
            <w:r>
              <w:rPr>
                <w:rFonts w:hint="eastAsia" w:ascii="宋体" w:hAnsi="宋体" w:eastAsia="宋体"/>
                <w:color w:val="auto"/>
              </w:rPr>
              <w:t>年末</w:t>
            </w:r>
            <w:r>
              <w:rPr>
                <w:rFonts w:ascii="宋体" w:hAnsi="宋体" w:eastAsia="宋体"/>
                <w:color w:val="auto"/>
              </w:rPr>
              <w:t>结转结余</w:t>
            </w:r>
          </w:p>
        </w:tc>
        <w:tc>
          <w:tcPr>
            <w:tcW w:w="2309" w:type="dxa"/>
            <w:noWrap w:val="0"/>
            <w:vAlign w:val="center"/>
          </w:tcPr>
          <w:p>
            <w:pPr>
              <w:pStyle w:val="20"/>
              <w:ind w:firstLine="440" w:firstLineChars="200"/>
              <w:rPr>
                <w:rFonts w:ascii="宋体" w:hAnsi="宋体" w:eastAsia="宋体"/>
                <w:color w:val="auto"/>
                <w:lang w:val="en-US"/>
              </w:rPr>
            </w:pPr>
          </w:p>
        </w:tc>
        <w:tc>
          <w:tcPr>
            <w:tcW w:w="2312" w:type="dxa"/>
            <w:noWrap w:val="0"/>
            <w:vAlign w:val="center"/>
          </w:tcPr>
          <w:p>
            <w:pPr>
              <w:pStyle w:val="20"/>
              <w:ind w:firstLine="440" w:firstLineChars="200"/>
              <w:rPr>
                <w:rFonts w:ascii="宋体" w:hAnsi="宋体" w:eastAsia="宋体"/>
                <w:color w:val="auto"/>
                <w:lang w:val="en-US"/>
              </w:rPr>
            </w:pPr>
          </w:p>
        </w:tc>
        <w:tc>
          <w:tcPr>
            <w:tcW w:w="2312"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273.73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310" w:type="dxa"/>
            <w:noWrap w:val="0"/>
            <w:vAlign w:val="center"/>
          </w:tcPr>
          <w:p>
            <w:pPr>
              <w:pStyle w:val="20"/>
              <w:ind w:firstLine="442" w:firstLineChars="200"/>
              <w:rPr>
                <w:rFonts w:ascii="宋体" w:hAnsi="宋体" w:eastAsia="宋体"/>
                <w:b/>
                <w:color w:val="auto"/>
              </w:rPr>
            </w:pPr>
            <w:r>
              <w:rPr>
                <w:rFonts w:hint="eastAsia" w:ascii="宋体" w:hAnsi="宋体" w:eastAsia="宋体"/>
                <w:b/>
                <w:color w:val="auto"/>
              </w:rPr>
              <w:t>合计</w:t>
            </w:r>
          </w:p>
        </w:tc>
        <w:tc>
          <w:tcPr>
            <w:tcW w:w="2309" w:type="dxa"/>
            <w:noWrap w:val="0"/>
            <w:vAlign w:val="center"/>
          </w:tcPr>
          <w:p>
            <w:pPr>
              <w:pStyle w:val="20"/>
              <w:ind w:firstLine="442" w:firstLineChars="200"/>
              <w:rPr>
                <w:rFonts w:ascii="宋体" w:hAnsi="宋体" w:eastAsia="宋体"/>
                <w:b/>
                <w:color w:val="auto"/>
                <w:lang w:val="en-US"/>
              </w:rPr>
            </w:pPr>
            <w:r>
              <w:rPr>
                <w:rFonts w:hint="eastAsia" w:ascii="宋体" w:hAnsi="宋体" w:eastAsia="宋体"/>
                <w:b/>
                <w:color w:val="auto"/>
                <w:lang w:val="en-US"/>
              </w:rPr>
              <w:t>870.52</w:t>
            </w:r>
          </w:p>
        </w:tc>
        <w:tc>
          <w:tcPr>
            <w:tcW w:w="2312" w:type="dxa"/>
            <w:noWrap w:val="0"/>
            <w:vAlign w:val="center"/>
          </w:tcPr>
          <w:p>
            <w:pPr>
              <w:pStyle w:val="20"/>
              <w:ind w:firstLine="442" w:firstLineChars="200"/>
              <w:rPr>
                <w:rFonts w:ascii="宋体" w:hAnsi="宋体" w:eastAsia="宋体"/>
                <w:b/>
                <w:color w:val="auto"/>
                <w:lang w:val="en-US"/>
              </w:rPr>
            </w:pPr>
            <w:r>
              <w:rPr>
                <w:rFonts w:hint="eastAsia" w:ascii="宋体" w:hAnsi="宋体" w:eastAsia="宋体"/>
                <w:b/>
                <w:color w:val="auto"/>
                <w:lang w:val="en-US"/>
              </w:rPr>
              <w:t>1132.27</w:t>
            </w:r>
          </w:p>
        </w:tc>
        <w:tc>
          <w:tcPr>
            <w:tcW w:w="2312" w:type="dxa"/>
            <w:noWrap w:val="0"/>
            <w:vAlign w:val="center"/>
          </w:tcPr>
          <w:p>
            <w:pPr>
              <w:pStyle w:val="20"/>
              <w:ind w:firstLine="442" w:firstLineChars="200"/>
              <w:rPr>
                <w:rFonts w:ascii="宋体" w:hAnsi="宋体" w:eastAsia="宋体"/>
                <w:b/>
                <w:color w:val="auto"/>
                <w:lang w:val="en-US"/>
              </w:rPr>
            </w:pPr>
            <w:r>
              <w:rPr>
                <w:rFonts w:hint="eastAsia" w:ascii="宋体" w:hAnsi="宋体" w:eastAsia="宋体"/>
                <w:b/>
                <w:color w:val="auto"/>
                <w:lang w:val="en-US"/>
              </w:rPr>
              <w:t>1132.27</w:t>
            </w:r>
          </w:p>
        </w:tc>
      </w:tr>
    </w:tbl>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三、评价结论和绩效分析</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（一）评价结论</w:t>
      </w:r>
    </w:p>
    <w:p>
      <w:pPr>
        <w:pStyle w:val="22"/>
        <w:rPr>
          <w:rFonts w:hint="eastAsia" w:ascii="仿宋_GB2312"/>
        </w:rPr>
      </w:pPr>
      <w:r>
        <w:rPr>
          <w:rFonts w:hint="eastAsia" w:ascii="仿宋_GB2312"/>
          <w:lang w:val="en-US"/>
        </w:rPr>
        <w:t>高阳镇人民政府</w:t>
      </w:r>
      <w:r>
        <w:rPr>
          <w:rFonts w:hint="eastAsia" w:ascii="仿宋_GB2312"/>
        </w:rPr>
        <w:t>预算测算过程较为完整，在</w:t>
      </w:r>
      <w:r>
        <w:rPr>
          <w:rFonts w:hint="eastAsia" w:ascii="仿宋_GB2312"/>
          <w:lang w:val="en-US"/>
        </w:rPr>
        <w:t>预算编制、</w:t>
      </w:r>
      <w:r>
        <w:rPr>
          <w:rFonts w:hint="eastAsia" w:ascii="仿宋_GB2312"/>
        </w:rPr>
        <w:t>信息公开等综合管理方面执行较好，部门整体支出绩效完成情况良好。但评价中也发现</w:t>
      </w:r>
      <w:r>
        <w:rPr>
          <w:rFonts w:hint="eastAsia" w:ascii="仿宋_GB2312"/>
          <w:lang w:val="en-US"/>
        </w:rPr>
        <w:t>部门预算执行方面</w:t>
      </w:r>
      <w:r>
        <w:rPr>
          <w:rFonts w:hint="eastAsia" w:ascii="仿宋_GB2312"/>
        </w:rPr>
        <w:t>存在瑕疵，本次整体支出绩效评级综合得分情况如下：预算管理指标权重为</w:t>
      </w:r>
      <w:r>
        <w:rPr>
          <w:rFonts w:hint="eastAsia" w:ascii="仿宋_GB2312"/>
          <w:lang w:val="en-US"/>
        </w:rPr>
        <w:t>80</w:t>
      </w:r>
      <w:r>
        <w:rPr>
          <w:rFonts w:hint="eastAsia" w:ascii="仿宋_GB2312"/>
        </w:rPr>
        <w:t>分，得分为</w:t>
      </w:r>
      <w:r>
        <w:rPr>
          <w:rFonts w:hint="eastAsia" w:ascii="仿宋_GB2312"/>
          <w:lang w:val="en-US"/>
        </w:rPr>
        <w:t>61.28</w:t>
      </w:r>
      <w:r>
        <w:rPr>
          <w:rFonts w:hint="eastAsia" w:ascii="仿宋_GB2312"/>
        </w:rPr>
        <w:t>分，得分率为</w:t>
      </w:r>
      <w:r>
        <w:rPr>
          <w:rFonts w:hint="eastAsia" w:ascii="仿宋_GB2312"/>
          <w:lang w:val="en-US"/>
        </w:rPr>
        <w:t>76.6</w:t>
      </w:r>
      <w:r>
        <w:rPr>
          <w:rFonts w:hint="eastAsia" w:ascii="仿宋_GB2312"/>
        </w:rPr>
        <w:t>%；</w:t>
      </w:r>
      <w:r>
        <w:rPr>
          <w:rFonts w:hint="eastAsia" w:ascii="仿宋_GB2312"/>
          <w:lang w:val="en-US"/>
        </w:rPr>
        <w:t>绩效结果运用</w:t>
      </w:r>
      <w:r>
        <w:rPr>
          <w:rFonts w:hint="eastAsia" w:ascii="仿宋_GB2312"/>
        </w:rPr>
        <w:t>指标权重为</w:t>
      </w:r>
      <w:r>
        <w:rPr>
          <w:rFonts w:hint="eastAsia" w:ascii="仿宋_GB2312"/>
          <w:lang w:val="en-US"/>
        </w:rPr>
        <w:t>20</w:t>
      </w:r>
      <w:r>
        <w:rPr>
          <w:rFonts w:hint="eastAsia" w:ascii="仿宋_GB2312"/>
        </w:rPr>
        <w:t>分，得分为</w:t>
      </w:r>
      <w:r>
        <w:rPr>
          <w:rFonts w:hint="eastAsia" w:ascii="仿宋_GB2312"/>
          <w:lang w:val="en-US"/>
        </w:rPr>
        <w:t>18</w:t>
      </w:r>
      <w:r>
        <w:rPr>
          <w:rFonts w:hint="eastAsia" w:ascii="仿宋_GB2312"/>
        </w:rPr>
        <w:t>分，得分率为</w:t>
      </w:r>
      <w:r>
        <w:rPr>
          <w:rFonts w:hint="eastAsia" w:ascii="仿宋_GB2312"/>
          <w:lang w:val="en-US"/>
        </w:rPr>
        <w:t>90</w:t>
      </w:r>
      <w:r>
        <w:rPr>
          <w:rFonts w:hint="eastAsia" w:ascii="仿宋_GB2312"/>
        </w:rPr>
        <w:t>%；本次评价总分为</w:t>
      </w:r>
      <w:r>
        <w:rPr>
          <w:rFonts w:hint="eastAsia" w:ascii="仿宋_GB2312"/>
          <w:lang w:val="en-US"/>
        </w:rPr>
        <w:t>79.28</w:t>
      </w:r>
      <w:r>
        <w:rPr>
          <w:rFonts w:hint="eastAsia" w:ascii="仿宋_GB2312"/>
        </w:rPr>
        <w:t>分。详情见下表</w:t>
      </w:r>
      <w:r>
        <w:rPr>
          <w:rFonts w:hint="eastAsia" w:ascii="仿宋_GB2312"/>
          <w:lang w:val="en-US"/>
        </w:rPr>
        <w:t>2</w:t>
      </w:r>
      <w:r>
        <w:rPr>
          <w:rFonts w:hint="eastAsia" w:ascii="仿宋_GB2312"/>
        </w:rPr>
        <w:t>-1。</w:t>
      </w:r>
    </w:p>
    <w:p>
      <w:pPr>
        <w:pStyle w:val="19"/>
        <w:spacing w:after="0"/>
        <w:ind w:firstLine="482" w:firstLineChars="200"/>
        <w:rPr>
          <w:rFonts w:hint="eastAsia"/>
        </w:rPr>
      </w:pPr>
    </w:p>
    <w:p>
      <w:pPr>
        <w:pStyle w:val="19"/>
        <w:spacing w:after="0"/>
        <w:ind w:firstLine="562" w:firstLineChars="200"/>
        <w:rPr>
          <w:sz w:val="28"/>
        </w:rPr>
      </w:pPr>
      <w:r>
        <w:rPr>
          <w:sz w:val="28"/>
        </w:rPr>
        <w:t>表</w:t>
      </w:r>
      <w:r>
        <w:rPr>
          <w:rFonts w:hint="eastAsia"/>
          <w:sz w:val="28"/>
        </w:rPr>
        <w:t>2-1 2020年高阳镇人民政府</w:t>
      </w:r>
      <w:r>
        <w:rPr>
          <w:sz w:val="28"/>
        </w:rPr>
        <w:t>部门整体支出绩效得分情况表</w:t>
      </w:r>
    </w:p>
    <w:tbl>
      <w:tblPr>
        <w:tblStyle w:val="12"/>
        <w:tblW w:w="9087" w:type="dxa"/>
        <w:tblInd w:w="0" w:type="dxa"/>
        <w:tblLayout w:type="fixed"/>
        <w:tblCellMar>
          <w:top w:w="15" w:type="dxa"/>
          <w:left w:w="15" w:type="dxa"/>
          <w:bottom w:w="15" w:type="dxa"/>
          <w:right w:w="15" w:type="dxa"/>
        </w:tblCellMar>
      </w:tblPr>
      <w:tblGrid>
        <w:gridCol w:w="2115"/>
        <w:gridCol w:w="1080"/>
        <w:gridCol w:w="1685"/>
        <w:gridCol w:w="1195"/>
        <w:gridCol w:w="1030"/>
        <w:gridCol w:w="1030"/>
        <w:gridCol w:w="952"/>
      </w:tblGrid>
      <w:tr>
        <w:tblPrEx>
          <w:tblCellMar>
            <w:top w:w="15" w:type="dxa"/>
            <w:left w:w="15" w:type="dxa"/>
            <w:bottom w:w="15" w:type="dxa"/>
            <w:right w:w="15" w:type="dxa"/>
          </w:tblCellMar>
        </w:tblPrEx>
        <w:trPr>
          <w:trHeight w:val="375" w:hRule="atLeast"/>
        </w:trPr>
        <w:tc>
          <w:tcPr>
            <w:tcW w:w="488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绩效指标</w:t>
            </w:r>
          </w:p>
        </w:tc>
        <w:tc>
          <w:tcPr>
            <w:tcW w:w="11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指标分值</w:t>
            </w:r>
          </w:p>
        </w:tc>
        <w:tc>
          <w:tcPr>
            <w:tcW w:w="103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kern w:val="0"/>
                <w:sz w:val="20"/>
                <w:szCs w:val="20"/>
              </w:rPr>
            </w:pPr>
            <w:r>
              <w:rPr>
                <w:rFonts w:hint="eastAsia" w:ascii="仿宋" w:hAnsi="仿宋" w:eastAsia="仿宋" w:cs="仿宋"/>
                <w:b/>
                <w:color w:val="000000"/>
                <w:kern w:val="0"/>
                <w:sz w:val="20"/>
                <w:szCs w:val="20"/>
              </w:rPr>
              <w:t>自评得分</w:t>
            </w:r>
          </w:p>
        </w:tc>
        <w:tc>
          <w:tcPr>
            <w:tcW w:w="10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评价得分</w:t>
            </w:r>
          </w:p>
        </w:tc>
        <w:tc>
          <w:tcPr>
            <w:tcW w:w="95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kern w:val="0"/>
                <w:sz w:val="20"/>
                <w:szCs w:val="20"/>
              </w:rPr>
            </w:pPr>
            <w:r>
              <w:rPr>
                <w:rFonts w:hint="eastAsia" w:ascii="仿宋" w:hAnsi="仿宋" w:eastAsia="仿宋" w:cs="仿宋"/>
                <w:b/>
                <w:color w:val="000000"/>
                <w:kern w:val="0"/>
                <w:sz w:val="20"/>
                <w:szCs w:val="20"/>
              </w:rPr>
              <w:t>备注</w:t>
            </w:r>
          </w:p>
        </w:tc>
      </w:tr>
      <w:tr>
        <w:tblPrEx>
          <w:tblCellMar>
            <w:top w:w="15" w:type="dxa"/>
            <w:left w:w="15" w:type="dxa"/>
            <w:bottom w:w="15" w:type="dxa"/>
            <w:right w:w="15" w:type="dxa"/>
          </w:tblCellMar>
        </w:tblPrEx>
        <w:trPr>
          <w:trHeight w:val="375" w:hRule="atLeast"/>
        </w:trPr>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一级指标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二级指标</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三级指标</w:t>
            </w:r>
          </w:p>
        </w:tc>
        <w:tc>
          <w:tcPr>
            <w:tcW w:w="11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0"/>
                <w:szCs w:val="20"/>
              </w:rPr>
            </w:pPr>
          </w:p>
        </w:tc>
        <w:tc>
          <w:tcPr>
            <w:tcW w:w="1030" w:type="dxa"/>
            <w:vMerge w:val="continue"/>
            <w:tcBorders>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0"/>
                <w:szCs w:val="20"/>
              </w:rPr>
            </w:pPr>
          </w:p>
        </w:tc>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0"/>
                <w:szCs w:val="20"/>
              </w:rPr>
            </w:pPr>
          </w:p>
        </w:tc>
        <w:tc>
          <w:tcPr>
            <w:tcW w:w="952" w:type="dxa"/>
            <w:vMerge w:val="continue"/>
            <w:tcBorders>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0"/>
                <w:szCs w:val="20"/>
              </w:rPr>
            </w:pPr>
          </w:p>
        </w:tc>
      </w:tr>
      <w:tr>
        <w:tblPrEx>
          <w:tblCellMar>
            <w:top w:w="15" w:type="dxa"/>
            <w:left w:w="15" w:type="dxa"/>
            <w:bottom w:w="15" w:type="dxa"/>
            <w:right w:w="15" w:type="dxa"/>
          </w:tblCellMar>
        </w:tblPrEx>
        <w:trPr>
          <w:trHeight w:val="221" w:hRule="atLeast"/>
        </w:trPr>
        <w:tc>
          <w:tcPr>
            <w:tcW w:w="21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部门预算管理（80分）</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预算</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编制</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（30分）</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目标制定</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55"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目标完成</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9</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217"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编制准确</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9.5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165"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firstLine="360" w:firstLineChars="200"/>
              <w:textAlignment w:val="center"/>
              <w:rPr>
                <w:rFonts w:ascii="宋体" w:hAnsi="宋体" w:cs="宋体"/>
                <w:color w:val="000000"/>
                <w:kern w:val="0"/>
                <w:sz w:val="18"/>
                <w:szCs w:val="18"/>
              </w:rPr>
            </w:pPr>
            <w:r>
              <w:rPr>
                <w:rFonts w:hint="eastAsia" w:ascii="宋体" w:hAnsi="宋体" w:cs="宋体"/>
                <w:color w:val="000000"/>
                <w:kern w:val="0"/>
                <w:sz w:val="18"/>
                <w:szCs w:val="18"/>
              </w:rPr>
              <w:t>预算</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执行</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（30分）</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支出控制</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9.5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229"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动态调整</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9.5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执行进度</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8.5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7.7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520"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完成</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结果</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（20分）</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预算完成</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8.5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7.58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86"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违规记录</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675" w:hRule="atLeast"/>
        </w:trPr>
        <w:tc>
          <w:tcPr>
            <w:tcW w:w="21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绩效结果应用（20分）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自评</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质量</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（4分）</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自评准确</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3.5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535"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信息</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公开</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（8分）</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目标公开</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585"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自评公开</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525"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整改</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反馈</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（8分）</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结果整改</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525"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应用反馈</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45" w:hRule="atLeast"/>
        </w:trPr>
        <w:tc>
          <w:tcPr>
            <w:tcW w:w="488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总分合计</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rPr>
            </w:pPr>
            <w:r>
              <w:rPr>
                <w:rFonts w:hint="eastAsia" w:ascii="宋体" w:hAnsi="宋体" w:cs="宋体"/>
                <w:color w:val="000000"/>
                <w:sz w:val="24"/>
              </w:rPr>
              <w:t>100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rPr>
            </w:pPr>
            <w:r>
              <w:rPr>
                <w:rFonts w:hint="eastAsia" w:ascii="宋体" w:hAnsi="宋体" w:cs="宋体"/>
                <w:color w:val="000000"/>
                <w:sz w:val="24"/>
              </w:rPr>
              <w:t>94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rPr>
            </w:pPr>
            <w:r>
              <w:rPr>
                <w:rFonts w:hint="eastAsia" w:ascii="宋体" w:hAnsi="宋体" w:cs="宋体"/>
                <w:color w:val="000000"/>
                <w:sz w:val="24"/>
              </w:rPr>
              <w:t>79.28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rPr>
            </w:pPr>
          </w:p>
        </w:tc>
      </w:tr>
    </w:tbl>
    <w:p>
      <w:pPr>
        <w:spacing w:line="560" w:lineRule="exact"/>
        <w:ind w:firstLine="321" w:firstLineChars="100"/>
        <w:rPr>
          <w:rFonts w:hint="eastAsia" w:ascii="楷体" w:hAnsi="楷体" w:eastAsia="楷体" w:cs="楷体"/>
          <w:b/>
          <w:sz w:val="32"/>
          <w:szCs w:val="32"/>
        </w:rPr>
      </w:pPr>
    </w:p>
    <w:p>
      <w:pPr>
        <w:spacing w:line="560" w:lineRule="exact"/>
        <w:ind w:firstLine="321" w:firstLineChars="100"/>
        <w:rPr>
          <w:rFonts w:hint="eastAsia" w:ascii="楷体_GB2312" w:hAnsi="楷体" w:eastAsia="楷体_GB2312" w:cs="楷体"/>
          <w:b/>
          <w:sz w:val="32"/>
          <w:szCs w:val="32"/>
        </w:rPr>
      </w:pPr>
      <w:r>
        <w:rPr>
          <w:rFonts w:hint="eastAsia" w:ascii="楷体_GB2312" w:hAnsi="楷体" w:eastAsia="楷体_GB2312" w:cs="楷体"/>
          <w:b/>
          <w:sz w:val="32"/>
          <w:szCs w:val="32"/>
        </w:rPr>
        <w:t>（二）部门预算管理情况分析</w:t>
      </w:r>
    </w:p>
    <w:p>
      <w:pPr>
        <w:spacing w:line="560" w:lineRule="exact"/>
        <w:ind w:firstLine="643" w:firstLineChars="200"/>
        <w:rPr>
          <w:rFonts w:hint="eastAsia" w:ascii="仿宋_GB2312" w:hAnsi="楷体" w:eastAsia="仿宋_GB2312" w:cs="楷体"/>
          <w:b/>
          <w:sz w:val="32"/>
          <w:szCs w:val="32"/>
        </w:rPr>
      </w:pPr>
      <w:r>
        <w:rPr>
          <w:rFonts w:hint="eastAsia" w:ascii="仿宋_GB2312" w:hAnsi="楷体" w:eastAsia="仿宋_GB2312" w:cs="楷体"/>
          <w:b/>
          <w:sz w:val="32"/>
          <w:szCs w:val="32"/>
        </w:rPr>
        <w:t>1.预算编制情况</w:t>
      </w:r>
    </w:p>
    <w:p>
      <w:pPr>
        <w:spacing w:line="576" w:lineRule="exact"/>
        <w:ind w:firstLine="640" w:firstLineChars="200"/>
        <w:rPr>
          <w:rFonts w:hint="eastAsia" w:ascii="仿宋_GB2312" w:hAnsi="楷体" w:eastAsia="仿宋_GB2312" w:cs="楷体"/>
        </w:rPr>
      </w:pPr>
      <w:r>
        <w:rPr>
          <w:rFonts w:hint="eastAsia" w:ascii="仿宋_GB2312" w:hAnsi="楷体" w:eastAsia="仿宋_GB2312" w:cs="楷体"/>
          <w:sz w:val="32"/>
          <w:szCs w:val="32"/>
        </w:rPr>
        <w:t>（1）目标制定</w:t>
      </w:r>
    </w:p>
    <w:p>
      <w:pPr>
        <w:spacing w:line="576" w:lineRule="exact"/>
        <w:ind w:firstLine="640" w:firstLineChars="200"/>
        <w:rPr>
          <w:rFonts w:hint="eastAsia" w:ascii="仿宋_GB2312" w:hAnsi="仿宋" w:eastAsia="仿宋_GB2312" w:cs="仿宋_GB2312"/>
          <w:sz w:val="32"/>
          <w:szCs w:val="32"/>
        </w:rPr>
      </w:pPr>
      <w:r>
        <w:rPr>
          <w:rFonts w:hint="eastAsia" w:ascii="仿宋_GB2312" w:eastAsia="仿宋_GB2312"/>
          <w:sz w:val="32"/>
          <w:szCs w:val="32"/>
        </w:rPr>
        <w:t>高阳镇人民政府</w:t>
      </w:r>
      <w:r>
        <w:rPr>
          <w:rFonts w:hint="eastAsia" w:ascii="仿宋_GB2312" w:hAnsi="仿宋_GB2312" w:eastAsia="仿宋_GB2312" w:cs="仿宋_GB2312"/>
          <w:sz w:val="32"/>
          <w:szCs w:val="32"/>
        </w:rPr>
        <w:t>按照2020年部门预算编制要求，积极开展预算编报工作，在规定时间内完成了部门预算编制任务。部门预算编制准确、规范、完整无漏项，基础信息和科目使用准确，项目名称、绩效指标、项目内容等说明符合规定，单位编制、人员情况与供养人员系统数据一致。但部门整体支出绩效目标表申报表填报存在整体绩效目标编制不完整情况。例如：</w:t>
      </w:r>
      <w:r>
        <w:rPr>
          <w:rFonts w:hint="eastAsia" w:ascii="仿宋_GB2312" w:hAnsi="仿宋" w:eastAsia="仿宋_GB2312"/>
          <w:sz w:val="32"/>
          <w:szCs w:val="32"/>
        </w:rPr>
        <w:t>整体绩效目标申报表中时效指标、成本指标等未细化。项目绩效目标申报表中“扫黑除恶经费”数量指标、质量指标不明确，未细化。</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该指标满分10分，</w:t>
      </w:r>
      <w:r>
        <w:rPr>
          <w:rFonts w:hint="eastAsia" w:ascii="仿宋_GB2312" w:eastAsia="仿宋_GB2312"/>
          <w:sz w:val="32"/>
          <w:szCs w:val="32"/>
        </w:rPr>
        <w:t>根据指标评价标准和公式计算，</w:t>
      </w:r>
      <w:r>
        <w:rPr>
          <w:rFonts w:hint="eastAsia" w:ascii="仿宋_GB2312" w:hAnsi="仿宋_GB2312" w:eastAsia="仿宋_GB2312" w:cs="仿宋_GB2312"/>
          <w:sz w:val="32"/>
          <w:szCs w:val="32"/>
        </w:rPr>
        <w:t>得分9分。</w:t>
      </w:r>
    </w:p>
    <w:p>
      <w:pPr>
        <w:pStyle w:val="2"/>
        <w:spacing w:beforeLines="0" w:line="576" w:lineRule="exact"/>
        <w:ind w:firstLine="640" w:firstLineChars="200"/>
        <w:rPr>
          <w:rFonts w:hint="eastAsia" w:hAnsi="楷体" w:cs="楷体"/>
        </w:rPr>
      </w:pPr>
      <w:r>
        <w:rPr>
          <w:rFonts w:hint="eastAsia" w:hAnsi="楷体" w:cs="楷体"/>
          <w:sz w:val="32"/>
          <w:szCs w:val="32"/>
        </w:rPr>
        <w:t>（2）目标完成</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2020年高阳镇人民政府共设置部门项目绩效目标2个，除党员慰问外其余全部完成。数量指标的完成情况详见表3-1：</w:t>
      </w:r>
    </w:p>
    <w:p>
      <w:pPr>
        <w:pStyle w:val="2"/>
        <w:spacing w:before="93"/>
        <w:jc w:val="center"/>
        <w:rPr>
          <w:b/>
          <w:bCs/>
          <w:sz w:val="24"/>
        </w:rPr>
      </w:pPr>
      <w:r>
        <w:rPr>
          <w:b/>
          <w:bCs/>
          <w:sz w:val="24"/>
        </w:rPr>
        <w:t>表</w:t>
      </w:r>
      <w:r>
        <w:rPr>
          <w:rFonts w:hint="eastAsia"/>
          <w:b/>
          <w:bCs/>
          <w:sz w:val="24"/>
        </w:rPr>
        <w:t>3-1 2020年高阳镇人民政府绩效目标完成情况</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4884"/>
        <w:gridCol w:w="1555"/>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77" w:type="dxa"/>
            <w:noWrap w:val="0"/>
            <w:vAlign w:val="center"/>
          </w:tcPr>
          <w:p>
            <w:pPr>
              <w:pStyle w:val="2"/>
              <w:spacing w:before="93"/>
              <w:jc w:val="center"/>
              <w:rPr>
                <w:rFonts w:ascii="宋体" w:hAnsi="宋体" w:eastAsia="宋体"/>
                <w:b/>
                <w:bCs/>
                <w:sz w:val="20"/>
                <w:szCs w:val="20"/>
              </w:rPr>
            </w:pPr>
            <w:r>
              <w:rPr>
                <w:rFonts w:hint="eastAsia" w:ascii="宋体" w:hAnsi="宋体" w:eastAsia="宋体"/>
                <w:b/>
                <w:bCs/>
                <w:sz w:val="20"/>
                <w:szCs w:val="20"/>
              </w:rPr>
              <w:t>项目名称</w:t>
            </w:r>
          </w:p>
        </w:tc>
        <w:tc>
          <w:tcPr>
            <w:tcW w:w="4884" w:type="dxa"/>
            <w:noWrap w:val="0"/>
            <w:vAlign w:val="center"/>
          </w:tcPr>
          <w:p>
            <w:pPr>
              <w:pStyle w:val="2"/>
              <w:spacing w:before="93"/>
              <w:jc w:val="center"/>
              <w:rPr>
                <w:rFonts w:ascii="宋体" w:hAnsi="宋体" w:eastAsia="宋体"/>
                <w:b/>
                <w:bCs/>
                <w:sz w:val="20"/>
                <w:szCs w:val="20"/>
              </w:rPr>
            </w:pPr>
            <w:r>
              <w:rPr>
                <w:rFonts w:hint="eastAsia" w:ascii="宋体" w:hAnsi="宋体" w:eastAsia="宋体"/>
                <w:b/>
                <w:bCs/>
                <w:sz w:val="20"/>
                <w:szCs w:val="20"/>
              </w:rPr>
              <w:t>项目完成指标</w:t>
            </w:r>
          </w:p>
        </w:tc>
        <w:tc>
          <w:tcPr>
            <w:tcW w:w="1555" w:type="dxa"/>
            <w:noWrap w:val="0"/>
            <w:vAlign w:val="center"/>
          </w:tcPr>
          <w:p>
            <w:pPr>
              <w:pStyle w:val="2"/>
              <w:spacing w:before="93"/>
              <w:jc w:val="center"/>
              <w:rPr>
                <w:rFonts w:ascii="宋体" w:hAnsi="宋体" w:eastAsia="宋体"/>
                <w:b/>
                <w:bCs/>
                <w:sz w:val="20"/>
                <w:szCs w:val="20"/>
              </w:rPr>
            </w:pPr>
            <w:r>
              <w:rPr>
                <w:rFonts w:hint="eastAsia" w:ascii="宋体" w:hAnsi="宋体" w:eastAsia="宋体"/>
                <w:b/>
                <w:bCs/>
                <w:sz w:val="20"/>
                <w:szCs w:val="20"/>
              </w:rPr>
              <w:t>实际完成情况</w:t>
            </w:r>
          </w:p>
        </w:tc>
        <w:tc>
          <w:tcPr>
            <w:tcW w:w="744" w:type="dxa"/>
            <w:noWrap w:val="0"/>
            <w:vAlign w:val="center"/>
          </w:tcPr>
          <w:p>
            <w:pPr>
              <w:pStyle w:val="2"/>
              <w:spacing w:before="93"/>
              <w:jc w:val="center"/>
              <w:rPr>
                <w:rFonts w:ascii="宋体" w:hAnsi="宋体" w:eastAsia="宋体"/>
                <w:b/>
                <w:bCs/>
                <w:sz w:val="20"/>
                <w:szCs w:val="20"/>
              </w:rPr>
            </w:pPr>
            <w:r>
              <w:rPr>
                <w:rFonts w:hint="eastAsia" w:ascii="宋体" w:hAnsi="宋体" w:eastAsia="宋体"/>
                <w:b/>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877" w:type="dxa"/>
            <w:vMerge w:val="restart"/>
            <w:noWrap w:val="0"/>
            <w:vAlign w:val="center"/>
          </w:tcPr>
          <w:p>
            <w:pPr>
              <w:pStyle w:val="2"/>
              <w:spacing w:before="93"/>
              <w:jc w:val="center"/>
              <w:rPr>
                <w:rFonts w:hint="eastAsia" w:ascii="宋体" w:hAnsi="宋体" w:eastAsia="宋体"/>
                <w:b/>
                <w:bCs/>
                <w:sz w:val="20"/>
                <w:szCs w:val="20"/>
              </w:rPr>
            </w:pPr>
            <w:r>
              <w:rPr>
                <w:rFonts w:hint="eastAsia" w:ascii="宋体" w:hAnsi="宋体" w:eastAsia="宋体"/>
                <w:b/>
                <w:bCs/>
                <w:sz w:val="20"/>
                <w:szCs w:val="20"/>
              </w:rPr>
              <w:t>党组织活动</w:t>
            </w:r>
          </w:p>
          <w:p>
            <w:pPr>
              <w:pStyle w:val="2"/>
              <w:spacing w:before="93"/>
              <w:jc w:val="center"/>
              <w:rPr>
                <w:rFonts w:ascii="宋体" w:hAnsi="宋体" w:eastAsia="宋体"/>
                <w:sz w:val="20"/>
                <w:szCs w:val="20"/>
              </w:rPr>
            </w:pPr>
            <w:r>
              <w:rPr>
                <w:rFonts w:hint="eastAsia" w:ascii="宋体" w:hAnsi="宋体" w:eastAsia="宋体"/>
                <w:b/>
                <w:bCs/>
                <w:sz w:val="20"/>
                <w:szCs w:val="20"/>
              </w:rPr>
              <w:t>经费</w:t>
            </w:r>
          </w:p>
        </w:tc>
        <w:tc>
          <w:tcPr>
            <w:tcW w:w="4884" w:type="dxa"/>
            <w:noWrap w:val="0"/>
            <w:vAlign w:val="center"/>
          </w:tcPr>
          <w:p>
            <w:pPr>
              <w:pStyle w:val="2"/>
              <w:spacing w:before="93"/>
              <w:jc w:val="center"/>
              <w:rPr>
                <w:rFonts w:ascii="宋体" w:hAnsi="宋体" w:eastAsia="宋体"/>
                <w:sz w:val="20"/>
                <w:szCs w:val="20"/>
              </w:rPr>
            </w:pPr>
            <w:r>
              <w:rPr>
                <w:rFonts w:hint="eastAsia" w:ascii="宋体" w:hAnsi="宋体" w:eastAsia="宋体"/>
                <w:sz w:val="20"/>
                <w:szCs w:val="20"/>
              </w:rPr>
              <w:t>每月开展一次三会一课大比武活动</w:t>
            </w:r>
          </w:p>
        </w:tc>
        <w:tc>
          <w:tcPr>
            <w:tcW w:w="1555" w:type="dxa"/>
            <w:noWrap w:val="0"/>
            <w:vAlign w:val="center"/>
          </w:tcPr>
          <w:p>
            <w:pPr>
              <w:pStyle w:val="2"/>
              <w:spacing w:before="93"/>
              <w:jc w:val="center"/>
              <w:rPr>
                <w:rFonts w:ascii="宋体" w:hAnsi="宋体" w:eastAsia="宋体"/>
                <w:sz w:val="20"/>
                <w:szCs w:val="20"/>
              </w:rPr>
            </w:pPr>
            <w:r>
              <w:rPr>
                <w:rFonts w:hint="eastAsia" w:ascii="宋体" w:hAnsi="宋体" w:eastAsia="宋体"/>
                <w:sz w:val="20"/>
                <w:szCs w:val="20"/>
              </w:rPr>
              <w:t>完成</w:t>
            </w:r>
          </w:p>
        </w:tc>
        <w:tc>
          <w:tcPr>
            <w:tcW w:w="744" w:type="dxa"/>
            <w:noWrap w:val="0"/>
            <w:vAlign w:val="center"/>
          </w:tcPr>
          <w:p>
            <w:pPr>
              <w:pStyle w:val="2"/>
              <w:spacing w:before="93"/>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877" w:type="dxa"/>
            <w:vMerge w:val="continue"/>
            <w:noWrap w:val="0"/>
            <w:vAlign w:val="center"/>
          </w:tcPr>
          <w:p>
            <w:pPr>
              <w:pStyle w:val="2"/>
              <w:spacing w:before="93"/>
              <w:jc w:val="center"/>
              <w:rPr>
                <w:rFonts w:ascii="宋体" w:hAnsi="宋体" w:eastAsia="宋体"/>
                <w:sz w:val="20"/>
                <w:szCs w:val="20"/>
              </w:rPr>
            </w:pPr>
          </w:p>
        </w:tc>
        <w:tc>
          <w:tcPr>
            <w:tcW w:w="4884" w:type="dxa"/>
            <w:noWrap w:val="0"/>
            <w:vAlign w:val="center"/>
          </w:tcPr>
          <w:p>
            <w:pPr>
              <w:pStyle w:val="2"/>
              <w:spacing w:before="93"/>
              <w:jc w:val="center"/>
              <w:rPr>
                <w:rFonts w:ascii="宋体" w:hAnsi="宋体" w:eastAsia="宋体"/>
                <w:sz w:val="20"/>
                <w:szCs w:val="20"/>
              </w:rPr>
            </w:pPr>
            <w:r>
              <w:rPr>
                <w:rFonts w:hint="eastAsia" w:ascii="宋体" w:hAnsi="宋体" w:eastAsia="宋体"/>
                <w:sz w:val="20"/>
                <w:szCs w:val="20"/>
              </w:rPr>
              <w:t>每季度开展一次党员教育培训（含外出开展活动）</w:t>
            </w:r>
          </w:p>
        </w:tc>
        <w:tc>
          <w:tcPr>
            <w:tcW w:w="1555" w:type="dxa"/>
            <w:noWrap w:val="0"/>
            <w:vAlign w:val="center"/>
          </w:tcPr>
          <w:p>
            <w:pPr>
              <w:pStyle w:val="2"/>
              <w:spacing w:before="93"/>
              <w:jc w:val="center"/>
              <w:rPr>
                <w:rFonts w:ascii="宋体" w:hAnsi="宋体" w:eastAsia="宋体"/>
                <w:sz w:val="20"/>
                <w:szCs w:val="20"/>
              </w:rPr>
            </w:pPr>
            <w:r>
              <w:rPr>
                <w:rFonts w:hint="eastAsia" w:ascii="宋体" w:hAnsi="宋体" w:eastAsia="宋体"/>
                <w:sz w:val="20"/>
                <w:szCs w:val="20"/>
              </w:rPr>
              <w:t>完成</w:t>
            </w:r>
          </w:p>
        </w:tc>
        <w:tc>
          <w:tcPr>
            <w:tcW w:w="744" w:type="dxa"/>
            <w:noWrap w:val="0"/>
            <w:vAlign w:val="center"/>
          </w:tcPr>
          <w:p>
            <w:pPr>
              <w:pStyle w:val="2"/>
              <w:spacing w:before="93"/>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877" w:type="dxa"/>
            <w:vMerge w:val="continue"/>
            <w:noWrap w:val="0"/>
            <w:vAlign w:val="center"/>
          </w:tcPr>
          <w:p>
            <w:pPr>
              <w:pStyle w:val="2"/>
              <w:spacing w:before="93"/>
              <w:jc w:val="center"/>
              <w:rPr>
                <w:rFonts w:ascii="宋体" w:hAnsi="宋体" w:eastAsia="宋体"/>
                <w:sz w:val="20"/>
                <w:szCs w:val="20"/>
              </w:rPr>
            </w:pPr>
          </w:p>
        </w:tc>
        <w:tc>
          <w:tcPr>
            <w:tcW w:w="4884" w:type="dxa"/>
            <w:noWrap w:val="0"/>
            <w:vAlign w:val="center"/>
          </w:tcPr>
          <w:p>
            <w:pPr>
              <w:pStyle w:val="2"/>
              <w:spacing w:before="93"/>
              <w:jc w:val="center"/>
              <w:rPr>
                <w:rFonts w:ascii="宋体" w:hAnsi="宋体" w:eastAsia="宋体"/>
                <w:sz w:val="20"/>
                <w:szCs w:val="20"/>
              </w:rPr>
            </w:pPr>
            <w:r>
              <w:rPr>
                <w:rFonts w:hint="eastAsia" w:ascii="宋体" w:hAnsi="宋体" w:eastAsia="宋体"/>
                <w:sz w:val="20"/>
                <w:szCs w:val="20"/>
              </w:rPr>
              <w:t>每月第三周星期五开展主题党员活动（外出开展活动）</w:t>
            </w:r>
          </w:p>
        </w:tc>
        <w:tc>
          <w:tcPr>
            <w:tcW w:w="1555" w:type="dxa"/>
            <w:noWrap w:val="0"/>
            <w:vAlign w:val="center"/>
          </w:tcPr>
          <w:p>
            <w:pPr>
              <w:pStyle w:val="2"/>
              <w:spacing w:before="93"/>
              <w:jc w:val="center"/>
              <w:rPr>
                <w:rFonts w:ascii="宋体" w:hAnsi="宋体" w:eastAsia="宋体"/>
                <w:sz w:val="20"/>
                <w:szCs w:val="20"/>
              </w:rPr>
            </w:pPr>
            <w:r>
              <w:rPr>
                <w:rFonts w:hint="eastAsia" w:ascii="宋体" w:hAnsi="宋体" w:eastAsia="宋体"/>
                <w:sz w:val="20"/>
                <w:szCs w:val="20"/>
              </w:rPr>
              <w:t>完成</w:t>
            </w:r>
          </w:p>
        </w:tc>
        <w:tc>
          <w:tcPr>
            <w:tcW w:w="744" w:type="dxa"/>
            <w:noWrap w:val="0"/>
            <w:vAlign w:val="center"/>
          </w:tcPr>
          <w:p>
            <w:pPr>
              <w:pStyle w:val="2"/>
              <w:spacing w:before="93"/>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877" w:type="dxa"/>
            <w:vMerge w:val="continue"/>
            <w:noWrap w:val="0"/>
            <w:vAlign w:val="center"/>
          </w:tcPr>
          <w:p>
            <w:pPr>
              <w:pStyle w:val="2"/>
              <w:spacing w:before="93"/>
              <w:jc w:val="center"/>
              <w:rPr>
                <w:rFonts w:ascii="宋体" w:hAnsi="宋体" w:eastAsia="宋体"/>
                <w:sz w:val="20"/>
                <w:szCs w:val="20"/>
              </w:rPr>
            </w:pPr>
          </w:p>
        </w:tc>
        <w:tc>
          <w:tcPr>
            <w:tcW w:w="4884" w:type="dxa"/>
            <w:noWrap w:val="0"/>
            <w:vAlign w:val="center"/>
          </w:tcPr>
          <w:p>
            <w:pPr>
              <w:pStyle w:val="2"/>
              <w:spacing w:before="93"/>
              <w:jc w:val="center"/>
              <w:rPr>
                <w:rFonts w:hint="eastAsia" w:ascii="宋体" w:hAnsi="宋体" w:eastAsia="宋体"/>
                <w:sz w:val="20"/>
                <w:szCs w:val="20"/>
              </w:rPr>
            </w:pPr>
            <w:r>
              <w:rPr>
                <w:rFonts w:hint="eastAsia" w:ascii="宋体" w:hAnsi="宋体" w:eastAsia="宋体"/>
                <w:sz w:val="20"/>
                <w:szCs w:val="20"/>
              </w:rPr>
              <w:t>订阅购买党建资料10份（含党报党刊）</w:t>
            </w:r>
          </w:p>
        </w:tc>
        <w:tc>
          <w:tcPr>
            <w:tcW w:w="1555" w:type="dxa"/>
            <w:noWrap w:val="0"/>
            <w:vAlign w:val="center"/>
          </w:tcPr>
          <w:p>
            <w:pPr>
              <w:pStyle w:val="2"/>
              <w:spacing w:before="93"/>
              <w:jc w:val="center"/>
              <w:rPr>
                <w:rFonts w:hint="eastAsia" w:ascii="宋体" w:hAnsi="宋体" w:eastAsia="宋体"/>
                <w:sz w:val="20"/>
                <w:szCs w:val="20"/>
              </w:rPr>
            </w:pPr>
            <w:r>
              <w:rPr>
                <w:rFonts w:hint="eastAsia" w:ascii="宋体" w:hAnsi="宋体" w:eastAsia="宋体"/>
                <w:sz w:val="20"/>
                <w:szCs w:val="20"/>
              </w:rPr>
              <w:t>完成</w:t>
            </w:r>
          </w:p>
        </w:tc>
        <w:tc>
          <w:tcPr>
            <w:tcW w:w="744" w:type="dxa"/>
            <w:noWrap w:val="0"/>
            <w:vAlign w:val="center"/>
          </w:tcPr>
          <w:p>
            <w:pPr>
              <w:pStyle w:val="2"/>
              <w:spacing w:before="93"/>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877" w:type="dxa"/>
            <w:vMerge w:val="continue"/>
            <w:noWrap w:val="0"/>
            <w:vAlign w:val="center"/>
          </w:tcPr>
          <w:p>
            <w:pPr>
              <w:pStyle w:val="2"/>
              <w:spacing w:before="93"/>
              <w:jc w:val="center"/>
              <w:rPr>
                <w:rFonts w:ascii="宋体" w:hAnsi="宋体" w:eastAsia="宋体"/>
                <w:sz w:val="20"/>
                <w:szCs w:val="20"/>
              </w:rPr>
            </w:pPr>
          </w:p>
        </w:tc>
        <w:tc>
          <w:tcPr>
            <w:tcW w:w="4884" w:type="dxa"/>
            <w:noWrap w:val="0"/>
            <w:vAlign w:val="center"/>
          </w:tcPr>
          <w:p>
            <w:pPr>
              <w:pStyle w:val="2"/>
              <w:spacing w:before="93"/>
              <w:jc w:val="center"/>
              <w:rPr>
                <w:rFonts w:hint="eastAsia" w:ascii="宋体" w:hAnsi="宋体" w:eastAsia="宋体"/>
                <w:sz w:val="20"/>
                <w:szCs w:val="20"/>
              </w:rPr>
            </w:pPr>
            <w:r>
              <w:rPr>
                <w:rFonts w:hint="eastAsia" w:ascii="宋体" w:hAnsi="宋体" w:eastAsia="宋体"/>
                <w:sz w:val="20"/>
                <w:szCs w:val="20"/>
              </w:rPr>
              <w:t>党员慰问6人</w:t>
            </w:r>
          </w:p>
        </w:tc>
        <w:tc>
          <w:tcPr>
            <w:tcW w:w="1555" w:type="dxa"/>
            <w:noWrap w:val="0"/>
            <w:vAlign w:val="center"/>
          </w:tcPr>
          <w:p>
            <w:pPr>
              <w:pStyle w:val="2"/>
              <w:spacing w:before="93"/>
              <w:jc w:val="center"/>
              <w:rPr>
                <w:rFonts w:hint="eastAsia" w:ascii="宋体" w:hAnsi="宋体" w:eastAsia="宋体"/>
                <w:sz w:val="20"/>
                <w:szCs w:val="20"/>
              </w:rPr>
            </w:pPr>
            <w:r>
              <w:rPr>
                <w:rFonts w:hint="eastAsia" w:ascii="宋体" w:hAnsi="宋体" w:eastAsia="宋体"/>
                <w:sz w:val="20"/>
                <w:szCs w:val="20"/>
              </w:rPr>
              <w:t>未完成</w:t>
            </w:r>
          </w:p>
        </w:tc>
        <w:tc>
          <w:tcPr>
            <w:tcW w:w="744" w:type="dxa"/>
            <w:noWrap w:val="0"/>
            <w:vAlign w:val="center"/>
          </w:tcPr>
          <w:p>
            <w:pPr>
              <w:pStyle w:val="2"/>
              <w:spacing w:before="93"/>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877" w:type="dxa"/>
            <w:noWrap w:val="0"/>
            <w:vAlign w:val="center"/>
          </w:tcPr>
          <w:p>
            <w:pPr>
              <w:pStyle w:val="2"/>
              <w:spacing w:before="93"/>
              <w:jc w:val="center"/>
              <w:rPr>
                <w:rFonts w:ascii="宋体" w:hAnsi="宋体" w:eastAsia="宋体"/>
                <w:sz w:val="20"/>
                <w:szCs w:val="20"/>
              </w:rPr>
            </w:pPr>
            <w:r>
              <w:rPr>
                <w:rFonts w:hint="eastAsia" w:ascii="宋体" w:hAnsi="宋体" w:eastAsia="宋体"/>
                <w:b/>
                <w:bCs/>
                <w:sz w:val="20"/>
                <w:szCs w:val="20"/>
              </w:rPr>
              <w:t>扫黑除恶工作经费</w:t>
            </w:r>
          </w:p>
        </w:tc>
        <w:tc>
          <w:tcPr>
            <w:tcW w:w="4884" w:type="dxa"/>
            <w:noWrap w:val="0"/>
            <w:vAlign w:val="center"/>
          </w:tcPr>
          <w:p>
            <w:pPr>
              <w:pStyle w:val="2"/>
              <w:spacing w:before="93"/>
              <w:jc w:val="center"/>
              <w:rPr>
                <w:rFonts w:ascii="宋体" w:hAnsi="宋体" w:eastAsia="宋体"/>
                <w:sz w:val="20"/>
                <w:szCs w:val="20"/>
              </w:rPr>
            </w:pPr>
            <w:r>
              <w:rPr>
                <w:rFonts w:hint="eastAsia" w:ascii="宋体" w:hAnsi="宋体" w:eastAsia="宋体"/>
                <w:sz w:val="20"/>
                <w:szCs w:val="20"/>
              </w:rPr>
              <w:t>全面开展扫黑除恶工作</w:t>
            </w:r>
          </w:p>
        </w:tc>
        <w:tc>
          <w:tcPr>
            <w:tcW w:w="1555" w:type="dxa"/>
            <w:noWrap w:val="0"/>
            <w:vAlign w:val="center"/>
          </w:tcPr>
          <w:p>
            <w:pPr>
              <w:pStyle w:val="2"/>
              <w:spacing w:before="93"/>
              <w:jc w:val="center"/>
              <w:rPr>
                <w:rFonts w:ascii="宋体" w:hAnsi="宋体" w:eastAsia="宋体"/>
                <w:sz w:val="20"/>
                <w:szCs w:val="20"/>
              </w:rPr>
            </w:pPr>
            <w:r>
              <w:rPr>
                <w:rFonts w:hint="eastAsia" w:ascii="宋体" w:hAnsi="宋体" w:eastAsia="宋体"/>
                <w:sz w:val="20"/>
                <w:szCs w:val="20"/>
              </w:rPr>
              <w:t>完成</w:t>
            </w:r>
          </w:p>
        </w:tc>
        <w:tc>
          <w:tcPr>
            <w:tcW w:w="744" w:type="dxa"/>
            <w:noWrap w:val="0"/>
            <w:vAlign w:val="center"/>
          </w:tcPr>
          <w:p>
            <w:pPr>
              <w:pStyle w:val="2"/>
              <w:spacing w:before="93"/>
              <w:jc w:val="center"/>
              <w:rPr>
                <w:rFonts w:ascii="宋体" w:hAnsi="宋体" w:eastAsia="宋体"/>
                <w:sz w:val="20"/>
                <w:szCs w:val="20"/>
              </w:rPr>
            </w:pPr>
          </w:p>
        </w:tc>
      </w:tr>
    </w:tbl>
    <w:p>
      <w:pPr>
        <w:ind w:firstLine="640" w:firstLineChars="200"/>
        <w:rPr>
          <w:rFonts w:hint="eastAsia" w:ascii="仿宋_GB2312" w:eastAsia="仿宋_GB2312"/>
          <w:sz w:val="32"/>
          <w:szCs w:val="32"/>
        </w:rPr>
      </w:pP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该指标分值标准10分，根据指标评价标准和公式计算，综合参考2020年综合目标绩效考评结果，得分9分。</w:t>
      </w:r>
    </w:p>
    <w:p>
      <w:pPr>
        <w:pStyle w:val="2"/>
        <w:spacing w:beforeLines="0" w:line="576" w:lineRule="exact"/>
        <w:ind w:firstLine="640" w:firstLineChars="200"/>
        <w:rPr>
          <w:rFonts w:hint="eastAsia" w:hAnsi="楷体" w:cs="楷体"/>
        </w:rPr>
      </w:pPr>
      <w:r>
        <w:rPr>
          <w:rFonts w:hint="eastAsia" w:hAnsi="楷体" w:cs="楷体"/>
          <w:sz w:val="32"/>
          <w:szCs w:val="32"/>
        </w:rPr>
        <w:t>（3）编制准确</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高阳镇人民政府部门年初预算数为736.67万元，预算调整数为907.3万元，依据指标体系计分标准：指标得分=1-年初预算数（一上）/（财政下达数（一下）+预算调整数）基本支出资金，预决算偏差程度为13.38%。</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该指标分值标准10分，根据指标评价标准和公式计算，预决算偏差程度超过10-20%之间的，得5分。</w:t>
      </w:r>
    </w:p>
    <w:p>
      <w:pPr>
        <w:tabs>
          <w:tab w:val="left" w:pos="268"/>
        </w:tabs>
        <w:spacing w:line="576" w:lineRule="exact"/>
        <w:ind w:firstLine="643" w:firstLineChars="200"/>
        <w:rPr>
          <w:rFonts w:hint="eastAsia" w:ascii="仿宋_GB2312" w:hAnsi="楷体" w:eastAsia="仿宋_GB2312" w:cs="楷体"/>
          <w:b/>
          <w:sz w:val="32"/>
          <w:szCs w:val="32"/>
        </w:rPr>
      </w:pPr>
      <w:r>
        <w:rPr>
          <w:rFonts w:hint="eastAsia" w:ascii="仿宋_GB2312" w:hAnsi="楷体" w:eastAsia="仿宋_GB2312" w:cs="楷体"/>
          <w:b/>
          <w:sz w:val="32"/>
          <w:szCs w:val="32"/>
        </w:rPr>
        <w:t>2.预算执行情况</w:t>
      </w:r>
    </w:p>
    <w:p>
      <w:pPr>
        <w:tabs>
          <w:tab w:val="left" w:pos="268"/>
        </w:tabs>
        <w:spacing w:line="576" w:lineRule="exact"/>
        <w:ind w:firstLine="640" w:firstLineChars="200"/>
        <w:rPr>
          <w:rFonts w:hint="eastAsia" w:ascii="仿宋_GB2312" w:eastAsia="仿宋_GB2312"/>
          <w:sz w:val="32"/>
          <w:szCs w:val="32"/>
        </w:rPr>
      </w:pPr>
      <w:r>
        <w:rPr>
          <w:rFonts w:hint="eastAsia" w:ascii="仿宋_GB2312" w:hAnsi="楷体" w:eastAsia="仿宋_GB2312" w:cs="楷体"/>
          <w:sz w:val="32"/>
          <w:szCs w:val="32"/>
        </w:rPr>
        <w:t>（1）支出控制</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2020年，高阳镇人民政府部门公用经费及非定额公用支出预算金额为166.09万元，其中：日常公用经费预算数166.09万元，项目支出中办公费、印刷费、水费、电费、物业管理费预算数分别为0万元、0万元、0万元、0万元、0万元。决算金额为155.95万元，其中：日常公用经费决算数135.57万元，项目支出中办公费、印刷费、水费、电费、物业管理费预算数分别为18.88万元、0万元、0万元、1.5万元、0万元。部门公用经费及非定额公用支出决算数与预算数的偏差程度为6.1%。</w:t>
      </w:r>
    </w:p>
    <w:p>
      <w:pPr>
        <w:pStyle w:val="19"/>
        <w:rPr>
          <w:rFonts w:hint="eastAsia"/>
        </w:rPr>
      </w:pPr>
      <w:r>
        <w:rPr>
          <w:rFonts w:hint="eastAsia"/>
        </w:rPr>
        <w:t>表4-12020</w:t>
      </w:r>
      <w:r>
        <w:t>年</w:t>
      </w:r>
      <w:r>
        <w:rPr>
          <w:rFonts w:hint="eastAsia"/>
        </w:rPr>
        <w:t>高阳镇人民政府部门公用经费及非定额公用支出预决算情况表</w:t>
      </w:r>
    </w:p>
    <w:p>
      <w:pPr>
        <w:pStyle w:val="19"/>
        <w:ind w:right="480"/>
        <w:jc w:val="both"/>
      </w:pPr>
      <w:r>
        <w:rPr>
          <w:rFonts w:hint="eastAsia"/>
        </w:rPr>
        <w:t xml:space="preserve">                                                        单位</w:t>
      </w:r>
      <w:r>
        <w:t>：万元</w:t>
      </w:r>
    </w:p>
    <w:tbl>
      <w:tblPr>
        <w:tblStyle w:val="12"/>
        <w:tblpPr w:leftFromText="180" w:rightFromText="180" w:vertAnchor="text" w:horzAnchor="margin" w:tblpY="244"/>
        <w:tblOverlap w:val="never"/>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243"/>
        <w:gridCol w:w="1121"/>
        <w:gridCol w:w="1121"/>
        <w:gridCol w:w="739"/>
        <w:gridCol w:w="993"/>
        <w:gridCol w:w="1559"/>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trPr>
        <w:tc>
          <w:tcPr>
            <w:tcW w:w="987" w:type="dxa"/>
            <w:vMerge w:val="restart"/>
            <w:noWrap w:val="0"/>
            <w:vAlign w:val="center"/>
          </w:tcPr>
          <w:p>
            <w:pPr>
              <w:pStyle w:val="20"/>
              <w:rPr>
                <w:rFonts w:ascii="宋体" w:hAnsi="宋体" w:eastAsia="宋体"/>
                <w:color w:val="auto"/>
              </w:rPr>
            </w:pPr>
          </w:p>
        </w:tc>
        <w:tc>
          <w:tcPr>
            <w:tcW w:w="1243" w:type="dxa"/>
            <w:vMerge w:val="restart"/>
            <w:noWrap w:val="0"/>
            <w:vAlign w:val="center"/>
          </w:tcPr>
          <w:p>
            <w:pPr>
              <w:pStyle w:val="20"/>
              <w:rPr>
                <w:rFonts w:ascii="宋体" w:hAnsi="宋体" w:eastAsia="宋体"/>
                <w:b/>
                <w:color w:val="auto"/>
                <w:lang w:val="en-US"/>
              </w:rPr>
            </w:pPr>
            <w:r>
              <w:rPr>
                <w:rFonts w:hint="eastAsia" w:ascii="宋体" w:hAnsi="宋体" w:eastAsia="宋体"/>
                <w:b/>
                <w:color w:val="auto"/>
                <w:lang w:val="en-US"/>
              </w:rPr>
              <w:t>日常公用经费</w:t>
            </w:r>
          </w:p>
        </w:tc>
        <w:tc>
          <w:tcPr>
            <w:tcW w:w="5533" w:type="dxa"/>
            <w:gridSpan w:val="5"/>
            <w:noWrap w:val="0"/>
            <w:vAlign w:val="center"/>
          </w:tcPr>
          <w:p>
            <w:pPr>
              <w:pStyle w:val="20"/>
              <w:rPr>
                <w:rFonts w:ascii="宋体" w:hAnsi="宋体" w:eastAsia="宋体"/>
                <w:b/>
                <w:color w:val="auto"/>
                <w:lang w:val="en-US"/>
              </w:rPr>
            </w:pPr>
            <w:r>
              <w:rPr>
                <w:rFonts w:hint="eastAsia" w:ascii="宋体" w:hAnsi="宋体" w:eastAsia="宋体"/>
                <w:b/>
                <w:color w:val="auto"/>
                <w:lang w:val="en-US"/>
              </w:rPr>
              <w:t>非定额公用支出</w:t>
            </w:r>
          </w:p>
        </w:tc>
        <w:tc>
          <w:tcPr>
            <w:tcW w:w="1255" w:type="dxa"/>
            <w:vMerge w:val="restart"/>
            <w:noWrap w:val="0"/>
            <w:vAlign w:val="center"/>
          </w:tcPr>
          <w:p>
            <w:pPr>
              <w:pStyle w:val="20"/>
              <w:rPr>
                <w:rFonts w:ascii="宋体" w:hAnsi="宋体" w:eastAsia="宋体"/>
                <w:b/>
                <w:color w:val="auto"/>
                <w:lang w:val="en-US"/>
              </w:rPr>
            </w:pPr>
            <w:r>
              <w:rPr>
                <w:rFonts w:hint="eastAsia" w:ascii="宋体" w:hAnsi="宋体" w:eastAsia="宋体"/>
                <w:b/>
                <w:color w:val="auto"/>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87" w:type="dxa"/>
            <w:vMerge w:val="continue"/>
            <w:noWrap w:val="0"/>
            <w:vAlign w:val="center"/>
          </w:tcPr>
          <w:p>
            <w:pPr>
              <w:pStyle w:val="20"/>
              <w:rPr>
                <w:rFonts w:ascii="宋体" w:hAnsi="宋体" w:eastAsia="宋体"/>
                <w:color w:val="auto"/>
              </w:rPr>
            </w:pPr>
          </w:p>
        </w:tc>
        <w:tc>
          <w:tcPr>
            <w:tcW w:w="1243" w:type="dxa"/>
            <w:vMerge w:val="continue"/>
            <w:noWrap w:val="0"/>
            <w:vAlign w:val="center"/>
          </w:tcPr>
          <w:p>
            <w:pPr>
              <w:pStyle w:val="20"/>
              <w:rPr>
                <w:rFonts w:ascii="宋体" w:hAnsi="宋体" w:eastAsia="宋体"/>
                <w:color w:val="auto"/>
                <w:lang w:val="en-US"/>
              </w:rPr>
            </w:pPr>
          </w:p>
        </w:tc>
        <w:tc>
          <w:tcPr>
            <w:tcW w:w="1121" w:type="dxa"/>
            <w:noWrap w:val="0"/>
            <w:vAlign w:val="center"/>
          </w:tcPr>
          <w:p>
            <w:pPr>
              <w:pStyle w:val="20"/>
              <w:rPr>
                <w:rFonts w:ascii="宋体" w:hAnsi="宋体" w:eastAsia="宋体"/>
                <w:b/>
                <w:color w:val="auto"/>
                <w:lang w:val="en-US"/>
              </w:rPr>
            </w:pPr>
            <w:r>
              <w:rPr>
                <w:rFonts w:hint="eastAsia" w:ascii="宋体" w:hAnsi="宋体" w:eastAsia="宋体"/>
                <w:b/>
                <w:color w:val="auto"/>
                <w:lang w:val="en-US"/>
              </w:rPr>
              <w:t>办公费</w:t>
            </w:r>
          </w:p>
        </w:tc>
        <w:tc>
          <w:tcPr>
            <w:tcW w:w="1121" w:type="dxa"/>
            <w:noWrap w:val="0"/>
            <w:vAlign w:val="center"/>
          </w:tcPr>
          <w:p>
            <w:pPr>
              <w:pStyle w:val="20"/>
              <w:rPr>
                <w:rFonts w:ascii="宋体" w:hAnsi="宋体" w:eastAsia="宋体"/>
                <w:b/>
                <w:color w:val="auto"/>
                <w:lang w:val="en-US"/>
              </w:rPr>
            </w:pPr>
            <w:r>
              <w:rPr>
                <w:rFonts w:hint="eastAsia" w:ascii="宋体" w:hAnsi="宋体" w:eastAsia="宋体"/>
                <w:b/>
                <w:color w:val="auto"/>
                <w:lang w:val="en-US"/>
              </w:rPr>
              <w:t>印刷费</w:t>
            </w:r>
          </w:p>
        </w:tc>
        <w:tc>
          <w:tcPr>
            <w:tcW w:w="739" w:type="dxa"/>
            <w:noWrap w:val="0"/>
            <w:vAlign w:val="center"/>
          </w:tcPr>
          <w:p>
            <w:pPr>
              <w:pStyle w:val="20"/>
              <w:rPr>
                <w:rFonts w:ascii="宋体" w:hAnsi="宋体" w:eastAsia="宋体"/>
                <w:b/>
                <w:color w:val="auto"/>
                <w:lang w:val="en-US"/>
              </w:rPr>
            </w:pPr>
            <w:r>
              <w:rPr>
                <w:rFonts w:hint="eastAsia" w:ascii="宋体" w:hAnsi="宋体" w:eastAsia="宋体"/>
                <w:b/>
                <w:color w:val="auto"/>
                <w:lang w:val="en-US"/>
              </w:rPr>
              <w:t>水费</w:t>
            </w:r>
          </w:p>
        </w:tc>
        <w:tc>
          <w:tcPr>
            <w:tcW w:w="993" w:type="dxa"/>
            <w:noWrap w:val="0"/>
            <w:vAlign w:val="center"/>
          </w:tcPr>
          <w:p>
            <w:pPr>
              <w:pStyle w:val="20"/>
              <w:rPr>
                <w:rFonts w:ascii="宋体" w:hAnsi="宋体" w:eastAsia="宋体"/>
                <w:b/>
                <w:color w:val="auto"/>
                <w:lang w:val="en-US"/>
              </w:rPr>
            </w:pPr>
            <w:r>
              <w:rPr>
                <w:rFonts w:hint="eastAsia" w:ascii="宋体" w:hAnsi="宋体" w:eastAsia="宋体"/>
                <w:b/>
                <w:color w:val="auto"/>
                <w:lang w:val="en-US"/>
              </w:rPr>
              <w:t>电费</w:t>
            </w:r>
          </w:p>
        </w:tc>
        <w:tc>
          <w:tcPr>
            <w:tcW w:w="1559" w:type="dxa"/>
            <w:noWrap w:val="0"/>
            <w:vAlign w:val="center"/>
          </w:tcPr>
          <w:p>
            <w:pPr>
              <w:pStyle w:val="20"/>
              <w:rPr>
                <w:rFonts w:ascii="宋体" w:hAnsi="宋体" w:eastAsia="宋体"/>
                <w:b/>
                <w:color w:val="auto"/>
                <w:lang w:val="en-US"/>
              </w:rPr>
            </w:pPr>
            <w:r>
              <w:rPr>
                <w:rFonts w:hint="eastAsia" w:ascii="宋体" w:hAnsi="宋体" w:eastAsia="宋体"/>
                <w:b/>
                <w:color w:val="auto"/>
                <w:lang w:val="en-US"/>
              </w:rPr>
              <w:t>物业管理费</w:t>
            </w:r>
          </w:p>
        </w:tc>
        <w:tc>
          <w:tcPr>
            <w:tcW w:w="1255" w:type="dxa"/>
            <w:vMerge w:val="continue"/>
            <w:noWrap w:val="0"/>
            <w:vAlign w:val="center"/>
          </w:tcPr>
          <w:p>
            <w:pPr>
              <w:pStyle w:val="20"/>
              <w:rPr>
                <w:rFonts w:ascii="宋体" w:hAnsi="宋体" w:eastAsia="宋体"/>
                <w:b/>
                <w:color w:va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87" w:type="dxa"/>
            <w:noWrap w:val="0"/>
            <w:vAlign w:val="center"/>
          </w:tcPr>
          <w:p>
            <w:pPr>
              <w:pStyle w:val="20"/>
              <w:rPr>
                <w:rFonts w:ascii="宋体" w:hAnsi="宋体" w:eastAsia="宋体"/>
                <w:color w:val="auto"/>
                <w:lang w:val="en-US"/>
              </w:rPr>
            </w:pPr>
            <w:r>
              <w:rPr>
                <w:rFonts w:hint="eastAsia" w:ascii="宋体" w:hAnsi="宋体" w:eastAsia="宋体"/>
                <w:b/>
                <w:bCs w:val="0"/>
                <w:color w:val="auto"/>
                <w:lang w:val="en-US"/>
              </w:rPr>
              <w:t>预算数</w:t>
            </w:r>
          </w:p>
        </w:tc>
        <w:tc>
          <w:tcPr>
            <w:tcW w:w="1243" w:type="dxa"/>
            <w:noWrap w:val="0"/>
            <w:vAlign w:val="center"/>
          </w:tcPr>
          <w:p>
            <w:pPr>
              <w:pStyle w:val="20"/>
              <w:rPr>
                <w:rFonts w:ascii="宋体" w:hAnsi="宋体" w:eastAsia="宋体"/>
                <w:color w:val="auto"/>
                <w:lang w:val="en-US"/>
              </w:rPr>
            </w:pPr>
            <w:r>
              <w:rPr>
                <w:rFonts w:hint="eastAsia" w:ascii="宋体" w:hAnsi="宋体" w:eastAsia="宋体"/>
                <w:color w:val="auto"/>
                <w:lang w:val="en-US"/>
              </w:rPr>
              <w:t>166.09</w:t>
            </w:r>
          </w:p>
        </w:tc>
        <w:tc>
          <w:tcPr>
            <w:tcW w:w="1121" w:type="dxa"/>
            <w:noWrap w:val="0"/>
            <w:vAlign w:val="center"/>
          </w:tcPr>
          <w:p>
            <w:pPr>
              <w:pStyle w:val="20"/>
              <w:rPr>
                <w:rFonts w:ascii="宋体" w:hAnsi="宋体" w:eastAsia="宋体"/>
                <w:color w:val="auto"/>
                <w:lang w:val="en-US"/>
              </w:rPr>
            </w:pPr>
            <w:r>
              <w:rPr>
                <w:rFonts w:hint="eastAsia" w:ascii="宋体" w:hAnsi="宋体" w:eastAsia="宋体"/>
                <w:color w:val="auto"/>
                <w:lang w:val="en-US"/>
              </w:rPr>
              <w:t>0</w:t>
            </w:r>
          </w:p>
        </w:tc>
        <w:tc>
          <w:tcPr>
            <w:tcW w:w="1121" w:type="dxa"/>
            <w:noWrap w:val="0"/>
            <w:vAlign w:val="center"/>
          </w:tcPr>
          <w:p>
            <w:pPr>
              <w:pStyle w:val="20"/>
              <w:rPr>
                <w:rFonts w:ascii="宋体" w:hAnsi="宋体" w:eastAsia="宋体"/>
                <w:color w:val="auto"/>
                <w:lang w:val="en-US"/>
              </w:rPr>
            </w:pPr>
            <w:r>
              <w:rPr>
                <w:rFonts w:hint="eastAsia" w:ascii="宋体" w:hAnsi="宋体" w:eastAsia="宋体"/>
                <w:color w:val="auto"/>
                <w:lang w:val="en-US"/>
              </w:rPr>
              <w:t>0</w:t>
            </w:r>
          </w:p>
        </w:tc>
        <w:tc>
          <w:tcPr>
            <w:tcW w:w="739" w:type="dxa"/>
            <w:noWrap w:val="0"/>
            <w:vAlign w:val="center"/>
          </w:tcPr>
          <w:p>
            <w:pPr>
              <w:pStyle w:val="20"/>
              <w:rPr>
                <w:rFonts w:ascii="宋体" w:hAnsi="宋体" w:eastAsia="宋体"/>
                <w:color w:val="auto"/>
                <w:lang w:val="en-US"/>
              </w:rPr>
            </w:pPr>
            <w:r>
              <w:rPr>
                <w:rFonts w:hint="eastAsia" w:ascii="宋体" w:hAnsi="宋体" w:eastAsia="宋体"/>
                <w:color w:val="auto"/>
                <w:lang w:val="en-US"/>
              </w:rPr>
              <w:t>0</w:t>
            </w:r>
          </w:p>
        </w:tc>
        <w:tc>
          <w:tcPr>
            <w:tcW w:w="993" w:type="dxa"/>
            <w:noWrap w:val="0"/>
            <w:vAlign w:val="center"/>
          </w:tcPr>
          <w:p>
            <w:pPr>
              <w:pStyle w:val="20"/>
              <w:rPr>
                <w:rFonts w:ascii="宋体" w:hAnsi="宋体" w:eastAsia="宋体"/>
                <w:color w:val="auto"/>
                <w:lang w:val="en-US"/>
              </w:rPr>
            </w:pPr>
            <w:r>
              <w:rPr>
                <w:rFonts w:hint="eastAsia" w:ascii="宋体" w:hAnsi="宋体" w:eastAsia="宋体"/>
                <w:color w:val="auto"/>
                <w:lang w:val="en-US"/>
              </w:rPr>
              <w:t>0</w:t>
            </w:r>
          </w:p>
        </w:tc>
        <w:tc>
          <w:tcPr>
            <w:tcW w:w="1559" w:type="dxa"/>
            <w:noWrap w:val="0"/>
            <w:vAlign w:val="center"/>
          </w:tcPr>
          <w:p>
            <w:pPr>
              <w:pStyle w:val="20"/>
              <w:rPr>
                <w:rFonts w:ascii="宋体" w:hAnsi="宋体" w:eastAsia="宋体"/>
                <w:color w:val="auto"/>
                <w:lang w:val="en-US"/>
              </w:rPr>
            </w:pPr>
            <w:r>
              <w:rPr>
                <w:rFonts w:hint="eastAsia" w:ascii="宋体" w:hAnsi="宋体" w:eastAsia="宋体"/>
                <w:color w:val="auto"/>
                <w:lang w:val="en-US"/>
              </w:rPr>
              <w:t>0</w:t>
            </w:r>
          </w:p>
        </w:tc>
        <w:tc>
          <w:tcPr>
            <w:tcW w:w="1255" w:type="dxa"/>
            <w:noWrap w:val="0"/>
            <w:vAlign w:val="center"/>
          </w:tcPr>
          <w:p>
            <w:pPr>
              <w:pStyle w:val="20"/>
              <w:rPr>
                <w:rFonts w:ascii="宋体" w:hAnsi="宋体" w:eastAsia="宋体"/>
                <w:color w:val="auto"/>
                <w:lang w:val="en-US"/>
              </w:rPr>
            </w:pPr>
            <w:r>
              <w:rPr>
                <w:rFonts w:hint="eastAsia" w:ascii="宋体" w:hAnsi="宋体" w:eastAsia="宋体"/>
                <w:color w:val="auto"/>
                <w:lang w:val="en-US"/>
              </w:rPr>
              <w:t>166.09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87" w:type="dxa"/>
            <w:noWrap w:val="0"/>
            <w:vAlign w:val="center"/>
          </w:tcPr>
          <w:p>
            <w:pPr>
              <w:pStyle w:val="20"/>
              <w:rPr>
                <w:rFonts w:ascii="宋体" w:hAnsi="宋体" w:eastAsia="宋体"/>
                <w:b/>
                <w:color w:val="auto"/>
                <w:lang w:val="en-US"/>
              </w:rPr>
            </w:pPr>
            <w:r>
              <w:rPr>
                <w:rFonts w:hint="eastAsia" w:ascii="宋体" w:hAnsi="宋体" w:eastAsia="宋体"/>
                <w:b/>
                <w:color w:val="auto"/>
                <w:lang w:val="en-US"/>
              </w:rPr>
              <w:t>决算数</w:t>
            </w:r>
          </w:p>
        </w:tc>
        <w:tc>
          <w:tcPr>
            <w:tcW w:w="1243" w:type="dxa"/>
            <w:noWrap w:val="0"/>
            <w:vAlign w:val="center"/>
          </w:tcPr>
          <w:p>
            <w:pPr>
              <w:pStyle w:val="20"/>
              <w:rPr>
                <w:rFonts w:ascii="宋体" w:hAnsi="宋体" w:eastAsia="宋体"/>
                <w:b/>
                <w:color w:val="auto"/>
                <w:lang w:val="en-US"/>
              </w:rPr>
            </w:pPr>
            <w:r>
              <w:rPr>
                <w:rFonts w:hint="eastAsia" w:ascii="宋体" w:hAnsi="宋体" w:eastAsia="宋体"/>
                <w:b/>
                <w:color w:val="auto"/>
                <w:lang w:val="en-US"/>
              </w:rPr>
              <w:t>135.57</w:t>
            </w:r>
          </w:p>
        </w:tc>
        <w:tc>
          <w:tcPr>
            <w:tcW w:w="1121" w:type="dxa"/>
            <w:noWrap w:val="0"/>
            <w:vAlign w:val="center"/>
          </w:tcPr>
          <w:p>
            <w:pPr>
              <w:pStyle w:val="20"/>
              <w:rPr>
                <w:rFonts w:ascii="宋体" w:hAnsi="宋体" w:eastAsia="宋体"/>
                <w:bCs w:val="0"/>
                <w:color w:val="auto"/>
                <w:lang w:val="en-US"/>
              </w:rPr>
            </w:pPr>
            <w:r>
              <w:rPr>
                <w:rFonts w:hint="eastAsia" w:ascii="宋体" w:hAnsi="宋体" w:eastAsia="宋体"/>
                <w:bCs w:val="0"/>
                <w:color w:val="auto"/>
                <w:lang w:val="en-US"/>
              </w:rPr>
              <w:t>18.88</w:t>
            </w:r>
          </w:p>
        </w:tc>
        <w:tc>
          <w:tcPr>
            <w:tcW w:w="1121" w:type="dxa"/>
            <w:noWrap w:val="0"/>
            <w:vAlign w:val="center"/>
          </w:tcPr>
          <w:p>
            <w:pPr>
              <w:pStyle w:val="20"/>
              <w:rPr>
                <w:rFonts w:ascii="宋体" w:hAnsi="宋体" w:eastAsia="宋体"/>
                <w:bCs w:val="0"/>
                <w:color w:val="auto"/>
                <w:lang w:val="en-US"/>
              </w:rPr>
            </w:pPr>
            <w:r>
              <w:rPr>
                <w:rFonts w:hint="eastAsia" w:ascii="宋体" w:hAnsi="宋体" w:eastAsia="宋体"/>
                <w:bCs w:val="0"/>
                <w:color w:val="auto"/>
                <w:lang w:val="en-US"/>
              </w:rPr>
              <w:t>0</w:t>
            </w:r>
          </w:p>
        </w:tc>
        <w:tc>
          <w:tcPr>
            <w:tcW w:w="739" w:type="dxa"/>
            <w:noWrap w:val="0"/>
            <w:vAlign w:val="center"/>
          </w:tcPr>
          <w:p>
            <w:pPr>
              <w:pStyle w:val="20"/>
              <w:rPr>
                <w:rFonts w:ascii="宋体" w:hAnsi="宋体" w:eastAsia="宋体"/>
                <w:bCs w:val="0"/>
                <w:color w:val="auto"/>
                <w:lang w:val="en-US"/>
              </w:rPr>
            </w:pPr>
            <w:r>
              <w:rPr>
                <w:rFonts w:hint="eastAsia" w:ascii="宋体" w:hAnsi="宋体" w:eastAsia="宋体"/>
                <w:bCs w:val="0"/>
                <w:color w:val="auto"/>
                <w:lang w:val="en-US"/>
              </w:rPr>
              <w:t>0</w:t>
            </w:r>
          </w:p>
        </w:tc>
        <w:tc>
          <w:tcPr>
            <w:tcW w:w="993" w:type="dxa"/>
            <w:noWrap w:val="0"/>
            <w:vAlign w:val="center"/>
          </w:tcPr>
          <w:p>
            <w:pPr>
              <w:pStyle w:val="20"/>
              <w:rPr>
                <w:rFonts w:ascii="宋体" w:hAnsi="宋体" w:eastAsia="宋体"/>
                <w:bCs w:val="0"/>
                <w:color w:val="auto"/>
                <w:lang w:val="en-US"/>
              </w:rPr>
            </w:pPr>
            <w:r>
              <w:rPr>
                <w:rFonts w:hint="eastAsia" w:ascii="宋体" w:hAnsi="宋体" w:eastAsia="宋体"/>
                <w:bCs w:val="0"/>
                <w:color w:val="auto"/>
                <w:lang w:val="en-US"/>
              </w:rPr>
              <w:t>1.5</w:t>
            </w:r>
          </w:p>
        </w:tc>
        <w:tc>
          <w:tcPr>
            <w:tcW w:w="1559" w:type="dxa"/>
            <w:noWrap w:val="0"/>
            <w:vAlign w:val="center"/>
          </w:tcPr>
          <w:p>
            <w:pPr>
              <w:pStyle w:val="20"/>
              <w:rPr>
                <w:rFonts w:ascii="宋体" w:hAnsi="宋体" w:eastAsia="宋体"/>
                <w:bCs w:val="0"/>
                <w:color w:val="auto"/>
                <w:lang w:val="en-US"/>
              </w:rPr>
            </w:pPr>
            <w:r>
              <w:rPr>
                <w:rFonts w:hint="eastAsia" w:ascii="宋体" w:hAnsi="宋体" w:eastAsia="宋体"/>
                <w:bCs w:val="0"/>
                <w:color w:val="auto"/>
                <w:lang w:val="en-US"/>
              </w:rPr>
              <w:t>0</w:t>
            </w:r>
          </w:p>
        </w:tc>
        <w:tc>
          <w:tcPr>
            <w:tcW w:w="1255" w:type="dxa"/>
            <w:noWrap w:val="0"/>
            <w:vAlign w:val="center"/>
          </w:tcPr>
          <w:p>
            <w:pPr>
              <w:pStyle w:val="20"/>
              <w:rPr>
                <w:rFonts w:ascii="宋体" w:hAnsi="宋体" w:eastAsia="宋体"/>
                <w:b/>
                <w:color w:val="auto"/>
                <w:lang w:val="en-US"/>
              </w:rPr>
            </w:pPr>
            <w:r>
              <w:rPr>
                <w:rFonts w:hint="eastAsia" w:ascii="宋体" w:hAnsi="宋体" w:eastAsia="宋体"/>
                <w:b/>
                <w:color w:val="auto"/>
                <w:lang w:val="en-US"/>
              </w:rPr>
              <w:t>155.95</w:t>
            </w:r>
          </w:p>
        </w:tc>
      </w:tr>
    </w:tbl>
    <w:p>
      <w:pPr>
        <w:pStyle w:val="19"/>
      </w:pP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该指标分值标准10分，根据指标评价标准和公式计算，预决算偏差程度在10%以内的，得5分。</w:t>
      </w:r>
    </w:p>
    <w:p>
      <w:pPr>
        <w:spacing w:line="576" w:lineRule="exact"/>
        <w:ind w:left="420" w:leftChars="200" w:firstLine="160" w:firstLineChars="50"/>
        <w:rPr>
          <w:rFonts w:hint="eastAsia" w:ascii="仿宋_GB2312" w:hAnsi="楷体" w:eastAsia="仿宋_GB2312" w:cs="楷体"/>
          <w:sz w:val="32"/>
          <w:szCs w:val="32"/>
        </w:rPr>
      </w:pPr>
      <w:r>
        <w:rPr>
          <w:rFonts w:hint="eastAsia" w:ascii="仿宋_GB2312" w:hAnsi="楷体" w:eastAsia="仿宋_GB2312" w:cs="楷体"/>
          <w:sz w:val="32"/>
          <w:szCs w:val="32"/>
        </w:rPr>
        <w:t>（2）动态调整</w:t>
      </w:r>
    </w:p>
    <w:p>
      <w:pPr>
        <w:pStyle w:val="2"/>
        <w:spacing w:beforeLines="0" w:line="576" w:lineRule="exact"/>
        <w:ind w:firstLine="640" w:firstLineChars="200"/>
        <w:rPr>
          <w:rFonts w:hint="eastAsia"/>
          <w:sz w:val="32"/>
          <w:szCs w:val="32"/>
        </w:rPr>
      </w:pPr>
      <w:r>
        <w:rPr>
          <w:rFonts w:hint="eastAsia"/>
          <w:sz w:val="32"/>
          <w:szCs w:val="32"/>
        </w:rPr>
        <w:t>2020年，高阳镇人民政府绩效监控调整取消额为0元，预算结余注销额为0万元。</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该指标分值标准10分，根据指标评价标准和公式计算，得分10分。</w:t>
      </w:r>
    </w:p>
    <w:p>
      <w:pPr>
        <w:pStyle w:val="2"/>
        <w:spacing w:beforeLines="0" w:line="576" w:lineRule="exact"/>
        <w:ind w:firstLine="640" w:firstLineChars="200"/>
        <w:rPr>
          <w:rFonts w:hint="eastAsia" w:hAnsi="楷体" w:cs="楷体"/>
          <w:sz w:val="32"/>
          <w:szCs w:val="32"/>
        </w:rPr>
      </w:pPr>
      <w:r>
        <w:rPr>
          <w:rFonts w:hint="eastAsia" w:hAnsi="楷体" w:cs="楷体"/>
          <w:sz w:val="32"/>
          <w:szCs w:val="32"/>
        </w:rPr>
        <w:t>（3）执行进度</w:t>
      </w:r>
    </w:p>
    <w:p>
      <w:pPr>
        <w:spacing w:line="576" w:lineRule="exact"/>
        <w:ind w:firstLine="640" w:firstLineChars="200"/>
        <w:rPr>
          <w:rFonts w:hint="eastAsia" w:ascii="仿宋_GB2312" w:eastAsia="仿宋_GB2312"/>
          <w:color w:val="0000FF"/>
          <w:sz w:val="32"/>
          <w:szCs w:val="32"/>
        </w:rPr>
      </w:pPr>
      <w:r>
        <w:rPr>
          <w:rFonts w:hint="eastAsia" w:ascii="仿宋_GB2312" w:eastAsia="仿宋_GB2312"/>
          <w:sz w:val="32"/>
          <w:szCs w:val="32"/>
        </w:rPr>
        <w:t>根据《旺苍县2021年度部门整体支出绩效评价指标体系》，部门预算执行进度在6、9、11月应达到序时进度的80%、90%、90%，即实际支出进度分别达到40%、67.5%、82.5%。高阳镇人民政府2020年1-6月预算数775.67万元，执行数284.06万元，执行进度32.62%；1-9月预算数857.06万元，执行数454.04万元，执行进度52.97%；1-11月预算数857.06万元，执行数497.89万元，执行进度58.09%。各阶段预算执行进度均未达到目标要求。</w:t>
      </w:r>
    </w:p>
    <w:p>
      <w:pPr>
        <w:pStyle w:val="19"/>
        <w:rPr>
          <w:sz w:val="28"/>
        </w:rPr>
      </w:pPr>
      <w:r>
        <w:rPr>
          <w:rFonts w:hint="eastAsia"/>
          <w:sz w:val="28"/>
        </w:rPr>
        <w:t>表4-22020</w:t>
      </w:r>
      <w:r>
        <w:rPr>
          <w:sz w:val="28"/>
        </w:rPr>
        <w:t>年</w:t>
      </w:r>
      <w:r>
        <w:rPr>
          <w:rFonts w:hint="eastAsia"/>
          <w:sz w:val="28"/>
        </w:rPr>
        <w:t>高阳镇人民政府部门预算执行进度表</w:t>
      </w:r>
    </w:p>
    <w:p>
      <w:pPr>
        <w:pStyle w:val="19"/>
        <w:jc w:val="right"/>
      </w:pPr>
      <w:r>
        <w:rPr>
          <w:rFonts w:hint="eastAsia"/>
        </w:rPr>
        <w:t>单位</w:t>
      </w:r>
      <w:r>
        <w:t>：万元</w:t>
      </w:r>
    </w:p>
    <w:tbl>
      <w:tblPr>
        <w:tblStyle w:val="12"/>
        <w:tblpPr w:leftFromText="180" w:rightFromText="180" w:vertAnchor="text" w:horzAnchor="page" w:tblpX="2136" w:tblpY="213"/>
        <w:tblOverlap w:val="never"/>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2154"/>
        <w:gridCol w:w="2154"/>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96" w:type="dxa"/>
            <w:noWrap w:val="0"/>
            <w:vAlign w:val="center"/>
          </w:tcPr>
          <w:p>
            <w:pPr>
              <w:pStyle w:val="20"/>
              <w:rPr>
                <w:color w:val="auto"/>
                <w:lang w:val="en-US"/>
              </w:rPr>
            </w:pPr>
            <w:r>
              <w:rPr>
                <w:rFonts w:hint="eastAsia"/>
                <w:b/>
                <w:bCs w:val="0"/>
                <w:color w:val="auto"/>
                <w:lang w:val="en-US"/>
              </w:rPr>
              <w:t>月份</w:t>
            </w:r>
          </w:p>
        </w:tc>
        <w:tc>
          <w:tcPr>
            <w:tcW w:w="2154" w:type="dxa"/>
            <w:noWrap w:val="0"/>
            <w:vAlign w:val="center"/>
          </w:tcPr>
          <w:p>
            <w:pPr>
              <w:pStyle w:val="20"/>
              <w:rPr>
                <w:color w:val="auto"/>
                <w:lang w:val="en-US"/>
              </w:rPr>
            </w:pPr>
            <w:r>
              <w:rPr>
                <w:rFonts w:hint="eastAsia"/>
                <w:color w:val="auto"/>
                <w:lang w:val="en-US"/>
              </w:rPr>
              <w:t>预算数</w:t>
            </w:r>
          </w:p>
        </w:tc>
        <w:tc>
          <w:tcPr>
            <w:tcW w:w="2154" w:type="dxa"/>
            <w:noWrap w:val="0"/>
            <w:vAlign w:val="center"/>
          </w:tcPr>
          <w:p>
            <w:pPr>
              <w:pStyle w:val="20"/>
              <w:rPr>
                <w:color w:val="auto"/>
                <w:lang w:val="en-US"/>
              </w:rPr>
            </w:pPr>
            <w:r>
              <w:rPr>
                <w:rFonts w:hint="eastAsia"/>
                <w:color w:val="auto"/>
                <w:lang w:val="en-US"/>
              </w:rPr>
              <w:t>执行数</w:t>
            </w:r>
          </w:p>
        </w:tc>
        <w:tc>
          <w:tcPr>
            <w:tcW w:w="2154" w:type="dxa"/>
            <w:noWrap w:val="0"/>
            <w:vAlign w:val="center"/>
          </w:tcPr>
          <w:p>
            <w:pPr>
              <w:pStyle w:val="20"/>
              <w:rPr>
                <w:color w:val="auto"/>
                <w:lang w:val="en-US"/>
              </w:rPr>
            </w:pPr>
            <w:r>
              <w:rPr>
                <w:rFonts w:hint="eastAsia"/>
                <w:color w:val="auto"/>
                <w:lang w:val="en-US"/>
              </w:rPr>
              <w:t>实际支付进度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896" w:type="dxa"/>
            <w:noWrap w:val="0"/>
            <w:vAlign w:val="center"/>
          </w:tcPr>
          <w:p>
            <w:pPr>
              <w:pStyle w:val="20"/>
              <w:rPr>
                <w:b/>
                <w:color w:val="auto"/>
                <w:lang w:val="en-US"/>
              </w:rPr>
            </w:pPr>
            <w:r>
              <w:rPr>
                <w:rFonts w:hint="eastAsia"/>
                <w:b/>
                <w:color w:val="auto"/>
                <w:lang w:val="en-US"/>
              </w:rPr>
              <w:t>1-6月</w:t>
            </w:r>
          </w:p>
        </w:tc>
        <w:tc>
          <w:tcPr>
            <w:tcW w:w="2154" w:type="dxa"/>
            <w:noWrap w:val="0"/>
            <w:vAlign w:val="center"/>
          </w:tcPr>
          <w:p>
            <w:pPr>
              <w:pStyle w:val="20"/>
              <w:rPr>
                <w:bCs w:val="0"/>
                <w:color w:val="auto"/>
                <w:lang w:val="en-US"/>
              </w:rPr>
            </w:pPr>
            <w:r>
              <w:rPr>
                <w:bCs w:val="0"/>
                <w:color w:val="auto"/>
                <w:lang w:val="en-US"/>
              </w:rPr>
              <w:t>775.67</w:t>
            </w:r>
          </w:p>
        </w:tc>
        <w:tc>
          <w:tcPr>
            <w:tcW w:w="2154" w:type="dxa"/>
            <w:noWrap w:val="0"/>
            <w:vAlign w:val="center"/>
          </w:tcPr>
          <w:p>
            <w:pPr>
              <w:pStyle w:val="20"/>
              <w:rPr>
                <w:bCs w:val="0"/>
                <w:color w:val="auto"/>
                <w:lang w:val="en-US"/>
              </w:rPr>
            </w:pPr>
            <w:r>
              <w:rPr>
                <w:bCs w:val="0"/>
                <w:color w:val="auto"/>
                <w:lang w:val="en-US"/>
              </w:rPr>
              <w:t>284.06</w:t>
            </w:r>
          </w:p>
        </w:tc>
        <w:tc>
          <w:tcPr>
            <w:tcW w:w="2154" w:type="dxa"/>
            <w:noWrap w:val="0"/>
            <w:vAlign w:val="center"/>
          </w:tcPr>
          <w:p>
            <w:pPr>
              <w:pStyle w:val="20"/>
              <w:rPr>
                <w:bCs w:val="0"/>
                <w:color w:val="auto"/>
                <w:lang w:val="en-US"/>
              </w:rPr>
            </w:pPr>
            <w:r>
              <w:rPr>
                <w:rFonts w:hint="eastAsia"/>
                <w:bCs w:val="0"/>
                <w:color w:val="auto"/>
                <w:lang w:val="en-US"/>
              </w:rPr>
              <w:t>32.62%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896" w:type="dxa"/>
            <w:noWrap w:val="0"/>
            <w:vAlign w:val="center"/>
          </w:tcPr>
          <w:p>
            <w:pPr>
              <w:pStyle w:val="20"/>
              <w:rPr>
                <w:b/>
                <w:color w:val="auto"/>
                <w:lang w:val="en-US"/>
              </w:rPr>
            </w:pPr>
            <w:r>
              <w:rPr>
                <w:rFonts w:hint="eastAsia"/>
                <w:b/>
                <w:color w:val="auto"/>
                <w:lang w:val="en-US"/>
              </w:rPr>
              <w:t>1-9月</w:t>
            </w:r>
          </w:p>
        </w:tc>
        <w:tc>
          <w:tcPr>
            <w:tcW w:w="2154" w:type="dxa"/>
            <w:noWrap w:val="0"/>
            <w:vAlign w:val="center"/>
          </w:tcPr>
          <w:p>
            <w:pPr>
              <w:pStyle w:val="20"/>
              <w:rPr>
                <w:bCs w:val="0"/>
                <w:color w:val="auto"/>
                <w:lang w:val="en-US"/>
              </w:rPr>
            </w:pPr>
            <w:r>
              <w:rPr>
                <w:bCs w:val="0"/>
                <w:color w:val="auto"/>
                <w:lang w:val="en-US"/>
              </w:rPr>
              <w:t>857.06</w:t>
            </w:r>
          </w:p>
        </w:tc>
        <w:tc>
          <w:tcPr>
            <w:tcW w:w="2154" w:type="dxa"/>
            <w:noWrap w:val="0"/>
            <w:vAlign w:val="center"/>
          </w:tcPr>
          <w:p>
            <w:pPr>
              <w:pStyle w:val="20"/>
              <w:rPr>
                <w:bCs w:val="0"/>
                <w:color w:val="auto"/>
                <w:lang w:val="en-US"/>
              </w:rPr>
            </w:pPr>
            <w:r>
              <w:rPr>
                <w:bCs w:val="0"/>
                <w:color w:val="auto"/>
                <w:lang w:val="en-US"/>
              </w:rPr>
              <w:t>454.01</w:t>
            </w:r>
          </w:p>
        </w:tc>
        <w:tc>
          <w:tcPr>
            <w:tcW w:w="2154" w:type="dxa"/>
            <w:noWrap w:val="0"/>
            <w:vAlign w:val="center"/>
          </w:tcPr>
          <w:p>
            <w:pPr>
              <w:pStyle w:val="20"/>
              <w:rPr>
                <w:bCs w:val="0"/>
                <w:color w:val="auto"/>
                <w:lang w:val="en-US"/>
              </w:rPr>
            </w:pPr>
            <w:r>
              <w:rPr>
                <w:rFonts w:hint="eastAsia"/>
                <w:bCs w:val="0"/>
                <w:color w:val="auto"/>
                <w:lang w:val="en-US"/>
              </w:rPr>
              <w:t>52.97%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896" w:type="dxa"/>
            <w:noWrap w:val="0"/>
            <w:vAlign w:val="center"/>
          </w:tcPr>
          <w:p>
            <w:pPr>
              <w:pStyle w:val="20"/>
              <w:rPr>
                <w:b/>
                <w:color w:val="auto"/>
                <w:lang w:val="en-US"/>
              </w:rPr>
            </w:pPr>
            <w:r>
              <w:rPr>
                <w:rFonts w:hint="eastAsia"/>
                <w:b/>
                <w:color w:val="auto"/>
                <w:lang w:val="en-US"/>
              </w:rPr>
              <w:t>1-11月</w:t>
            </w:r>
          </w:p>
        </w:tc>
        <w:tc>
          <w:tcPr>
            <w:tcW w:w="2154" w:type="dxa"/>
            <w:noWrap w:val="0"/>
            <w:vAlign w:val="center"/>
          </w:tcPr>
          <w:p>
            <w:pPr>
              <w:pStyle w:val="20"/>
              <w:rPr>
                <w:bCs w:val="0"/>
                <w:color w:val="auto"/>
                <w:lang w:val="en-US"/>
              </w:rPr>
            </w:pPr>
            <w:r>
              <w:rPr>
                <w:bCs w:val="0"/>
                <w:color w:val="auto"/>
                <w:lang w:val="en-US"/>
              </w:rPr>
              <w:t>857.06</w:t>
            </w:r>
          </w:p>
        </w:tc>
        <w:tc>
          <w:tcPr>
            <w:tcW w:w="2154" w:type="dxa"/>
            <w:noWrap w:val="0"/>
            <w:vAlign w:val="center"/>
          </w:tcPr>
          <w:p>
            <w:pPr>
              <w:pStyle w:val="20"/>
              <w:rPr>
                <w:bCs w:val="0"/>
                <w:color w:val="auto"/>
                <w:lang w:val="en-US"/>
              </w:rPr>
            </w:pPr>
            <w:r>
              <w:rPr>
                <w:bCs w:val="0"/>
                <w:color w:val="auto"/>
                <w:lang w:val="en-US"/>
              </w:rPr>
              <w:t>497.89</w:t>
            </w:r>
          </w:p>
        </w:tc>
        <w:tc>
          <w:tcPr>
            <w:tcW w:w="2154" w:type="dxa"/>
            <w:noWrap w:val="0"/>
            <w:vAlign w:val="center"/>
          </w:tcPr>
          <w:p>
            <w:pPr>
              <w:pStyle w:val="20"/>
              <w:rPr>
                <w:bCs w:val="0"/>
                <w:color w:val="auto"/>
                <w:lang w:val="en-US"/>
              </w:rPr>
            </w:pPr>
            <w:r>
              <w:rPr>
                <w:rFonts w:hint="eastAsia"/>
                <w:bCs w:val="0"/>
                <w:color w:val="auto"/>
                <w:lang w:val="en-US"/>
              </w:rPr>
              <w:t>58.09%</w:t>
            </w:r>
          </w:p>
        </w:tc>
      </w:tr>
    </w:tbl>
    <w:p>
      <w:pPr>
        <w:pStyle w:val="19"/>
        <w:ind w:firstLine="482" w:firstLineChars="200"/>
        <w:jc w:val="right"/>
      </w:pP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该指标分值标准10分，根据指标评价标准和公式计算，得7.7分。</w:t>
      </w:r>
    </w:p>
    <w:p>
      <w:pPr>
        <w:spacing w:line="576" w:lineRule="exact"/>
        <w:ind w:firstLine="643" w:firstLineChars="200"/>
        <w:rPr>
          <w:rFonts w:hint="eastAsia" w:ascii="仿宋_GB2312" w:hAnsi="楷体" w:eastAsia="仿宋_GB2312" w:cs="楷体"/>
          <w:b/>
          <w:sz w:val="32"/>
          <w:szCs w:val="32"/>
        </w:rPr>
      </w:pPr>
      <w:r>
        <w:rPr>
          <w:rFonts w:hint="eastAsia" w:ascii="仿宋_GB2312" w:hAnsi="楷体" w:eastAsia="仿宋_GB2312" w:cs="楷体"/>
          <w:b/>
          <w:sz w:val="32"/>
          <w:szCs w:val="32"/>
        </w:rPr>
        <w:t>3.完成结果</w:t>
      </w:r>
    </w:p>
    <w:p>
      <w:pPr>
        <w:spacing w:line="576"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（1）预算完成</w:t>
      </w:r>
    </w:p>
    <w:p>
      <w:pPr>
        <w:pStyle w:val="2"/>
        <w:spacing w:beforeLines="0" w:line="576" w:lineRule="exact"/>
        <w:ind w:firstLine="640" w:firstLineChars="200"/>
        <w:rPr>
          <w:rFonts w:hint="eastAsia"/>
          <w:sz w:val="32"/>
          <w:szCs w:val="32"/>
        </w:rPr>
      </w:pPr>
      <w:r>
        <w:rPr>
          <w:rFonts w:hint="eastAsia"/>
          <w:sz w:val="32"/>
          <w:szCs w:val="32"/>
        </w:rPr>
        <w:t>高阳镇人民政府2020年部门财政收入预算1132.27万元，全年实际执行858.54万元，执行进度75.82%。</w:t>
      </w:r>
    </w:p>
    <w:p>
      <w:pPr>
        <w:pStyle w:val="2"/>
        <w:spacing w:beforeLines="0" w:line="576" w:lineRule="exact"/>
        <w:ind w:firstLine="640" w:firstLineChars="200"/>
        <w:rPr>
          <w:rFonts w:hint="eastAsia"/>
          <w:color w:val="0000FF"/>
          <w:sz w:val="32"/>
          <w:szCs w:val="32"/>
        </w:rPr>
      </w:pPr>
      <w:r>
        <w:rPr>
          <w:rFonts w:hint="eastAsia"/>
          <w:sz w:val="32"/>
          <w:szCs w:val="32"/>
        </w:rPr>
        <w:t>该指标分值标准10分，根据指标评价标准和公式计算，得分7.58分。</w:t>
      </w:r>
    </w:p>
    <w:p>
      <w:pPr>
        <w:pStyle w:val="2"/>
        <w:spacing w:beforeLines="0" w:line="576" w:lineRule="exact"/>
        <w:ind w:firstLine="640" w:firstLineChars="200"/>
        <w:rPr>
          <w:rFonts w:hint="eastAsia" w:hAnsi="楷体" w:cs="楷体"/>
          <w:sz w:val="32"/>
          <w:szCs w:val="32"/>
        </w:rPr>
      </w:pPr>
      <w:r>
        <w:rPr>
          <w:rFonts w:hint="eastAsia" w:hAnsi="楷体" w:cs="楷体"/>
          <w:sz w:val="32"/>
          <w:szCs w:val="32"/>
        </w:rPr>
        <w:t xml:space="preserve">（2）违规记录 </w:t>
      </w:r>
    </w:p>
    <w:p>
      <w:pPr>
        <w:pStyle w:val="2"/>
        <w:spacing w:beforeLines="0" w:line="576" w:lineRule="exact"/>
        <w:ind w:firstLine="640" w:firstLineChars="200"/>
        <w:rPr>
          <w:rFonts w:hint="eastAsia"/>
          <w:sz w:val="32"/>
          <w:szCs w:val="32"/>
        </w:rPr>
      </w:pPr>
      <w:r>
        <w:rPr>
          <w:rFonts w:hint="eastAsia"/>
          <w:sz w:val="32"/>
          <w:szCs w:val="32"/>
        </w:rPr>
        <w:t>依据《旺苍县财政局关于开展“三公”经费、违纪违规乱发钱物等专项检查的通知》（旺财办〔2020〕23号）文件要求，旺苍县财政局对高阳镇人民政府开展检查时发现存在以下问题：公务接待方面存在“三单”不全、超范围接待现象，会议费报销附件依据不全现象，差旅费报销方面存在超标准报销、超范围保险现象，公务用车违规使用车辆等情况。</w:t>
      </w:r>
    </w:p>
    <w:p>
      <w:pPr>
        <w:pStyle w:val="2"/>
        <w:spacing w:beforeLines="0" w:line="576" w:lineRule="exact"/>
        <w:ind w:firstLine="640" w:firstLineChars="200"/>
        <w:rPr>
          <w:rFonts w:hint="eastAsia"/>
          <w:sz w:val="32"/>
          <w:szCs w:val="32"/>
        </w:rPr>
      </w:pPr>
      <w:r>
        <w:rPr>
          <w:rFonts w:hint="eastAsia"/>
          <w:sz w:val="32"/>
          <w:szCs w:val="32"/>
        </w:rPr>
        <w:t>该指标分值标准10分，根据指标评价标准和公式计算，得分8分。扣2分。</w:t>
      </w:r>
    </w:p>
    <w:p>
      <w:pPr>
        <w:spacing w:line="576" w:lineRule="exact"/>
        <w:ind w:firstLine="643" w:firstLineChars="200"/>
        <w:rPr>
          <w:rFonts w:hint="eastAsia" w:ascii="楷体_GB2312" w:eastAsia="楷体_GB2312"/>
          <w:sz w:val="32"/>
          <w:szCs w:val="32"/>
        </w:rPr>
      </w:pPr>
      <w:r>
        <w:rPr>
          <w:rFonts w:hint="eastAsia" w:ascii="楷体_GB2312" w:eastAsia="楷体_GB2312"/>
          <w:b/>
          <w:sz w:val="32"/>
          <w:szCs w:val="32"/>
        </w:rPr>
        <w:t>（二）绩效结果应用分析</w:t>
      </w:r>
    </w:p>
    <w:p>
      <w:pPr>
        <w:tabs>
          <w:tab w:val="left" w:pos="5696"/>
        </w:tabs>
        <w:spacing w:line="576" w:lineRule="exact"/>
        <w:ind w:firstLine="643" w:firstLineChars="200"/>
        <w:rPr>
          <w:rFonts w:hint="eastAsia" w:ascii="仿宋_GB2312" w:hAnsi="楷体" w:eastAsia="仿宋_GB2312" w:cs="楷体"/>
          <w:b/>
          <w:sz w:val="32"/>
          <w:szCs w:val="32"/>
        </w:rPr>
      </w:pPr>
      <w:r>
        <w:rPr>
          <w:rFonts w:hint="eastAsia" w:ascii="仿宋_GB2312" w:hAnsi="楷体" w:eastAsia="仿宋_GB2312" w:cs="楷体"/>
          <w:b/>
          <w:sz w:val="32"/>
          <w:szCs w:val="32"/>
        </w:rPr>
        <w:t>1.自评质量</w:t>
      </w:r>
    </w:p>
    <w:p>
      <w:pPr>
        <w:pStyle w:val="2"/>
        <w:spacing w:beforeLines="0" w:line="576" w:lineRule="exact"/>
        <w:ind w:firstLine="640" w:firstLineChars="200"/>
        <w:rPr>
          <w:rFonts w:hint="eastAsia"/>
          <w:color w:val="C00000"/>
          <w:sz w:val="32"/>
          <w:szCs w:val="32"/>
        </w:rPr>
      </w:pPr>
      <w:r>
        <w:rPr>
          <w:rFonts w:hint="eastAsia"/>
          <w:sz w:val="32"/>
          <w:szCs w:val="32"/>
        </w:rPr>
        <w:t>高阳镇人民政府2020年部门整体支出绩效自评得分94分（除自评质量指标外，满分96分）。根据现场评价情况，评价组对高阳镇人民政府的考评得分为77.28分（除自评质量指标外，满分96分）。高阳镇人民政府自评得分与评价组考评分的差异为16.72%。</w:t>
      </w:r>
    </w:p>
    <w:p>
      <w:pPr>
        <w:pStyle w:val="2"/>
        <w:spacing w:beforeLines="0" w:line="576" w:lineRule="exact"/>
        <w:ind w:firstLine="640" w:firstLineChars="200"/>
        <w:rPr>
          <w:rFonts w:hint="eastAsia"/>
          <w:color w:val="0000FF"/>
          <w:sz w:val="32"/>
          <w:szCs w:val="32"/>
        </w:rPr>
      </w:pPr>
      <w:r>
        <w:rPr>
          <w:rFonts w:hint="eastAsia"/>
          <w:sz w:val="32"/>
          <w:szCs w:val="32"/>
        </w:rPr>
        <w:t>该指标分值标准4分，根据指标评价标准和公式计算，部门整体支出自评得分与评价组抽查得分差异在10%-20%的，得2分。</w:t>
      </w:r>
    </w:p>
    <w:p>
      <w:pPr>
        <w:spacing w:line="576" w:lineRule="exact"/>
        <w:ind w:firstLine="643" w:firstLineChars="200"/>
        <w:rPr>
          <w:rFonts w:hint="eastAsia" w:ascii="仿宋_GB2312" w:hAnsi="楷体" w:eastAsia="仿宋_GB2312" w:cs="楷体"/>
          <w:b/>
          <w:sz w:val="32"/>
          <w:szCs w:val="32"/>
        </w:rPr>
      </w:pPr>
      <w:r>
        <w:rPr>
          <w:rFonts w:hint="eastAsia" w:ascii="仿宋_GB2312" w:hAnsi="楷体" w:eastAsia="仿宋_GB2312" w:cs="楷体"/>
          <w:b/>
          <w:sz w:val="32"/>
          <w:szCs w:val="32"/>
        </w:rPr>
        <w:t>2.信息公开</w:t>
      </w:r>
    </w:p>
    <w:p>
      <w:pPr>
        <w:pStyle w:val="2"/>
        <w:tabs>
          <w:tab w:val="left" w:pos="362"/>
        </w:tabs>
        <w:spacing w:beforeLines="0" w:line="576" w:lineRule="exact"/>
        <w:ind w:firstLine="640" w:firstLineChars="200"/>
        <w:rPr>
          <w:rFonts w:hint="eastAsia" w:hAnsi="楷体" w:cs="楷体"/>
          <w:sz w:val="32"/>
          <w:szCs w:val="32"/>
        </w:rPr>
      </w:pPr>
      <w:r>
        <w:rPr>
          <w:rFonts w:hint="eastAsia" w:hAnsi="楷体" w:cs="楷体"/>
          <w:sz w:val="32"/>
          <w:szCs w:val="32"/>
        </w:rPr>
        <w:t>（1）目标公开</w:t>
      </w:r>
    </w:p>
    <w:p>
      <w:pPr>
        <w:pStyle w:val="2"/>
        <w:spacing w:beforeLines="0" w:line="576" w:lineRule="exact"/>
        <w:ind w:firstLine="640" w:firstLineChars="200"/>
        <w:rPr>
          <w:rFonts w:hint="eastAsia"/>
          <w:sz w:val="32"/>
          <w:szCs w:val="32"/>
        </w:rPr>
      </w:pPr>
      <w:r>
        <w:rPr>
          <w:rFonts w:hint="eastAsia"/>
          <w:sz w:val="32"/>
          <w:szCs w:val="32"/>
        </w:rPr>
        <w:t>按照财政局要求，高阳镇人民政府绩效目标说明已按要求随部门预算在政府网站向社会公开。</w:t>
      </w:r>
    </w:p>
    <w:p>
      <w:pPr>
        <w:pStyle w:val="2"/>
        <w:spacing w:beforeLines="0" w:line="576" w:lineRule="exact"/>
        <w:ind w:firstLine="640" w:firstLineChars="200"/>
        <w:rPr>
          <w:rFonts w:hint="eastAsia"/>
          <w:color w:val="0000FF"/>
          <w:sz w:val="32"/>
          <w:szCs w:val="32"/>
        </w:rPr>
      </w:pPr>
      <w:r>
        <w:rPr>
          <w:rFonts w:hint="eastAsia"/>
          <w:sz w:val="32"/>
          <w:szCs w:val="32"/>
        </w:rPr>
        <w:t>该指标分值标准4分，根据指标评价标准和公式计算，得分4分。</w:t>
      </w:r>
    </w:p>
    <w:p>
      <w:pPr>
        <w:pStyle w:val="2"/>
        <w:spacing w:beforeLines="0" w:line="576" w:lineRule="exact"/>
        <w:ind w:firstLine="640" w:firstLineChars="200"/>
        <w:rPr>
          <w:rFonts w:hint="eastAsia"/>
          <w:sz w:val="32"/>
          <w:szCs w:val="32"/>
        </w:rPr>
      </w:pPr>
      <w:r>
        <w:rPr>
          <w:rFonts w:hint="eastAsia" w:hAnsi="楷体" w:cs="楷体"/>
          <w:sz w:val="32"/>
          <w:szCs w:val="32"/>
        </w:rPr>
        <w:t>（2）自评公开。</w:t>
      </w:r>
    </w:p>
    <w:p>
      <w:pPr>
        <w:pStyle w:val="2"/>
        <w:spacing w:beforeLines="0" w:line="576" w:lineRule="exact"/>
        <w:ind w:firstLine="640" w:firstLineChars="200"/>
        <w:rPr>
          <w:rFonts w:hint="eastAsia"/>
          <w:sz w:val="32"/>
          <w:szCs w:val="32"/>
        </w:rPr>
      </w:pPr>
      <w:r>
        <w:rPr>
          <w:rFonts w:hint="eastAsia"/>
          <w:sz w:val="32"/>
          <w:szCs w:val="32"/>
        </w:rPr>
        <w:t xml:space="preserve">按照财政局要求，高阳镇人民政府并将部门整体绩效自评情况和自行组织的评价情况随同决算公开。 </w:t>
      </w:r>
    </w:p>
    <w:p>
      <w:pPr>
        <w:pStyle w:val="2"/>
        <w:spacing w:beforeLines="0" w:line="576" w:lineRule="exact"/>
        <w:ind w:firstLine="640" w:firstLineChars="200"/>
        <w:rPr>
          <w:rFonts w:hint="eastAsia"/>
          <w:color w:val="0000FF"/>
          <w:sz w:val="32"/>
          <w:szCs w:val="32"/>
        </w:rPr>
      </w:pPr>
      <w:r>
        <w:rPr>
          <w:rFonts w:hint="eastAsia"/>
          <w:sz w:val="32"/>
          <w:szCs w:val="32"/>
        </w:rPr>
        <w:t>该指标分值标准4分，根据指标评价标准和公式计算，得分4分。</w:t>
      </w:r>
    </w:p>
    <w:p>
      <w:pPr>
        <w:spacing w:line="576" w:lineRule="exact"/>
        <w:ind w:firstLine="643" w:firstLineChars="200"/>
        <w:rPr>
          <w:rFonts w:hint="eastAsia" w:ascii="仿宋_GB2312" w:hAnsi="楷体" w:eastAsia="仿宋_GB2312" w:cs="楷体"/>
          <w:b/>
          <w:sz w:val="32"/>
          <w:szCs w:val="32"/>
        </w:rPr>
      </w:pPr>
      <w:r>
        <w:rPr>
          <w:rFonts w:hint="eastAsia" w:ascii="仿宋_GB2312" w:hAnsi="楷体" w:eastAsia="仿宋_GB2312" w:cs="楷体"/>
          <w:b/>
          <w:sz w:val="32"/>
          <w:szCs w:val="32"/>
        </w:rPr>
        <w:t>3.整改反馈</w:t>
      </w:r>
    </w:p>
    <w:p>
      <w:pPr>
        <w:pStyle w:val="2"/>
        <w:spacing w:beforeLines="0" w:line="576" w:lineRule="exact"/>
        <w:ind w:firstLine="640" w:firstLineChars="200"/>
        <w:rPr>
          <w:rFonts w:hint="eastAsia"/>
          <w:sz w:val="32"/>
          <w:szCs w:val="32"/>
        </w:rPr>
      </w:pPr>
      <w:r>
        <w:rPr>
          <w:rFonts w:hint="eastAsia"/>
          <w:sz w:val="32"/>
          <w:szCs w:val="32"/>
        </w:rPr>
        <w:t>高阳镇人民政府按照《旺苍县财政局关于“三公”经费、违纪违规乱发钱物等专项检查发现问题的整改通知》（旺财办〔2020〕46号）要求按时将整改报告报送财政局，并整改到位，不扣分。做到了按时向财政部门报送相应绩效自评报告，不扣分。</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该指标分值标准4分，根据指标评价标准和公式计算，得分4分。</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四、存在的主要问题</w:t>
      </w:r>
    </w:p>
    <w:p>
      <w:pPr>
        <w:pStyle w:val="2"/>
        <w:spacing w:beforeLines="0" w:line="576" w:lineRule="exact"/>
        <w:ind w:firstLine="630" w:firstLineChars="196"/>
        <w:rPr>
          <w:rFonts w:hint="eastAsia" w:hAnsi="仿宋"/>
          <w:sz w:val="32"/>
          <w:szCs w:val="32"/>
        </w:rPr>
      </w:pPr>
      <w:r>
        <w:rPr>
          <w:rFonts w:hint="eastAsia" w:ascii="楷体_GB2312" w:hAnsi="仿宋" w:eastAsia="楷体_GB2312"/>
          <w:b/>
          <w:sz w:val="32"/>
          <w:szCs w:val="32"/>
        </w:rPr>
        <w:t>（一）绩效目标编制方面存在的问题。</w:t>
      </w:r>
      <w:r>
        <w:rPr>
          <w:rFonts w:hint="eastAsia" w:hAnsi="仿宋"/>
          <w:sz w:val="32"/>
          <w:szCs w:val="32"/>
        </w:rPr>
        <w:t>1、整体绩效目标申报表中时效指标、成本指标等未细化。2、项目绩效目标申报表中“扫黑除恶经费”数量指标、质量指标不明确，未细化。</w:t>
      </w:r>
    </w:p>
    <w:p>
      <w:pPr>
        <w:spacing w:line="576" w:lineRule="exact"/>
        <w:ind w:firstLine="643" w:firstLineChars="200"/>
        <w:rPr>
          <w:rFonts w:hint="eastAsia" w:ascii="仿宋_GB2312" w:hAnsi="仿宋" w:eastAsia="仿宋_GB2312" w:cs="宋体"/>
          <w:kern w:val="0"/>
          <w:sz w:val="32"/>
          <w:szCs w:val="32"/>
        </w:rPr>
      </w:pPr>
      <w:r>
        <w:rPr>
          <w:rFonts w:hint="eastAsia" w:ascii="楷体_GB2312" w:hAnsi="仿宋" w:eastAsia="楷体_GB2312"/>
          <w:b/>
          <w:kern w:val="0"/>
          <w:sz w:val="32"/>
          <w:szCs w:val="32"/>
        </w:rPr>
        <w:t>（二）全面实施预算绩效管理方面存在的问题。</w:t>
      </w:r>
      <w:r>
        <w:rPr>
          <w:rFonts w:hint="eastAsia" w:ascii="仿宋_GB2312" w:hAnsi="仿宋" w:eastAsia="仿宋_GB2312" w:cs="宋体"/>
          <w:kern w:val="0"/>
          <w:sz w:val="32"/>
          <w:szCs w:val="32"/>
        </w:rPr>
        <w:t>预算执行进度缓慢，截</w:t>
      </w:r>
      <w:r>
        <w:rPr>
          <w:rFonts w:hint="eastAsia" w:ascii="仿宋_GB2312" w:hAnsi="仿宋" w:eastAsia="仿宋_GB2312" w:cs="宋体"/>
          <w:kern w:val="0"/>
          <w:sz w:val="32"/>
          <w:szCs w:val="32"/>
          <w:lang w:eastAsia="zh-CN"/>
        </w:rPr>
        <w:t>至</w:t>
      </w:r>
      <w:r>
        <w:rPr>
          <w:rFonts w:hint="eastAsia" w:ascii="仿宋_GB2312" w:hAnsi="仿宋" w:eastAsia="仿宋_GB2312" w:cs="宋体"/>
          <w:kern w:val="0"/>
          <w:sz w:val="32"/>
          <w:szCs w:val="32"/>
        </w:rPr>
        <w:t>2018年11月</w:t>
      </w:r>
      <w:r>
        <w:rPr>
          <w:rFonts w:hint="eastAsia" w:ascii="仿宋_GB2312" w:hAnsi="仿宋" w:eastAsia="仿宋_GB2312"/>
          <w:sz w:val="32"/>
          <w:szCs w:val="32"/>
        </w:rPr>
        <w:t>预算数857.06万元，执行数497.89万元，执行进度58.09%，差目标比例24.41%。</w:t>
      </w:r>
    </w:p>
    <w:p>
      <w:pPr>
        <w:pStyle w:val="2"/>
        <w:spacing w:beforeLines="0" w:line="576" w:lineRule="exact"/>
        <w:ind w:firstLine="643" w:firstLineChars="200"/>
        <w:rPr>
          <w:rFonts w:hint="eastAsia" w:hAnsi="仿宋"/>
          <w:sz w:val="32"/>
          <w:szCs w:val="32"/>
        </w:rPr>
      </w:pPr>
      <w:r>
        <w:rPr>
          <w:rFonts w:hint="eastAsia" w:ascii="楷体_GB2312" w:hAnsi="仿宋" w:eastAsia="楷体_GB2312"/>
          <w:b/>
          <w:sz w:val="32"/>
          <w:szCs w:val="32"/>
        </w:rPr>
        <w:t>（三）预算编制方面存在的问题。</w:t>
      </w:r>
      <w:r>
        <w:rPr>
          <w:rFonts w:hint="eastAsia" w:hAnsi="仿宋"/>
          <w:sz w:val="32"/>
          <w:szCs w:val="32"/>
        </w:rPr>
        <w:t>未严格按照财政部门预算编制要求编制部门预算，项目支出涉及的经济科目与预算编制的项目经费经济科目差异大，未对应。</w:t>
      </w:r>
    </w:p>
    <w:p>
      <w:pPr>
        <w:pStyle w:val="2"/>
        <w:spacing w:beforeLines="0" w:line="576" w:lineRule="exact"/>
        <w:ind w:firstLine="643" w:firstLineChars="200"/>
        <w:rPr>
          <w:rFonts w:hint="eastAsia" w:hAnsi="仿宋"/>
          <w:sz w:val="32"/>
          <w:szCs w:val="32"/>
        </w:rPr>
      </w:pPr>
      <w:r>
        <w:rPr>
          <w:rFonts w:hint="eastAsia" w:ascii="楷体_GB2312" w:hAnsi="仿宋" w:eastAsia="楷体_GB2312"/>
          <w:b/>
          <w:sz w:val="32"/>
          <w:szCs w:val="32"/>
        </w:rPr>
        <w:t>（四）财务管理、财经纪律等方面存在的问题。</w:t>
      </w:r>
      <w:r>
        <w:rPr>
          <w:rFonts w:hint="eastAsia" w:hAnsi="仿宋"/>
          <w:sz w:val="32"/>
          <w:szCs w:val="32"/>
        </w:rPr>
        <w:t>公务卡使用较少，仅个人所得税使用公务卡支付；政府采购等内控制度还需完善。</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五、整改措施及建议</w:t>
      </w:r>
    </w:p>
    <w:p>
      <w:pPr>
        <w:spacing w:line="576" w:lineRule="exact"/>
        <w:ind w:firstLine="643" w:firstLineChars="200"/>
        <w:rPr>
          <w:rFonts w:hint="eastAsia" w:ascii="仿宋_GB2312" w:hAnsi="仿宋" w:eastAsia="仿宋_GB2312"/>
          <w:sz w:val="32"/>
          <w:szCs w:val="32"/>
        </w:rPr>
      </w:pPr>
      <w:r>
        <w:rPr>
          <w:rFonts w:hint="eastAsia" w:ascii="楷体_GB2312" w:hAnsi="仿宋" w:eastAsia="楷体_GB2312"/>
          <w:b/>
          <w:sz w:val="32"/>
          <w:szCs w:val="32"/>
        </w:rPr>
        <w:t>（一）</w:t>
      </w:r>
      <w:r>
        <w:rPr>
          <w:rFonts w:hint="eastAsia" w:ascii="仿宋_GB2312" w:hAnsi="仿宋" w:eastAsia="仿宋_GB2312"/>
          <w:sz w:val="32"/>
          <w:szCs w:val="32"/>
        </w:rPr>
        <w:t>按照《旺苍县预算绩效目标管理办法》规定，绩效目标编制应当从数量、质量、成本、时效以及经济效益、社会效益、生态效益、可持续影响、满意度等方面进行细化，尽量进行定量表述。</w:t>
      </w:r>
    </w:p>
    <w:p>
      <w:pPr>
        <w:pStyle w:val="11"/>
        <w:shd w:val="clear" w:color="auto" w:fill="FFFFFF"/>
        <w:spacing w:before="0" w:beforeAutospacing="0" w:after="0" w:afterAutospacing="0" w:line="576" w:lineRule="exact"/>
        <w:ind w:right="150" w:firstLine="645"/>
        <w:rPr>
          <w:rFonts w:hint="eastAsia" w:ascii="仿宋_GB2312" w:hAnsi="微软雅黑" w:eastAsia="仿宋_GB2312"/>
          <w:sz w:val="32"/>
          <w:szCs w:val="32"/>
        </w:rPr>
      </w:pPr>
      <w:r>
        <w:rPr>
          <w:rFonts w:hint="eastAsia" w:ascii="楷体_GB2312" w:hAnsi="仿宋" w:eastAsia="楷体_GB2312" w:cs="Times New Roman"/>
          <w:b/>
          <w:kern w:val="2"/>
          <w:sz w:val="32"/>
          <w:szCs w:val="32"/>
        </w:rPr>
        <w:t>（二）</w:t>
      </w:r>
      <w:r>
        <w:rPr>
          <w:rFonts w:hint="eastAsia" w:ascii="仿宋_GB2312" w:hAnsi="仿宋" w:eastAsia="仿宋_GB2312" w:cs="Times New Roman"/>
          <w:kern w:val="2"/>
          <w:sz w:val="32"/>
          <w:szCs w:val="32"/>
        </w:rPr>
        <w:t>做好绩效监控。</w:t>
      </w:r>
      <w:r>
        <w:rPr>
          <w:rFonts w:hint="eastAsia" w:ascii="仿宋_GB2312" w:hAnsi="微软雅黑" w:eastAsia="仿宋_GB2312"/>
          <w:sz w:val="32"/>
          <w:szCs w:val="32"/>
        </w:rPr>
        <w:t>根据批复项目资金支出绩效目标，按照职责对项目进度、预算执行、各项效益的阶段性完成情况进行动态跟踪监控、监督检查，对进度慢的项目要及时改进跟进，确保年度目标任务完成。</w:t>
      </w:r>
    </w:p>
    <w:p>
      <w:pPr>
        <w:pStyle w:val="2"/>
        <w:spacing w:beforeLines="0" w:line="576" w:lineRule="exact"/>
        <w:ind w:firstLine="643" w:firstLineChars="200"/>
        <w:rPr>
          <w:rFonts w:hint="eastAsia" w:hAnsi="仿宋"/>
          <w:sz w:val="32"/>
          <w:szCs w:val="32"/>
        </w:rPr>
      </w:pPr>
      <w:r>
        <w:rPr>
          <w:rFonts w:hint="eastAsia" w:ascii="楷体_GB2312" w:hAnsi="仿宋" w:eastAsia="楷体_GB2312"/>
          <w:b/>
          <w:kern w:val="2"/>
          <w:sz w:val="32"/>
          <w:szCs w:val="32"/>
        </w:rPr>
        <w:t>（三）</w:t>
      </w:r>
      <w:r>
        <w:rPr>
          <w:rFonts w:hint="eastAsia" w:hAnsi="仿宋"/>
          <w:sz w:val="32"/>
          <w:szCs w:val="32"/>
        </w:rPr>
        <w:t>严格按照预算编制通知明确的范围、标准等编制部门预算，项目支出预算编制真实、具体。</w:t>
      </w:r>
    </w:p>
    <w:p>
      <w:pPr>
        <w:pStyle w:val="2"/>
        <w:spacing w:beforeLines="0" w:line="576" w:lineRule="exact"/>
        <w:ind w:firstLine="643" w:firstLineChars="200"/>
        <w:rPr>
          <w:rFonts w:hint="eastAsia" w:hAnsi="黑体"/>
          <w:sz w:val="32"/>
          <w:szCs w:val="32"/>
        </w:rPr>
      </w:pPr>
      <w:r>
        <w:rPr>
          <w:rFonts w:hint="eastAsia" w:ascii="楷体_GB2312" w:hAnsi="仿宋" w:eastAsia="楷体_GB2312"/>
          <w:b/>
          <w:kern w:val="2"/>
          <w:sz w:val="32"/>
          <w:szCs w:val="32"/>
        </w:rPr>
        <w:t>（四）</w:t>
      </w:r>
      <w:r>
        <w:rPr>
          <w:rFonts w:hint="eastAsia" w:hAnsi="仿宋"/>
          <w:sz w:val="32"/>
          <w:szCs w:val="32"/>
        </w:rPr>
        <w:t>严格执行</w:t>
      </w:r>
      <w:r>
        <w:rPr>
          <w:rFonts w:hint="eastAsia"/>
          <w:sz w:val="32"/>
          <w:szCs w:val="32"/>
        </w:rPr>
        <w:t>财经纪律及</w:t>
      </w:r>
      <w:r>
        <w:rPr>
          <w:rFonts w:hint="eastAsia" w:hAnsi="仿宋"/>
          <w:sz w:val="32"/>
          <w:szCs w:val="32"/>
        </w:rPr>
        <w:t>财</w:t>
      </w:r>
      <w:r>
        <w:rPr>
          <w:rFonts w:hint="eastAsia"/>
          <w:sz w:val="32"/>
          <w:szCs w:val="32"/>
        </w:rPr>
        <w:t>务管理规定。建立健全内部控制制度，按要求使用公务卡。</w:t>
      </w:r>
    </w:p>
    <w:p>
      <w:pPr>
        <w:rPr>
          <w:rFonts w:hint="eastAsia"/>
        </w:rPr>
      </w:pPr>
      <w:r>
        <w:rPr>
          <w:rFonts w:hint="eastAsia"/>
        </w:rPr>
        <w:br w:type="page"/>
      </w:r>
    </w:p>
    <w:p>
      <w:pPr>
        <w:adjustRightInd w:val="0"/>
        <w:snapToGrid w:val="0"/>
        <w:spacing w:line="240" w:lineRule="atLeast"/>
        <w:jc w:val="center"/>
        <w:rPr>
          <w:rFonts w:ascii="方正小标宋简体" w:hAnsi="华文中宋" w:eastAsia="方正小标宋简体"/>
          <w:b/>
          <w:sz w:val="48"/>
          <w:szCs w:val="48"/>
        </w:rPr>
      </w:pPr>
      <w:r>
        <w:rPr>
          <w:rFonts w:hint="eastAsia" w:ascii="方正小标宋简体" w:hAnsi="华文中宋" w:eastAsia="方正小标宋简体"/>
          <w:b/>
          <w:sz w:val="48"/>
          <w:szCs w:val="48"/>
        </w:rPr>
        <w:t>旺苍县黄洋镇人民政府部门整体支出</w:t>
      </w: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adjustRightInd w:val="0"/>
        <w:snapToGrid w:val="0"/>
        <w:spacing w:line="240" w:lineRule="atLeast"/>
        <w:ind w:left="105" w:leftChars="50" w:firstLine="372" w:firstLineChars="103"/>
        <w:jc w:val="center"/>
        <w:rPr>
          <w:rFonts w:hint="eastAsia" w:ascii="方正小标宋简体" w:hAnsi="华文中宋" w:eastAsia="方正小标宋简体"/>
          <w:b/>
          <w:sz w:val="36"/>
          <w:szCs w:val="36"/>
        </w:rPr>
      </w:pP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绩</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效</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评</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价</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报</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告</w:t>
      </w: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adjustRightInd w:val="0"/>
        <w:snapToGrid w:val="0"/>
        <w:spacing w:line="240" w:lineRule="atLeast"/>
        <w:ind w:left="105" w:leftChars="50" w:firstLine="370" w:firstLineChars="103"/>
        <w:jc w:val="center"/>
        <w:rPr>
          <w:rFonts w:ascii="楷体" w:hAnsi="楷体" w:eastAsia="楷体" w:cs="楷体"/>
          <w:bCs/>
          <w:sz w:val="36"/>
          <w:szCs w:val="36"/>
        </w:rPr>
      </w:pPr>
    </w:p>
    <w:p>
      <w:pPr>
        <w:tabs>
          <w:tab w:val="left" w:pos="3885"/>
        </w:tabs>
        <w:snapToGrid w:val="0"/>
        <w:spacing w:line="600" w:lineRule="atLeast"/>
        <w:ind w:firstLine="803" w:firstLineChars="250"/>
        <w:jc w:val="left"/>
        <w:rPr>
          <w:rFonts w:hint="eastAsia" w:ascii="楷体_GB2312" w:hAnsi="楷体" w:eastAsia="楷体_GB2312" w:cs="楷体"/>
          <w:b/>
          <w:sz w:val="32"/>
          <w:szCs w:val="32"/>
        </w:rPr>
      </w:pPr>
      <w:r>
        <w:rPr>
          <w:rFonts w:hint="eastAsia" w:ascii="楷体_GB2312" w:hAnsi="楷体" w:eastAsia="楷体_GB2312" w:cs="楷体"/>
          <w:b/>
          <w:sz w:val="32"/>
          <w:szCs w:val="32"/>
        </w:rPr>
        <w:t>评价部门：旺苍县财政局</w:t>
      </w:r>
    </w:p>
    <w:p>
      <w:pPr>
        <w:tabs>
          <w:tab w:val="left" w:pos="3885"/>
        </w:tabs>
        <w:snapToGrid w:val="0"/>
        <w:spacing w:line="600" w:lineRule="atLeast"/>
        <w:ind w:firstLine="803" w:firstLineChars="250"/>
        <w:jc w:val="left"/>
        <w:rPr>
          <w:rFonts w:hint="eastAsia" w:ascii="楷体_GB2312" w:hAnsi="楷体" w:eastAsia="楷体_GB2312" w:cs="楷体"/>
          <w:b/>
          <w:sz w:val="32"/>
          <w:szCs w:val="32"/>
        </w:rPr>
      </w:pPr>
      <w:r>
        <w:rPr>
          <w:rFonts w:hint="eastAsia" w:ascii="楷体_GB2312" w:hAnsi="楷体" w:eastAsia="楷体_GB2312" w:cs="楷体"/>
          <w:b/>
          <w:sz w:val="32"/>
          <w:szCs w:val="32"/>
        </w:rPr>
        <w:t>评价人员：向敏  高松  向柳</w:t>
      </w:r>
    </w:p>
    <w:p>
      <w:pPr>
        <w:tabs>
          <w:tab w:val="left" w:pos="3885"/>
        </w:tabs>
        <w:snapToGrid w:val="0"/>
        <w:spacing w:line="600" w:lineRule="atLeast"/>
        <w:ind w:firstLine="803" w:firstLineChars="250"/>
        <w:jc w:val="left"/>
        <w:rPr>
          <w:rFonts w:hint="eastAsia" w:ascii="楷体_GB2312" w:hAnsi="楷体" w:eastAsia="楷体_GB2312" w:cs="楷体"/>
          <w:b/>
          <w:sz w:val="32"/>
          <w:szCs w:val="32"/>
        </w:rPr>
      </w:pPr>
      <w:r>
        <w:rPr>
          <w:rFonts w:hint="eastAsia" w:ascii="楷体_GB2312" w:hAnsi="楷体" w:eastAsia="楷体_GB2312" w:cs="楷体"/>
          <w:b/>
          <w:sz w:val="32"/>
          <w:szCs w:val="32"/>
        </w:rPr>
        <w:t>报告时间： 2021年9月30日</w:t>
      </w:r>
    </w:p>
    <w:p>
      <w:pPr>
        <w:spacing w:line="560" w:lineRule="exact"/>
        <w:ind w:firstLine="640" w:firstLineChars="200"/>
        <w:rPr>
          <w:rFonts w:hint="eastAsia" w:ascii="黑体" w:hAnsi="黑体" w:eastAsia="黑体"/>
          <w:kern w:val="0"/>
          <w:sz w:val="32"/>
          <w:szCs w:val="32"/>
          <w:lang w:val="zh-CN"/>
        </w:rPr>
        <w:sectPr>
          <w:headerReference r:id="rId21" w:type="default"/>
          <w:footerReference r:id="rId22" w:type="default"/>
          <w:footerReference r:id="rId23" w:type="even"/>
          <w:pgSz w:w="11906" w:h="16838"/>
          <w:pgMar w:top="2098" w:right="1474" w:bottom="1985" w:left="1588" w:header="851" w:footer="1559" w:gutter="0"/>
          <w:pgNumType w:fmt="numberInDash" w:start="1"/>
          <w:cols w:space="720" w:num="1"/>
          <w:docGrid w:type="lines" w:linePitch="312" w:charSpace="0"/>
        </w:sectPr>
      </w:pPr>
    </w:p>
    <w:p>
      <w:pPr>
        <w:spacing w:line="560" w:lineRule="exact"/>
        <w:ind w:firstLine="640" w:firstLineChars="200"/>
        <w:rPr>
          <w:rFonts w:hint="eastAsia" w:ascii="黑体" w:hAnsi="黑体" w:eastAsia="黑体"/>
          <w:kern w:val="0"/>
          <w:sz w:val="32"/>
          <w:szCs w:val="32"/>
          <w:lang w:val="zh-CN"/>
        </w:rPr>
      </w:pPr>
      <w:r>
        <w:rPr>
          <w:rFonts w:hint="eastAsia" w:ascii="黑体" w:hAnsi="黑体" w:eastAsia="黑体"/>
          <w:kern w:val="0"/>
          <w:sz w:val="32"/>
          <w:szCs w:val="32"/>
          <w:lang w:val="zh-CN"/>
        </w:rPr>
        <w:t>一、部门概况</w:t>
      </w:r>
    </w:p>
    <w:p>
      <w:pPr>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（一）机构组成</w:t>
      </w:r>
    </w:p>
    <w:p>
      <w:pPr>
        <w:spacing w:line="560" w:lineRule="exact"/>
        <w:ind w:firstLine="640" w:firstLineChars="200"/>
        <w:rPr>
          <w:rFonts w:hint="eastAsia" w:ascii="仿宋_GB2312" w:eastAsia="仿宋_GB2312"/>
          <w:sz w:val="32"/>
          <w:szCs w:val="32"/>
        </w:rPr>
      </w:pPr>
      <w:r>
        <w:rPr>
          <w:rFonts w:hint="eastAsia" w:ascii="仿宋_GB2312" w:eastAsia="仿宋_GB2312"/>
          <w:kern w:val="0"/>
          <w:sz w:val="32"/>
          <w:szCs w:val="32"/>
          <w:lang w:val="zh-CN"/>
        </w:rPr>
        <w:t>黄洋镇人民政府设内设机</w:t>
      </w:r>
      <w:r>
        <w:rPr>
          <w:rFonts w:hint="eastAsia" w:ascii="仿宋_GB2312" w:eastAsia="仿宋_GB2312"/>
          <w:sz w:val="32"/>
          <w:szCs w:val="32"/>
        </w:rPr>
        <w:t>构6个。</w:t>
      </w:r>
    </w:p>
    <w:p>
      <w:pPr>
        <w:pStyle w:val="21"/>
        <w:spacing w:line="560" w:lineRule="exact"/>
        <w:ind w:firstLine="640"/>
        <w:rPr>
          <w:rFonts w:hint="eastAsia" w:ascii="仿宋_GB2312"/>
          <w:sz w:val="32"/>
          <w:szCs w:val="32"/>
        </w:rPr>
      </w:pPr>
      <w:r>
        <w:rPr>
          <w:rFonts w:hint="eastAsia" w:ascii="仿宋_GB2312"/>
          <w:sz w:val="32"/>
          <w:szCs w:val="32"/>
        </w:rPr>
        <w:t>内设机构：党政综合与乡村振兴办公室、党建工作办公室（村（社区）“两委”负责人，经济责任审计站）、综合行政执法办公室（城镇管理办公室、城乡规划建设和环境卫生整治办公室）、社会事务和治理工作办公室（矛盾纠纷多元化解协调中心、群众工作办公室、应急管理办公室）、经济发展办公室（扶贫开发办公室、生态环境保护办公室）、财政所。</w:t>
      </w:r>
    </w:p>
    <w:p>
      <w:pPr>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（二）基本职能</w:t>
      </w:r>
    </w:p>
    <w:p>
      <w:pPr>
        <w:spacing w:line="560" w:lineRule="exact"/>
        <w:ind w:firstLine="640" w:firstLineChars="200"/>
        <w:rPr>
          <w:rFonts w:hint="eastAsia" w:ascii="仿宋_GB2312" w:hAnsi="仿宋" w:eastAsia="仿宋_GB2312" w:cs="宋体"/>
          <w:sz w:val="32"/>
          <w:szCs w:val="32"/>
          <w:lang w:eastAsia="zh-CN"/>
        </w:rPr>
      </w:pPr>
      <w:r>
        <w:rPr>
          <w:rFonts w:hint="eastAsia" w:ascii="仿宋_GB2312" w:hAnsi="仿宋" w:eastAsia="仿宋_GB2312" w:cs="宋体"/>
          <w:sz w:val="32"/>
          <w:szCs w:val="32"/>
        </w:rPr>
        <w:t>1.宣传、落实好党的路线，方针、政策和国家的法律、法规，稳定农村基本经济制度，坚持依法行政，推进政务公开，加强对村民委员会的指导，提高、培育村民委员会自治能力。</w:t>
      </w:r>
    </w:p>
    <w:p>
      <w:pPr>
        <w:spacing w:line="560" w:lineRule="exact"/>
        <w:ind w:firstLine="640" w:firstLineChars="200"/>
        <w:rPr>
          <w:rFonts w:hint="eastAsia" w:ascii="仿宋_GB2312" w:hAnsi="仿宋" w:eastAsia="仿宋_GB2312" w:cs="宋体"/>
          <w:sz w:val="32"/>
          <w:szCs w:val="32"/>
          <w:lang w:eastAsia="zh-CN"/>
        </w:rPr>
      </w:pPr>
      <w:r>
        <w:rPr>
          <w:rFonts w:hint="eastAsia" w:ascii="仿宋_GB2312" w:hAnsi="仿宋" w:eastAsia="仿宋_GB2312" w:cs="宋体"/>
          <w:sz w:val="32"/>
          <w:szCs w:val="32"/>
        </w:rPr>
        <w:t xml:space="preserve">    2.科学制订发展规划，营造农村经济发展环境，加强农村市场监督，培育、提升市场功能，搞活市场流通，推广农业技术，完善农业社会化服务体系，引导农民发展现代农业，调整产业结构，加强农村劳动力技能培训，引导农村劳动力转移和就业，不断提高社会主义新农村建设水平。</w:t>
      </w:r>
    </w:p>
    <w:p>
      <w:pPr>
        <w:spacing w:line="560" w:lineRule="exact"/>
        <w:ind w:firstLine="640" w:firstLineChars="200"/>
        <w:rPr>
          <w:rFonts w:hint="eastAsia" w:ascii="仿宋_GB2312" w:hAnsi="仿宋" w:eastAsia="仿宋_GB2312" w:cs="宋体"/>
          <w:sz w:val="32"/>
          <w:szCs w:val="32"/>
          <w:lang w:eastAsia="zh-CN"/>
        </w:rPr>
      </w:pPr>
      <w:r>
        <w:rPr>
          <w:rFonts w:hint="eastAsia" w:ascii="仿宋_GB2312" w:hAnsi="仿宋" w:eastAsia="仿宋_GB2312" w:cs="宋体"/>
          <w:sz w:val="32"/>
          <w:szCs w:val="32"/>
        </w:rPr>
        <w:t xml:space="preserve">    3.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w:t>
      </w:r>
    </w:p>
    <w:p>
      <w:pPr>
        <w:spacing w:line="560" w:lineRule="exact"/>
        <w:ind w:firstLine="640" w:firstLineChars="200"/>
        <w:rPr>
          <w:rFonts w:hint="eastAsia" w:ascii="仿宋_GB2312" w:hAnsi="仿宋" w:eastAsia="仿宋_GB2312" w:cs="宋体"/>
          <w:sz w:val="32"/>
          <w:szCs w:val="32"/>
          <w:lang w:eastAsia="zh-CN"/>
        </w:rPr>
      </w:pPr>
      <w:r>
        <w:rPr>
          <w:rFonts w:hint="eastAsia" w:ascii="仿宋_GB2312" w:hAnsi="仿宋" w:eastAsia="仿宋_GB2312" w:cs="宋体"/>
          <w:sz w:val="32"/>
          <w:szCs w:val="32"/>
        </w:rPr>
        <w:t xml:space="preserve">    4.加强民政、教育、科技、文化、卫生、计划生育、安全生产、劳动保障和乡村规划等社会管理加盟社会主义精神文明建设，做好防灾减灾工作，加强环境保护，努力改善农村人环境，不断提高农村人口素质和农民生活质量。</w:t>
      </w:r>
    </w:p>
    <w:p>
      <w:pPr>
        <w:spacing w:line="560" w:lineRule="exact"/>
        <w:ind w:firstLine="640" w:firstLineChars="200"/>
        <w:rPr>
          <w:rFonts w:hint="eastAsia" w:ascii="仿宋_GB2312" w:eastAsia="仿宋_GB2312"/>
        </w:rPr>
      </w:pPr>
      <w:r>
        <w:rPr>
          <w:rFonts w:hint="eastAsia" w:ascii="仿宋_GB2312" w:hAnsi="仿宋" w:eastAsia="仿宋_GB2312" w:cs="宋体"/>
          <w:sz w:val="32"/>
          <w:szCs w:val="32"/>
        </w:rPr>
        <w:t xml:space="preserve">    5.发展和完善农业社会化服务体系，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人民群众的关系等</w:t>
      </w:r>
      <w:r>
        <w:rPr>
          <w:rFonts w:hint="eastAsia" w:ascii="仿宋_GB2312" w:hAnsi="仿宋" w:eastAsia="仿宋_GB2312" w:cs="宋体"/>
          <w:kern w:val="0"/>
          <w:sz w:val="32"/>
          <w:szCs w:val="32"/>
          <w:lang w:val="zh-CN"/>
        </w:rPr>
        <w:t>工作</w:t>
      </w:r>
      <w:r>
        <w:rPr>
          <w:rFonts w:hint="eastAsia" w:ascii="仿宋_GB2312" w:hAnsi="仿宋" w:eastAsia="仿宋_GB2312" w:cs="宋体"/>
          <w:sz w:val="32"/>
          <w:szCs w:val="32"/>
        </w:rPr>
        <w:t>。</w:t>
      </w:r>
    </w:p>
    <w:p>
      <w:pPr>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（三）人员概况</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sz w:val="32"/>
          <w:szCs w:val="32"/>
        </w:rPr>
        <w:t>旺苍县黄洋镇人民政府下属二级预算单位0个。</w:t>
      </w:r>
      <w:r>
        <w:rPr>
          <w:rFonts w:hint="eastAsia" w:ascii="仿宋_GB2312" w:hAnsi="仿宋" w:eastAsia="仿宋_GB2312" w:cs="仿宋_GB2312"/>
          <w:sz w:val="32"/>
          <w:szCs w:val="32"/>
        </w:rPr>
        <w:t>总编制84名，其中行政编制32名，机关工勤编制2名，事业编制50名。在职人员总数59人，其中公务员28人，机关工勤人员4人，事业人员27人，退休人员30人。</w:t>
      </w:r>
    </w:p>
    <w:p>
      <w:pPr>
        <w:spacing w:line="560" w:lineRule="exact"/>
        <w:ind w:firstLine="640" w:firstLineChars="200"/>
        <w:rPr>
          <w:rFonts w:hint="eastAsia" w:ascii="黑体" w:hAnsi="黑体" w:eastAsia="黑体"/>
          <w:kern w:val="0"/>
          <w:sz w:val="32"/>
          <w:szCs w:val="32"/>
          <w:lang w:val="zh-CN"/>
        </w:rPr>
      </w:pPr>
      <w:r>
        <w:rPr>
          <w:rFonts w:hint="eastAsia" w:ascii="黑体" w:hAnsi="黑体" w:eastAsia="黑体"/>
          <w:kern w:val="0"/>
          <w:sz w:val="32"/>
          <w:szCs w:val="32"/>
          <w:lang w:val="zh-CN"/>
        </w:rPr>
        <w:t>二、部门财政资金收支情况</w:t>
      </w:r>
    </w:p>
    <w:p>
      <w:pPr>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（一）部门决策情况</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
          <w:bCs/>
          <w:sz w:val="32"/>
          <w:szCs w:val="32"/>
        </w:rPr>
        <w:t>黄洋镇人民政府2020年重点工作如下：</w:t>
      </w:r>
      <w:r>
        <w:rPr>
          <w:rFonts w:hint="eastAsia" w:ascii="仿宋_GB2312" w:hAnsi="仿宋" w:eastAsia="仿宋_GB2312" w:cs="楷体_GB2312"/>
          <w:bCs/>
          <w:sz w:val="32"/>
          <w:szCs w:val="32"/>
        </w:rPr>
        <w:t>（1）坚持常抓不懈,疫情防控有序有力。</w:t>
      </w:r>
      <w:r>
        <w:rPr>
          <w:rFonts w:hint="eastAsia" w:ascii="仿宋_GB2312" w:hAnsi="仿宋" w:eastAsia="仿宋_GB2312" w:cs="仿宋_GB2312"/>
          <w:sz w:val="32"/>
          <w:szCs w:val="32"/>
        </w:rPr>
        <w:t>严格落实县疫情防控指挥部安排部署，统筹抓实抓好疫情防控工作。</w:t>
      </w:r>
      <w:r>
        <w:rPr>
          <w:rFonts w:hint="eastAsia" w:ascii="仿宋_GB2312" w:hAnsi="仿宋" w:eastAsia="仿宋_GB2312" w:cs="楷体_GB2312"/>
          <w:bCs/>
          <w:sz w:val="32"/>
          <w:szCs w:val="32"/>
        </w:rPr>
        <w:t>（2）紧扣县委部署，两项改革全面落地。</w:t>
      </w:r>
      <w:r>
        <w:rPr>
          <w:rFonts w:hint="eastAsia" w:ascii="仿宋_GB2312" w:hAnsi="仿宋" w:eastAsia="仿宋_GB2312" w:cs="仿宋_GB2312"/>
          <w:sz w:val="32"/>
          <w:szCs w:val="32"/>
        </w:rPr>
        <w:t>科学统筹两项改革及村级党组织“一肩挑”工作，确保先后有序、衔接有效、落实有力。</w:t>
      </w:r>
      <w:r>
        <w:rPr>
          <w:rFonts w:hint="eastAsia" w:ascii="仿宋_GB2312" w:hAnsi="仿宋" w:eastAsia="仿宋_GB2312" w:cs="楷体_GB2312"/>
          <w:bCs/>
          <w:sz w:val="32"/>
          <w:szCs w:val="32"/>
        </w:rPr>
        <w:t>（3）抓牢关键环节，脱贫攻坚稳扎稳打。</w:t>
      </w:r>
      <w:r>
        <w:rPr>
          <w:rFonts w:hint="eastAsia" w:ascii="仿宋_GB2312" w:hAnsi="仿宋" w:eastAsia="仿宋_GB2312" w:cs="仿宋_GB2312"/>
          <w:sz w:val="32"/>
          <w:szCs w:val="32"/>
        </w:rPr>
        <w:t>始终把脱贫攻坚工作放在第一位推进,注重成果、成效、成色梯次巩固提升。</w:t>
      </w:r>
      <w:r>
        <w:rPr>
          <w:rFonts w:hint="eastAsia" w:ascii="仿宋_GB2312" w:hAnsi="仿宋" w:eastAsia="仿宋_GB2312" w:cs="仿宋_GB2312"/>
          <w:bCs/>
          <w:sz w:val="32"/>
          <w:szCs w:val="32"/>
        </w:rPr>
        <w:t>一是</w:t>
      </w:r>
      <w:r>
        <w:rPr>
          <w:rFonts w:hint="eastAsia" w:ascii="仿宋_GB2312" w:hAnsi="仿宋" w:eastAsia="仿宋_GB2312" w:cs="仿宋_GB2312"/>
          <w:sz w:val="32"/>
          <w:szCs w:val="32"/>
        </w:rPr>
        <w:t>锁定工作目标，攻克贫困最后堡垒。持续压实</w:t>
      </w:r>
      <w:r>
        <w:rPr>
          <w:rFonts w:hint="eastAsia" w:ascii="仿宋_GB2312" w:hAnsi="仿宋" w:eastAsia="仿宋_GB2312"/>
          <w:color w:val="000000"/>
          <w:sz w:val="32"/>
          <w:szCs w:val="32"/>
        </w:rPr>
        <w:t>3个退出贫困村和已脱贫846户2388人巩固提升工作，截至2020年底，实现了全部贫困人口的达标脱贫（2020年脱贫8户20名）；</w:t>
      </w:r>
      <w:r>
        <w:rPr>
          <w:rFonts w:hint="eastAsia" w:ascii="仿宋_GB2312" w:hAnsi="仿宋" w:eastAsia="仿宋_GB2312"/>
          <w:bCs/>
          <w:color w:val="000000"/>
          <w:sz w:val="32"/>
          <w:szCs w:val="32"/>
        </w:rPr>
        <w:t>二是</w:t>
      </w:r>
      <w:r>
        <w:rPr>
          <w:rFonts w:hint="eastAsia" w:ascii="仿宋_GB2312" w:hAnsi="仿宋" w:eastAsia="仿宋_GB2312"/>
          <w:color w:val="000000"/>
          <w:sz w:val="32"/>
          <w:szCs w:val="32"/>
        </w:rPr>
        <w:t>严格对标国家普查要点，</w:t>
      </w:r>
      <w:r>
        <w:rPr>
          <w:rFonts w:hint="eastAsia" w:ascii="仿宋_GB2312" w:hAnsi="仿宋" w:eastAsia="仿宋_GB2312"/>
          <w:sz w:val="32"/>
          <w:szCs w:val="32"/>
        </w:rPr>
        <w:t>全面整改补齐脱贫短板</w:t>
      </w:r>
      <w:r>
        <w:rPr>
          <w:rFonts w:hint="eastAsia" w:ascii="仿宋_GB2312" w:hAnsi="仿宋" w:eastAsia="仿宋_GB2312"/>
          <w:color w:val="000000"/>
          <w:sz w:val="32"/>
          <w:szCs w:val="32"/>
        </w:rPr>
        <w:t>。</w:t>
      </w:r>
      <w:r>
        <w:rPr>
          <w:rFonts w:hint="eastAsia" w:ascii="仿宋_GB2312" w:hAnsi="仿宋" w:eastAsia="仿宋_GB2312"/>
          <w:sz w:val="32"/>
          <w:szCs w:val="32"/>
        </w:rPr>
        <w:t>扎实开展两轮模拟普查，持续整改普查问题61项。省普查组对黄洋摸底清查工作给予高度肯定。</w:t>
      </w:r>
      <w:r>
        <w:rPr>
          <w:rFonts w:hint="eastAsia" w:ascii="仿宋_GB2312" w:hAnsi="仿宋" w:eastAsia="仿宋_GB2312"/>
          <w:bCs/>
          <w:color w:val="000000"/>
          <w:sz w:val="32"/>
          <w:szCs w:val="32"/>
        </w:rPr>
        <w:t>三是</w:t>
      </w:r>
      <w:r>
        <w:rPr>
          <w:rFonts w:hint="eastAsia" w:ascii="仿宋_GB2312" w:hAnsi="仿宋" w:eastAsia="仿宋_GB2312"/>
          <w:sz w:val="32"/>
          <w:szCs w:val="32"/>
        </w:rPr>
        <w:t>逐步完善扶贫产业配套，夯实持续增收基础。围绕黄茶产业示范园</w:t>
      </w:r>
      <w:r>
        <w:rPr>
          <w:rFonts w:hint="eastAsia" w:ascii="仿宋_GB2312" w:hAnsi="仿宋" w:eastAsia="仿宋_GB2312"/>
          <w:bCs/>
          <w:color w:val="000000"/>
          <w:sz w:val="32"/>
          <w:szCs w:val="32"/>
        </w:rPr>
        <w:t>，购置水泵等配套设备20套、铺设管网8000米，陆续投入6000工日强化茶园管护。科学规划“五小短产业”，有效抵御新冠疫情影响。</w:t>
      </w:r>
      <w:r>
        <w:rPr>
          <w:rFonts w:hint="eastAsia" w:ascii="仿宋_GB2312" w:hAnsi="仿宋" w:eastAsia="仿宋_GB2312"/>
          <w:sz w:val="32"/>
          <w:szCs w:val="32"/>
        </w:rPr>
        <w:t>扶贫项目全面落地，</w:t>
      </w:r>
      <w:r>
        <w:rPr>
          <w:rFonts w:hint="eastAsia" w:ascii="仿宋_GB2312" w:hAnsi="仿宋" w:eastAsia="仿宋_GB2312" w:cs="仿宋_GB2312"/>
          <w:sz w:val="32"/>
          <w:szCs w:val="32"/>
        </w:rPr>
        <w:t>有序完善资金报账。</w:t>
      </w:r>
      <w:r>
        <w:rPr>
          <w:rFonts w:hint="eastAsia" w:ascii="仿宋_GB2312" w:hAnsi="仿宋" w:eastAsia="仿宋_GB2312"/>
          <w:sz w:val="32"/>
          <w:szCs w:val="32"/>
        </w:rPr>
        <w:t>全镇23个项目6月底已全面竣工，高标准建成东西部扶贫协作项目茶叶加工厂及花椒扶贫车间。</w:t>
      </w:r>
      <w:r>
        <w:rPr>
          <w:rFonts w:hint="eastAsia" w:ascii="仿宋_GB2312" w:hAnsi="仿宋" w:eastAsia="仿宋_GB2312" w:cs="楷体_GB2312"/>
          <w:bCs/>
          <w:sz w:val="32"/>
          <w:szCs w:val="32"/>
        </w:rPr>
        <w:t>（4）紧绷安全意识，筑牢群众安全防线。（5）聚焦关键难点，镇域环境明显改善。（6）围绕项目建设，夯实乡村振兴基础。（7）强化“一线指挥”，基层党建提质聚力。</w:t>
      </w:r>
    </w:p>
    <w:p>
      <w:pPr>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(二)部门财政资金收入情况</w:t>
      </w:r>
    </w:p>
    <w:p>
      <w:pPr>
        <w:spacing w:line="560" w:lineRule="exact"/>
        <w:ind w:firstLine="640" w:firstLineChars="200"/>
        <w:rPr>
          <w:rFonts w:hint="eastAsia" w:ascii="仿宋_GB2312" w:hAnsi="仿宋" w:eastAsia="仿宋_GB2312" w:cs="仿宋_GB2312"/>
          <w:b/>
          <w:sz w:val="32"/>
          <w:szCs w:val="32"/>
        </w:rPr>
      </w:pPr>
      <w:r>
        <w:rPr>
          <w:rFonts w:hint="eastAsia" w:ascii="仿宋_GB2312" w:hAnsi="仿宋" w:eastAsia="仿宋_GB2312"/>
          <w:sz w:val="32"/>
          <w:szCs w:val="32"/>
        </w:rPr>
        <w:t>2020年黄洋镇人民政府</w:t>
      </w:r>
      <w:r>
        <w:rPr>
          <w:rFonts w:hint="eastAsia" w:ascii="仿宋_GB2312" w:hAnsi="仿宋" w:eastAsia="仿宋_GB2312" w:cs="仿宋_GB2312"/>
          <w:color w:val="000000"/>
          <w:sz w:val="32"/>
          <w:szCs w:val="32"/>
        </w:rPr>
        <w:t>本年收入合计1241.92万元，其中：一般公共预算财政拨款收入1241.42万元，占99.96%；政府性基金预算财政拨款收入0.5万元，占0.04%；国有资本经营预算财政拨款收入0万元，占0%；事业收入0万元，占0%；经营收入0万元，占0%；附属单位上缴收入0万元，占0%；其他收入0万元，占0%。</w:t>
      </w:r>
      <w:r>
        <w:rPr>
          <w:rFonts w:hint="eastAsia" w:ascii="仿宋_GB2312" w:hAnsi="仿宋" w:eastAsia="仿宋_GB2312"/>
          <w:sz w:val="32"/>
          <w:szCs w:val="32"/>
        </w:rPr>
        <w:t>上年结转153.7万元，具体情况见表1-1：</w:t>
      </w:r>
    </w:p>
    <w:p>
      <w:pPr>
        <w:pStyle w:val="19"/>
        <w:spacing w:after="0"/>
        <w:ind w:firstLine="562" w:firstLineChars="200"/>
        <w:rPr>
          <w:sz w:val="28"/>
        </w:rPr>
      </w:pPr>
      <w:r>
        <w:rPr>
          <w:rFonts w:hint="eastAsia"/>
          <w:sz w:val="28"/>
        </w:rPr>
        <w:t>表1</w:t>
      </w:r>
      <w:r>
        <w:rPr>
          <w:sz w:val="28"/>
        </w:rPr>
        <w:t>-</w:t>
      </w:r>
      <w:r>
        <w:rPr>
          <w:rFonts w:hint="eastAsia"/>
          <w:sz w:val="28"/>
        </w:rPr>
        <w:t>1  2020</w:t>
      </w:r>
      <w:r>
        <w:rPr>
          <w:sz w:val="28"/>
        </w:rPr>
        <w:t>年</w:t>
      </w:r>
      <w:r>
        <w:rPr>
          <w:rFonts w:hint="eastAsia"/>
          <w:sz w:val="28"/>
        </w:rPr>
        <w:t>黄洋镇人民政府</w:t>
      </w:r>
      <w:r>
        <w:rPr>
          <w:sz w:val="28"/>
        </w:rPr>
        <w:t>收入预决算情况表</w:t>
      </w:r>
    </w:p>
    <w:p>
      <w:pPr>
        <w:pStyle w:val="19"/>
        <w:spacing w:after="0"/>
        <w:ind w:right="480" w:firstLine="482" w:firstLineChars="200"/>
      </w:pPr>
      <w:r>
        <w:rPr>
          <w:rFonts w:hint="eastAsia"/>
        </w:rPr>
        <w:t xml:space="preserve">                                              单位</w:t>
      </w:r>
      <w:r>
        <w:t>：万元</w:t>
      </w:r>
    </w:p>
    <w:tbl>
      <w:tblPr>
        <w:tblStyle w:val="12"/>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3"/>
        <w:gridCol w:w="1709"/>
        <w:gridCol w:w="2209"/>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trPr>
        <w:tc>
          <w:tcPr>
            <w:tcW w:w="3463" w:type="dxa"/>
            <w:noWrap w:val="0"/>
            <w:vAlign w:val="center"/>
          </w:tcPr>
          <w:p>
            <w:pPr>
              <w:pStyle w:val="20"/>
              <w:ind w:firstLine="440" w:firstLineChars="200"/>
              <w:rPr>
                <w:rFonts w:ascii="宋体" w:hAnsi="宋体" w:eastAsia="宋体"/>
                <w:color w:val="auto"/>
              </w:rPr>
            </w:pPr>
          </w:p>
        </w:tc>
        <w:tc>
          <w:tcPr>
            <w:tcW w:w="1709" w:type="dxa"/>
            <w:noWrap w:val="0"/>
            <w:vAlign w:val="center"/>
          </w:tcPr>
          <w:p>
            <w:pPr>
              <w:pStyle w:val="20"/>
              <w:rPr>
                <w:rFonts w:ascii="宋体" w:hAnsi="宋体" w:eastAsia="宋体"/>
                <w:b/>
                <w:bCs w:val="0"/>
                <w:color w:val="auto"/>
              </w:rPr>
            </w:pPr>
            <w:r>
              <w:rPr>
                <w:rFonts w:hint="eastAsia" w:ascii="宋体" w:hAnsi="宋体" w:eastAsia="宋体"/>
                <w:b/>
                <w:bCs w:val="0"/>
                <w:color w:val="auto"/>
              </w:rPr>
              <w:t>收入预算数</w:t>
            </w:r>
          </w:p>
        </w:tc>
        <w:tc>
          <w:tcPr>
            <w:tcW w:w="2209" w:type="dxa"/>
            <w:noWrap w:val="0"/>
            <w:vAlign w:val="center"/>
          </w:tcPr>
          <w:p>
            <w:pPr>
              <w:pStyle w:val="20"/>
              <w:rPr>
                <w:rFonts w:ascii="宋体" w:hAnsi="宋体" w:eastAsia="宋体"/>
                <w:b/>
                <w:bCs w:val="0"/>
                <w:color w:val="auto"/>
              </w:rPr>
            </w:pPr>
            <w:r>
              <w:rPr>
                <w:rFonts w:hint="eastAsia" w:ascii="宋体" w:hAnsi="宋体" w:eastAsia="宋体"/>
                <w:b/>
                <w:bCs w:val="0"/>
                <w:color w:val="auto"/>
              </w:rPr>
              <w:t>收入调整数</w:t>
            </w:r>
          </w:p>
        </w:tc>
        <w:tc>
          <w:tcPr>
            <w:tcW w:w="1886" w:type="dxa"/>
            <w:noWrap w:val="0"/>
            <w:vAlign w:val="center"/>
          </w:tcPr>
          <w:p>
            <w:pPr>
              <w:pStyle w:val="20"/>
              <w:rPr>
                <w:rFonts w:ascii="宋体" w:hAnsi="宋体" w:eastAsia="宋体"/>
                <w:b/>
                <w:bCs w:val="0"/>
                <w:color w:val="auto"/>
              </w:rPr>
            </w:pPr>
            <w:r>
              <w:rPr>
                <w:rFonts w:hint="eastAsia" w:ascii="宋体" w:hAnsi="宋体" w:eastAsia="宋体"/>
                <w:b/>
                <w:bCs w:val="0"/>
                <w:color w:val="auto"/>
              </w:rPr>
              <w:t>收入决算数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463" w:type="dxa"/>
            <w:noWrap w:val="0"/>
            <w:vAlign w:val="center"/>
          </w:tcPr>
          <w:p>
            <w:pPr>
              <w:pStyle w:val="20"/>
              <w:rPr>
                <w:rFonts w:ascii="宋体" w:hAnsi="宋体" w:eastAsia="宋体"/>
                <w:color w:val="auto"/>
              </w:rPr>
            </w:pPr>
            <w:r>
              <w:rPr>
                <w:rFonts w:hint="eastAsia" w:ascii="宋体" w:hAnsi="宋体" w:eastAsia="宋体"/>
                <w:color w:val="auto"/>
              </w:rPr>
              <w:t>一般公共预算财政拨款收入</w:t>
            </w:r>
          </w:p>
        </w:tc>
        <w:tc>
          <w:tcPr>
            <w:tcW w:w="1709"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873.06</w:t>
            </w:r>
          </w:p>
        </w:tc>
        <w:tc>
          <w:tcPr>
            <w:tcW w:w="2209"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1241.42</w:t>
            </w:r>
          </w:p>
        </w:tc>
        <w:tc>
          <w:tcPr>
            <w:tcW w:w="1886"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1241.42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463" w:type="dxa"/>
            <w:noWrap w:val="0"/>
            <w:vAlign w:val="center"/>
          </w:tcPr>
          <w:p>
            <w:pPr>
              <w:pStyle w:val="20"/>
              <w:rPr>
                <w:rFonts w:ascii="宋体" w:hAnsi="宋体" w:eastAsia="宋体"/>
                <w:color w:val="auto"/>
              </w:rPr>
            </w:pPr>
            <w:r>
              <w:rPr>
                <w:rFonts w:hint="eastAsia" w:ascii="宋体" w:hAnsi="宋体" w:eastAsia="宋体"/>
                <w:color w:val="auto"/>
              </w:rPr>
              <w:t>政府性基金预算财政拨款收入</w:t>
            </w:r>
          </w:p>
        </w:tc>
        <w:tc>
          <w:tcPr>
            <w:tcW w:w="1709" w:type="dxa"/>
            <w:noWrap w:val="0"/>
            <w:vAlign w:val="center"/>
          </w:tcPr>
          <w:p>
            <w:pPr>
              <w:pStyle w:val="20"/>
              <w:ind w:firstLine="440" w:firstLineChars="200"/>
              <w:rPr>
                <w:rFonts w:ascii="宋体" w:hAnsi="宋体" w:eastAsia="宋体"/>
                <w:color w:val="auto"/>
                <w:lang w:val="en-US"/>
              </w:rPr>
            </w:pPr>
          </w:p>
        </w:tc>
        <w:tc>
          <w:tcPr>
            <w:tcW w:w="2209"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0.5</w:t>
            </w:r>
          </w:p>
        </w:tc>
        <w:tc>
          <w:tcPr>
            <w:tcW w:w="1886"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463" w:type="dxa"/>
            <w:noWrap w:val="0"/>
            <w:vAlign w:val="center"/>
          </w:tcPr>
          <w:p>
            <w:pPr>
              <w:pStyle w:val="20"/>
              <w:ind w:firstLine="440" w:firstLineChars="200"/>
              <w:rPr>
                <w:rFonts w:ascii="宋体" w:hAnsi="宋体" w:eastAsia="宋体"/>
                <w:color w:val="auto"/>
              </w:rPr>
            </w:pPr>
            <w:r>
              <w:rPr>
                <w:rFonts w:hint="eastAsia" w:ascii="宋体" w:hAnsi="宋体" w:eastAsia="宋体"/>
                <w:color w:val="auto"/>
              </w:rPr>
              <w:t>经营收入</w:t>
            </w:r>
          </w:p>
        </w:tc>
        <w:tc>
          <w:tcPr>
            <w:tcW w:w="1709" w:type="dxa"/>
            <w:noWrap w:val="0"/>
            <w:vAlign w:val="center"/>
          </w:tcPr>
          <w:p>
            <w:pPr>
              <w:pStyle w:val="20"/>
              <w:ind w:firstLine="440" w:firstLineChars="200"/>
              <w:rPr>
                <w:rFonts w:ascii="宋体" w:hAnsi="宋体" w:eastAsia="宋体"/>
                <w:color w:val="auto"/>
              </w:rPr>
            </w:pPr>
          </w:p>
        </w:tc>
        <w:tc>
          <w:tcPr>
            <w:tcW w:w="2209" w:type="dxa"/>
            <w:noWrap w:val="0"/>
            <w:vAlign w:val="center"/>
          </w:tcPr>
          <w:p>
            <w:pPr>
              <w:pStyle w:val="20"/>
              <w:ind w:firstLine="440" w:firstLineChars="200"/>
              <w:rPr>
                <w:rFonts w:ascii="宋体" w:hAnsi="宋体" w:eastAsia="宋体"/>
                <w:color w:val="auto"/>
              </w:rPr>
            </w:pPr>
          </w:p>
        </w:tc>
        <w:tc>
          <w:tcPr>
            <w:tcW w:w="1886" w:type="dxa"/>
            <w:noWrap w:val="0"/>
            <w:vAlign w:val="center"/>
          </w:tcPr>
          <w:p>
            <w:pPr>
              <w:pStyle w:val="20"/>
              <w:ind w:firstLine="440" w:firstLineChars="200"/>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463" w:type="dxa"/>
            <w:noWrap w:val="0"/>
            <w:vAlign w:val="center"/>
          </w:tcPr>
          <w:p>
            <w:pPr>
              <w:pStyle w:val="20"/>
              <w:ind w:firstLine="440" w:firstLineChars="200"/>
              <w:rPr>
                <w:rFonts w:ascii="宋体" w:hAnsi="宋体" w:eastAsia="宋体"/>
                <w:color w:val="auto"/>
              </w:rPr>
            </w:pPr>
            <w:r>
              <w:rPr>
                <w:rFonts w:hint="eastAsia" w:ascii="宋体" w:hAnsi="宋体" w:eastAsia="宋体"/>
                <w:color w:val="auto"/>
              </w:rPr>
              <w:t>其他收入</w:t>
            </w:r>
          </w:p>
        </w:tc>
        <w:tc>
          <w:tcPr>
            <w:tcW w:w="1709" w:type="dxa"/>
            <w:noWrap w:val="0"/>
            <w:vAlign w:val="center"/>
          </w:tcPr>
          <w:p>
            <w:pPr>
              <w:pStyle w:val="20"/>
              <w:ind w:firstLine="440" w:firstLineChars="200"/>
              <w:rPr>
                <w:rFonts w:ascii="宋体" w:hAnsi="宋体" w:eastAsia="宋体"/>
                <w:color w:val="auto"/>
              </w:rPr>
            </w:pPr>
          </w:p>
        </w:tc>
        <w:tc>
          <w:tcPr>
            <w:tcW w:w="2209" w:type="dxa"/>
            <w:noWrap w:val="0"/>
            <w:vAlign w:val="center"/>
          </w:tcPr>
          <w:p>
            <w:pPr>
              <w:pStyle w:val="20"/>
              <w:ind w:firstLine="440" w:firstLineChars="200"/>
              <w:rPr>
                <w:rFonts w:ascii="宋体" w:hAnsi="宋体" w:eastAsia="宋体"/>
                <w:color w:val="auto"/>
              </w:rPr>
            </w:pPr>
          </w:p>
        </w:tc>
        <w:tc>
          <w:tcPr>
            <w:tcW w:w="1886" w:type="dxa"/>
            <w:noWrap w:val="0"/>
            <w:vAlign w:val="center"/>
          </w:tcPr>
          <w:p>
            <w:pPr>
              <w:pStyle w:val="20"/>
              <w:ind w:firstLine="440" w:firstLineChars="200"/>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463" w:type="dxa"/>
            <w:noWrap w:val="0"/>
            <w:vAlign w:val="center"/>
          </w:tcPr>
          <w:p>
            <w:pPr>
              <w:pStyle w:val="20"/>
              <w:ind w:firstLine="440" w:firstLineChars="200"/>
              <w:rPr>
                <w:rFonts w:ascii="宋体" w:hAnsi="宋体" w:eastAsia="宋体"/>
                <w:color w:val="auto"/>
              </w:rPr>
            </w:pPr>
            <w:r>
              <w:rPr>
                <w:rFonts w:hint="eastAsia" w:ascii="宋体" w:hAnsi="宋体" w:eastAsia="宋体"/>
                <w:color w:val="auto"/>
              </w:rPr>
              <w:t>年初</w:t>
            </w:r>
            <w:r>
              <w:rPr>
                <w:rFonts w:ascii="宋体" w:hAnsi="宋体" w:eastAsia="宋体"/>
                <w:color w:val="auto"/>
              </w:rPr>
              <w:t>结转结余</w:t>
            </w:r>
          </w:p>
        </w:tc>
        <w:tc>
          <w:tcPr>
            <w:tcW w:w="1709"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109.97</w:t>
            </w:r>
          </w:p>
        </w:tc>
        <w:tc>
          <w:tcPr>
            <w:tcW w:w="2209"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153.7</w:t>
            </w:r>
          </w:p>
        </w:tc>
        <w:tc>
          <w:tcPr>
            <w:tcW w:w="1886" w:type="dxa"/>
            <w:noWrap w:val="0"/>
            <w:vAlign w:val="center"/>
          </w:tcPr>
          <w:p>
            <w:pPr>
              <w:pStyle w:val="20"/>
              <w:ind w:firstLine="440" w:firstLineChars="200"/>
              <w:rPr>
                <w:rFonts w:ascii="宋体" w:hAnsi="宋体" w:eastAsia="宋体"/>
                <w:color w:val="auto"/>
                <w:lang w:val="en-US"/>
              </w:rPr>
            </w:pPr>
            <w:r>
              <w:rPr>
                <w:rFonts w:hint="eastAsia" w:ascii="宋体" w:hAnsi="宋体" w:eastAsia="宋体"/>
                <w:color w:val="auto"/>
                <w:lang w:val="en-US"/>
              </w:rPr>
              <w:t>153.7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463" w:type="dxa"/>
            <w:noWrap w:val="0"/>
            <w:vAlign w:val="center"/>
          </w:tcPr>
          <w:p>
            <w:pPr>
              <w:pStyle w:val="20"/>
              <w:ind w:firstLine="442" w:firstLineChars="200"/>
              <w:rPr>
                <w:rFonts w:ascii="宋体" w:hAnsi="宋体" w:eastAsia="宋体"/>
                <w:b/>
                <w:bCs w:val="0"/>
                <w:color w:val="auto"/>
              </w:rPr>
            </w:pPr>
            <w:r>
              <w:rPr>
                <w:rFonts w:hint="eastAsia" w:ascii="宋体" w:hAnsi="宋体" w:eastAsia="宋体"/>
                <w:b/>
                <w:bCs w:val="0"/>
                <w:color w:val="auto"/>
              </w:rPr>
              <w:t>合计</w:t>
            </w:r>
          </w:p>
        </w:tc>
        <w:tc>
          <w:tcPr>
            <w:tcW w:w="1709" w:type="dxa"/>
            <w:noWrap w:val="0"/>
            <w:vAlign w:val="center"/>
          </w:tcPr>
          <w:p>
            <w:pPr>
              <w:pStyle w:val="20"/>
              <w:ind w:firstLine="442" w:firstLineChars="200"/>
              <w:rPr>
                <w:rFonts w:ascii="宋体" w:hAnsi="宋体" w:eastAsia="宋体"/>
                <w:b/>
                <w:bCs w:val="0"/>
                <w:color w:val="auto"/>
                <w:lang w:val="en-US"/>
              </w:rPr>
            </w:pPr>
            <w:r>
              <w:rPr>
                <w:rFonts w:hint="eastAsia" w:ascii="宋体" w:hAnsi="宋体" w:eastAsia="宋体"/>
                <w:b/>
                <w:bCs w:val="0"/>
                <w:color w:val="auto"/>
                <w:lang w:val="en-US"/>
              </w:rPr>
              <w:t>983.03</w:t>
            </w:r>
          </w:p>
        </w:tc>
        <w:tc>
          <w:tcPr>
            <w:tcW w:w="2209" w:type="dxa"/>
            <w:noWrap w:val="0"/>
            <w:vAlign w:val="center"/>
          </w:tcPr>
          <w:p>
            <w:pPr>
              <w:pStyle w:val="20"/>
              <w:ind w:firstLine="442" w:firstLineChars="200"/>
              <w:rPr>
                <w:rFonts w:ascii="宋体" w:hAnsi="宋体" w:eastAsia="宋体"/>
                <w:b/>
                <w:bCs w:val="0"/>
                <w:color w:val="auto"/>
                <w:lang w:val="en-US"/>
              </w:rPr>
            </w:pPr>
            <w:r>
              <w:rPr>
                <w:rFonts w:hint="eastAsia" w:ascii="宋体" w:hAnsi="宋体" w:eastAsia="宋体"/>
                <w:b/>
                <w:bCs w:val="0"/>
                <w:color w:val="auto"/>
                <w:lang w:val="en-US"/>
              </w:rPr>
              <w:t>1395.62</w:t>
            </w:r>
          </w:p>
        </w:tc>
        <w:tc>
          <w:tcPr>
            <w:tcW w:w="1886" w:type="dxa"/>
            <w:noWrap w:val="0"/>
            <w:vAlign w:val="center"/>
          </w:tcPr>
          <w:p>
            <w:pPr>
              <w:pStyle w:val="20"/>
              <w:ind w:firstLine="442" w:firstLineChars="200"/>
              <w:rPr>
                <w:rFonts w:ascii="宋体" w:hAnsi="宋体" w:eastAsia="宋体"/>
                <w:b/>
                <w:bCs w:val="0"/>
                <w:color w:val="auto"/>
                <w:lang w:val="en-US"/>
              </w:rPr>
            </w:pPr>
            <w:r>
              <w:rPr>
                <w:rFonts w:hint="eastAsia" w:ascii="宋体" w:hAnsi="宋体" w:eastAsia="宋体"/>
                <w:b/>
                <w:bCs w:val="0"/>
                <w:color w:val="auto"/>
                <w:lang w:val="en-US"/>
              </w:rPr>
              <w:t>1395.62</w:t>
            </w:r>
          </w:p>
        </w:tc>
      </w:tr>
    </w:tbl>
    <w:p>
      <w:pPr>
        <w:tabs>
          <w:tab w:val="left" w:pos="1265"/>
        </w:tabs>
        <w:spacing w:line="560" w:lineRule="exact"/>
        <w:ind w:firstLine="315" w:firstLineChars="98"/>
        <w:rPr>
          <w:rFonts w:hint="eastAsia" w:ascii="楷体_GB2312" w:eastAsia="楷体_GB2312"/>
          <w:b/>
          <w:sz w:val="32"/>
          <w:szCs w:val="32"/>
        </w:rPr>
      </w:pPr>
    </w:p>
    <w:p>
      <w:pPr>
        <w:tabs>
          <w:tab w:val="left" w:pos="1265"/>
        </w:tabs>
        <w:spacing w:line="560" w:lineRule="exact"/>
        <w:ind w:firstLine="315" w:firstLineChars="98"/>
        <w:rPr>
          <w:rFonts w:ascii="楷体_GB2312" w:eastAsia="楷体_GB2312"/>
          <w:b/>
          <w:sz w:val="32"/>
          <w:szCs w:val="32"/>
        </w:rPr>
      </w:pPr>
      <w:r>
        <w:rPr>
          <w:rFonts w:hint="eastAsia" w:ascii="楷体_GB2312" w:eastAsia="楷体_GB2312"/>
          <w:b/>
          <w:sz w:val="32"/>
          <w:szCs w:val="32"/>
        </w:rPr>
        <w:t>（三）部门财政资金支出情况</w:t>
      </w:r>
    </w:p>
    <w:p>
      <w:pPr>
        <w:pStyle w:val="22"/>
        <w:rPr>
          <w:lang w:val="en-US"/>
        </w:rPr>
      </w:pPr>
      <w:r>
        <w:rPr>
          <w:rFonts w:hint="eastAsia"/>
          <w:lang w:val="en-US"/>
        </w:rPr>
        <w:t>2</w:t>
      </w:r>
      <w:r>
        <w:rPr>
          <w:rFonts w:hint="eastAsia"/>
        </w:rPr>
        <w:t>020年黄洋镇人民政府支出合计1058.18万元，其中：基本支出969.6万元，占91.63%；项目支出88.58万元，占8.37%；上缴上级支出0万元，占0%；经营支出0万元，占0%；对附属单位补助支出0万元，占0%；年末结转结余337.44万元。年初支出预算数为</w:t>
      </w:r>
      <w:r>
        <w:rPr>
          <w:rFonts w:hint="eastAsia"/>
          <w:lang w:val="en-US"/>
        </w:rPr>
        <w:t>983.03</w:t>
      </w:r>
      <w:r>
        <w:rPr>
          <w:rFonts w:hint="eastAsia"/>
        </w:rPr>
        <w:t>万元，支出调整预算数为</w:t>
      </w:r>
      <w:r>
        <w:rPr>
          <w:rFonts w:hint="eastAsia"/>
          <w:lang w:val="en-US"/>
        </w:rPr>
        <w:t>1395.62</w:t>
      </w:r>
      <w:r>
        <w:t>万元，</w:t>
      </w:r>
      <w:r>
        <w:rPr>
          <w:rFonts w:hint="eastAsia"/>
        </w:rPr>
        <w:t>支出</w:t>
      </w:r>
      <w:r>
        <w:t>决算数为</w:t>
      </w:r>
      <w:r>
        <w:rPr>
          <w:rFonts w:hint="eastAsia"/>
          <w:lang w:val="en-US"/>
        </w:rPr>
        <w:t>1395.62</w:t>
      </w:r>
      <w:r>
        <w:t>万元</w:t>
      </w:r>
      <w:r>
        <w:rPr>
          <w:rFonts w:hint="eastAsia"/>
        </w:rPr>
        <w:t>。具体情况见表</w:t>
      </w:r>
      <w:r>
        <w:rPr>
          <w:rFonts w:hint="eastAsia"/>
          <w:lang w:val="en-US"/>
        </w:rPr>
        <w:t>1</w:t>
      </w:r>
      <w:r>
        <w:rPr>
          <w:rFonts w:hint="eastAsia"/>
        </w:rPr>
        <w:t>-2</w:t>
      </w:r>
      <w:r>
        <w:rPr>
          <w:rFonts w:hint="eastAsia"/>
          <w:lang w:val="en-US"/>
        </w:rPr>
        <w:t>：</w:t>
      </w:r>
    </w:p>
    <w:p>
      <w:pPr>
        <w:pStyle w:val="19"/>
        <w:spacing w:after="0"/>
        <w:ind w:firstLine="482" w:firstLineChars="200"/>
      </w:pPr>
      <w:r>
        <w:rPr>
          <w:rFonts w:hint="eastAsia"/>
        </w:rPr>
        <w:t>表1</w:t>
      </w:r>
      <w:r>
        <w:t>-</w:t>
      </w:r>
      <w:r>
        <w:rPr>
          <w:rFonts w:hint="eastAsia"/>
        </w:rPr>
        <w:t>2  2020</w:t>
      </w:r>
      <w:r>
        <w:t>年</w:t>
      </w:r>
      <w:r>
        <w:rPr>
          <w:rFonts w:hint="eastAsia"/>
        </w:rPr>
        <w:t>黄洋镇人民政府支出</w:t>
      </w:r>
      <w:r>
        <w:t>预决算情况表</w:t>
      </w:r>
    </w:p>
    <w:p>
      <w:pPr>
        <w:pStyle w:val="19"/>
        <w:spacing w:after="0"/>
        <w:ind w:firstLine="482" w:firstLineChars="200"/>
        <w:jc w:val="right"/>
      </w:pPr>
      <w:r>
        <w:rPr>
          <w:rFonts w:hint="eastAsia"/>
        </w:rPr>
        <w:t>单位</w:t>
      </w:r>
      <w:r>
        <w:t>：万元</w:t>
      </w:r>
    </w:p>
    <w:tbl>
      <w:tblPr>
        <w:tblStyle w:val="12"/>
        <w:tblW w:w="8939"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2233"/>
        <w:gridCol w:w="2236"/>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blHeader/>
        </w:trPr>
        <w:tc>
          <w:tcPr>
            <w:tcW w:w="2234" w:type="dxa"/>
            <w:noWrap w:val="0"/>
            <w:vAlign w:val="top"/>
          </w:tcPr>
          <w:p>
            <w:pPr>
              <w:pStyle w:val="20"/>
              <w:ind w:firstLine="440" w:firstLineChars="200"/>
              <w:rPr>
                <w:color w:val="auto"/>
              </w:rPr>
            </w:pPr>
          </w:p>
        </w:tc>
        <w:tc>
          <w:tcPr>
            <w:tcW w:w="2233" w:type="dxa"/>
            <w:noWrap w:val="0"/>
            <w:vAlign w:val="top"/>
          </w:tcPr>
          <w:p>
            <w:pPr>
              <w:pStyle w:val="20"/>
              <w:ind w:firstLine="442" w:firstLineChars="200"/>
              <w:rPr>
                <w:b/>
                <w:color w:val="auto"/>
              </w:rPr>
            </w:pPr>
            <w:r>
              <w:rPr>
                <w:rFonts w:hint="eastAsia"/>
                <w:b/>
                <w:color w:val="auto"/>
              </w:rPr>
              <w:t>支出</w:t>
            </w:r>
            <w:r>
              <w:rPr>
                <w:b/>
                <w:color w:val="auto"/>
              </w:rPr>
              <w:t>预算数</w:t>
            </w:r>
          </w:p>
        </w:tc>
        <w:tc>
          <w:tcPr>
            <w:tcW w:w="2236" w:type="dxa"/>
            <w:noWrap w:val="0"/>
            <w:vAlign w:val="top"/>
          </w:tcPr>
          <w:p>
            <w:pPr>
              <w:pStyle w:val="20"/>
              <w:ind w:firstLine="442" w:firstLineChars="200"/>
              <w:rPr>
                <w:b/>
                <w:color w:val="auto"/>
              </w:rPr>
            </w:pPr>
            <w:r>
              <w:rPr>
                <w:rFonts w:hint="eastAsia"/>
                <w:b/>
                <w:color w:val="auto"/>
              </w:rPr>
              <w:t>支出</w:t>
            </w:r>
            <w:r>
              <w:rPr>
                <w:b/>
                <w:color w:val="auto"/>
              </w:rPr>
              <w:t>调整数</w:t>
            </w:r>
          </w:p>
        </w:tc>
        <w:tc>
          <w:tcPr>
            <w:tcW w:w="2236" w:type="dxa"/>
            <w:noWrap w:val="0"/>
            <w:vAlign w:val="top"/>
          </w:tcPr>
          <w:p>
            <w:pPr>
              <w:pStyle w:val="20"/>
              <w:ind w:firstLine="442" w:firstLineChars="200"/>
              <w:rPr>
                <w:b/>
                <w:color w:val="auto"/>
              </w:rPr>
            </w:pPr>
            <w:r>
              <w:rPr>
                <w:rFonts w:hint="eastAsia"/>
                <w:b/>
                <w:color w:val="auto"/>
              </w:rPr>
              <w:t>支出</w:t>
            </w:r>
            <w:r>
              <w:rPr>
                <w:b/>
                <w:color w:val="auto"/>
              </w:rPr>
              <w:t>决算</w:t>
            </w:r>
            <w:r>
              <w:rPr>
                <w:rFonts w:hint="eastAsia"/>
                <w:b/>
                <w:color w:val="auto"/>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34" w:type="dxa"/>
            <w:noWrap w:val="0"/>
            <w:vAlign w:val="top"/>
          </w:tcPr>
          <w:p>
            <w:pPr>
              <w:pStyle w:val="20"/>
              <w:ind w:firstLine="440" w:firstLineChars="200"/>
              <w:rPr>
                <w:color w:val="auto"/>
              </w:rPr>
            </w:pPr>
            <w:r>
              <w:rPr>
                <w:rFonts w:hint="eastAsia"/>
                <w:color w:val="auto"/>
              </w:rPr>
              <w:t>基本支出</w:t>
            </w:r>
          </w:p>
        </w:tc>
        <w:tc>
          <w:tcPr>
            <w:tcW w:w="2233" w:type="dxa"/>
            <w:noWrap w:val="0"/>
            <w:vAlign w:val="top"/>
          </w:tcPr>
          <w:p>
            <w:pPr>
              <w:pStyle w:val="20"/>
              <w:ind w:firstLine="440" w:firstLineChars="200"/>
              <w:rPr>
                <w:color w:val="auto"/>
                <w:lang w:val="en-US"/>
              </w:rPr>
            </w:pPr>
            <w:r>
              <w:rPr>
                <w:rFonts w:hint="eastAsia"/>
                <w:color w:val="auto"/>
                <w:lang w:val="en-US"/>
              </w:rPr>
              <w:t>921.24</w:t>
            </w:r>
          </w:p>
        </w:tc>
        <w:tc>
          <w:tcPr>
            <w:tcW w:w="2236" w:type="dxa"/>
            <w:noWrap w:val="0"/>
            <w:vAlign w:val="top"/>
          </w:tcPr>
          <w:p>
            <w:pPr>
              <w:pStyle w:val="20"/>
              <w:ind w:firstLine="440" w:firstLineChars="200"/>
              <w:rPr>
                <w:color w:val="auto"/>
                <w:lang w:val="en-US"/>
              </w:rPr>
            </w:pPr>
            <w:r>
              <w:rPr>
                <w:rFonts w:hint="eastAsia"/>
                <w:color w:val="auto"/>
                <w:lang w:val="en-US"/>
              </w:rPr>
              <w:t>1070.05</w:t>
            </w:r>
          </w:p>
        </w:tc>
        <w:tc>
          <w:tcPr>
            <w:tcW w:w="2236" w:type="dxa"/>
            <w:noWrap w:val="0"/>
            <w:vAlign w:val="top"/>
          </w:tcPr>
          <w:p>
            <w:pPr>
              <w:pStyle w:val="20"/>
              <w:ind w:firstLine="440" w:firstLineChars="200"/>
              <w:rPr>
                <w:color w:val="auto"/>
                <w:lang w:val="en-US"/>
              </w:rPr>
            </w:pPr>
            <w:r>
              <w:rPr>
                <w:rFonts w:hint="eastAsia"/>
                <w:color w:val="auto"/>
                <w:lang w:val="en-US"/>
              </w:rPr>
              <w:t>969.6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34" w:type="dxa"/>
            <w:noWrap w:val="0"/>
            <w:vAlign w:val="top"/>
          </w:tcPr>
          <w:p>
            <w:pPr>
              <w:pStyle w:val="20"/>
              <w:ind w:firstLine="440" w:firstLineChars="200"/>
              <w:rPr>
                <w:color w:val="auto"/>
              </w:rPr>
            </w:pPr>
            <w:r>
              <w:rPr>
                <w:rFonts w:hint="eastAsia"/>
                <w:color w:val="auto"/>
              </w:rPr>
              <w:t>项目支出</w:t>
            </w:r>
          </w:p>
        </w:tc>
        <w:tc>
          <w:tcPr>
            <w:tcW w:w="2233" w:type="dxa"/>
            <w:noWrap w:val="0"/>
            <w:vAlign w:val="top"/>
          </w:tcPr>
          <w:p>
            <w:pPr>
              <w:pStyle w:val="20"/>
              <w:ind w:firstLine="440" w:firstLineChars="200"/>
              <w:rPr>
                <w:color w:val="auto"/>
                <w:lang w:val="en-US"/>
              </w:rPr>
            </w:pPr>
            <w:r>
              <w:rPr>
                <w:rFonts w:hint="eastAsia"/>
                <w:color w:val="auto"/>
                <w:lang w:val="en-US"/>
              </w:rPr>
              <w:t>61.79</w:t>
            </w:r>
          </w:p>
        </w:tc>
        <w:tc>
          <w:tcPr>
            <w:tcW w:w="2236" w:type="dxa"/>
            <w:noWrap w:val="0"/>
            <w:vAlign w:val="top"/>
          </w:tcPr>
          <w:p>
            <w:pPr>
              <w:pStyle w:val="20"/>
              <w:ind w:firstLine="440" w:firstLineChars="200"/>
              <w:rPr>
                <w:color w:val="auto"/>
                <w:lang w:val="en-US"/>
              </w:rPr>
            </w:pPr>
            <w:r>
              <w:rPr>
                <w:rFonts w:hint="eastAsia"/>
                <w:color w:val="auto"/>
                <w:lang w:val="en-US"/>
              </w:rPr>
              <w:t>325.57</w:t>
            </w:r>
          </w:p>
        </w:tc>
        <w:tc>
          <w:tcPr>
            <w:tcW w:w="2236" w:type="dxa"/>
            <w:noWrap w:val="0"/>
            <w:vAlign w:val="top"/>
          </w:tcPr>
          <w:p>
            <w:pPr>
              <w:pStyle w:val="20"/>
              <w:ind w:firstLine="440" w:firstLineChars="200"/>
              <w:rPr>
                <w:color w:val="auto"/>
                <w:lang w:val="en-US"/>
              </w:rPr>
            </w:pPr>
            <w:r>
              <w:rPr>
                <w:rFonts w:hint="eastAsia"/>
                <w:color w:val="auto"/>
                <w:lang w:val="en-US"/>
              </w:rPr>
              <w:t>88.58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34" w:type="dxa"/>
            <w:noWrap w:val="0"/>
            <w:vAlign w:val="top"/>
          </w:tcPr>
          <w:p>
            <w:pPr>
              <w:pStyle w:val="20"/>
              <w:ind w:firstLine="440" w:firstLineChars="200"/>
              <w:rPr>
                <w:color w:val="auto"/>
              </w:rPr>
            </w:pPr>
            <w:r>
              <w:rPr>
                <w:rFonts w:hint="eastAsia"/>
                <w:color w:val="auto"/>
              </w:rPr>
              <w:t>经营支出</w:t>
            </w:r>
          </w:p>
        </w:tc>
        <w:tc>
          <w:tcPr>
            <w:tcW w:w="2233" w:type="dxa"/>
            <w:noWrap w:val="0"/>
            <w:vAlign w:val="top"/>
          </w:tcPr>
          <w:p>
            <w:pPr>
              <w:pStyle w:val="20"/>
              <w:ind w:firstLine="440" w:firstLineChars="200"/>
              <w:rPr>
                <w:color w:val="auto"/>
              </w:rPr>
            </w:pPr>
          </w:p>
        </w:tc>
        <w:tc>
          <w:tcPr>
            <w:tcW w:w="2236" w:type="dxa"/>
            <w:noWrap w:val="0"/>
            <w:vAlign w:val="top"/>
          </w:tcPr>
          <w:p>
            <w:pPr>
              <w:pStyle w:val="20"/>
              <w:ind w:firstLine="440" w:firstLineChars="200"/>
              <w:rPr>
                <w:color w:val="auto"/>
              </w:rPr>
            </w:pPr>
          </w:p>
        </w:tc>
        <w:tc>
          <w:tcPr>
            <w:tcW w:w="2236" w:type="dxa"/>
            <w:noWrap w:val="0"/>
            <w:vAlign w:val="top"/>
          </w:tcPr>
          <w:p>
            <w:pPr>
              <w:pStyle w:val="20"/>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34" w:type="dxa"/>
            <w:noWrap w:val="0"/>
            <w:vAlign w:val="top"/>
          </w:tcPr>
          <w:p>
            <w:pPr>
              <w:pStyle w:val="20"/>
              <w:ind w:firstLine="440" w:firstLineChars="200"/>
              <w:rPr>
                <w:color w:val="auto"/>
              </w:rPr>
            </w:pPr>
            <w:r>
              <w:rPr>
                <w:rFonts w:hint="eastAsia"/>
                <w:color w:val="auto"/>
              </w:rPr>
              <w:t>结余分配</w:t>
            </w:r>
          </w:p>
        </w:tc>
        <w:tc>
          <w:tcPr>
            <w:tcW w:w="2233" w:type="dxa"/>
            <w:noWrap w:val="0"/>
            <w:vAlign w:val="top"/>
          </w:tcPr>
          <w:p>
            <w:pPr>
              <w:pStyle w:val="20"/>
              <w:ind w:firstLine="440" w:firstLineChars="200"/>
              <w:rPr>
                <w:color w:val="auto"/>
              </w:rPr>
            </w:pPr>
          </w:p>
        </w:tc>
        <w:tc>
          <w:tcPr>
            <w:tcW w:w="2236" w:type="dxa"/>
            <w:noWrap w:val="0"/>
            <w:vAlign w:val="top"/>
          </w:tcPr>
          <w:p>
            <w:pPr>
              <w:pStyle w:val="20"/>
              <w:ind w:firstLine="440" w:firstLineChars="200"/>
              <w:rPr>
                <w:color w:val="auto"/>
              </w:rPr>
            </w:pPr>
          </w:p>
        </w:tc>
        <w:tc>
          <w:tcPr>
            <w:tcW w:w="2236" w:type="dxa"/>
            <w:noWrap w:val="0"/>
            <w:vAlign w:val="top"/>
          </w:tcPr>
          <w:p>
            <w:pPr>
              <w:pStyle w:val="20"/>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34" w:type="dxa"/>
            <w:noWrap w:val="0"/>
            <w:vAlign w:val="top"/>
          </w:tcPr>
          <w:p>
            <w:pPr>
              <w:pStyle w:val="20"/>
              <w:ind w:firstLine="440" w:firstLineChars="200"/>
              <w:rPr>
                <w:color w:val="auto"/>
              </w:rPr>
            </w:pPr>
            <w:r>
              <w:rPr>
                <w:rFonts w:hint="eastAsia"/>
                <w:color w:val="auto"/>
              </w:rPr>
              <w:t>年末</w:t>
            </w:r>
            <w:r>
              <w:rPr>
                <w:color w:val="auto"/>
              </w:rPr>
              <w:t>结转结余</w:t>
            </w:r>
          </w:p>
        </w:tc>
        <w:tc>
          <w:tcPr>
            <w:tcW w:w="2233" w:type="dxa"/>
            <w:noWrap w:val="0"/>
            <w:vAlign w:val="top"/>
          </w:tcPr>
          <w:p>
            <w:pPr>
              <w:pStyle w:val="20"/>
              <w:ind w:firstLine="440" w:firstLineChars="200"/>
              <w:rPr>
                <w:color w:val="auto"/>
                <w:lang w:val="en-US"/>
              </w:rPr>
            </w:pPr>
          </w:p>
        </w:tc>
        <w:tc>
          <w:tcPr>
            <w:tcW w:w="2236" w:type="dxa"/>
            <w:noWrap w:val="0"/>
            <w:vAlign w:val="top"/>
          </w:tcPr>
          <w:p>
            <w:pPr>
              <w:pStyle w:val="20"/>
              <w:ind w:firstLine="440" w:firstLineChars="200"/>
              <w:rPr>
                <w:color w:val="auto"/>
                <w:lang w:val="en-US"/>
              </w:rPr>
            </w:pPr>
          </w:p>
        </w:tc>
        <w:tc>
          <w:tcPr>
            <w:tcW w:w="2236" w:type="dxa"/>
            <w:noWrap w:val="0"/>
            <w:vAlign w:val="top"/>
          </w:tcPr>
          <w:p>
            <w:pPr>
              <w:pStyle w:val="20"/>
              <w:ind w:firstLine="440" w:firstLineChars="200"/>
              <w:rPr>
                <w:color w:val="auto"/>
                <w:lang w:val="en-US"/>
              </w:rPr>
            </w:pPr>
            <w:r>
              <w:rPr>
                <w:rFonts w:hint="eastAsia"/>
                <w:color w:val="auto"/>
                <w:lang w:val="en-US"/>
              </w:rPr>
              <w:t>337.44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34" w:type="dxa"/>
            <w:noWrap w:val="0"/>
            <w:vAlign w:val="top"/>
          </w:tcPr>
          <w:p>
            <w:pPr>
              <w:pStyle w:val="20"/>
              <w:ind w:firstLine="442" w:firstLineChars="200"/>
              <w:rPr>
                <w:b/>
                <w:color w:val="auto"/>
              </w:rPr>
            </w:pPr>
            <w:r>
              <w:rPr>
                <w:rFonts w:hint="eastAsia"/>
                <w:b/>
                <w:color w:val="auto"/>
              </w:rPr>
              <w:t>合计</w:t>
            </w:r>
          </w:p>
        </w:tc>
        <w:tc>
          <w:tcPr>
            <w:tcW w:w="2233" w:type="dxa"/>
            <w:noWrap w:val="0"/>
            <w:vAlign w:val="top"/>
          </w:tcPr>
          <w:p>
            <w:pPr>
              <w:pStyle w:val="20"/>
              <w:ind w:firstLine="442" w:firstLineChars="200"/>
              <w:rPr>
                <w:b/>
                <w:color w:val="auto"/>
                <w:lang w:val="en-US"/>
              </w:rPr>
            </w:pPr>
            <w:r>
              <w:rPr>
                <w:rFonts w:hint="eastAsia"/>
                <w:b/>
                <w:color w:val="auto"/>
                <w:lang w:val="en-US"/>
              </w:rPr>
              <w:t>983.03</w:t>
            </w:r>
          </w:p>
        </w:tc>
        <w:tc>
          <w:tcPr>
            <w:tcW w:w="2236" w:type="dxa"/>
            <w:noWrap w:val="0"/>
            <w:vAlign w:val="top"/>
          </w:tcPr>
          <w:p>
            <w:pPr>
              <w:pStyle w:val="20"/>
              <w:ind w:firstLine="442" w:firstLineChars="200"/>
              <w:rPr>
                <w:b/>
                <w:color w:val="auto"/>
                <w:lang w:val="en-US"/>
              </w:rPr>
            </w:pPr>
            <w:r>
              <w:rPr>
                <w:rFonts w:hint="eastAsia"/>
                <w:b/>
                <w:color w:val="auto"/>
                <w:lang w:val="en-US"/>
              </w:rPr>
              <w:t>1395.62</w:t>
            </w:r>
          </w:p>
        </w:tc>
        <w:tc>
          <w:tcPr>
            <w:tcW w:w="2236" w:type="dxa"/>
            <w:noWrap w:val="0"/>
            <w:vAlign w:val="top"/>
          </w:tcPr>
          <w:p>
            <w:pPr>
              <w:pStyle w:val="20"/>
              <w:ind w:firstLine="442" w:firstLineChars="200"/>
              <w:rPr>
                <w:b/>
                <w:color w:val="auto"/>
                <w:lang w:val="en-US"/>
              </w:rPr>
            </w:pPr>
            <w:r>
              <w:rPr>
                <w:rFonts w:hint="eastAsia"/>
                <w:b/>
                <w:color w:val="auto"/>
                <w:lang w:val="en-US"/>
              </w:rPr>
              <w:t>1395.62</w:t>
            </w: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三、评价结论和绩效分析</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（一）评价结论</w:t>
      </w:r>
    </w:p>
    <w:p>
      <w:pPr>
        <w:pStyle w:val="22"/>
        <w:rPr>
          <w:rFonts w:hint="eastAsia" w:ascii="仿宋_GB2312"/>
        </w:rPr>
      </w:pPr>
      <w:r>
        <w:rPr>
          <w:rFonts w:hint="eastAsia" w:ascii="仿宋_GB2312"/>
          <w:lang w:val="en-US"/>
        </w:rPr>
        <w:t>黄洋镇人民政府</w:t>
      </w:r>
      <w:r>
        <w:rPr>
          <w:rFonts w:hint="eastAsia" w:ascii="仿宋_GB2312"/>
        </w:rPr>
        <w:t>预算测算过程较为完整，在</w:t>
      </w:r>
      <w:r>
        <w:rPr>
          <w:rFonts w:hint="eastAsia" w:ascii="仿宋_GB2312"/>
          <w:lang w:val="en-US"/>
        </w:rPr>
        <w:t>预算编制、</w:t>
      </w:r>
      <w:r>
        <w:rPr>
          <w:rFonts w:hint="eastAsia" w:ascii="仿宋_GB2312"/>
        </w:rPr>
        <w:t>信息公开等综合管理方面执行较好，部门整体支出绩效完成情况良好。但评价中也发现</w:t>
      </w:r>
      <w:r>
        <w:rPr>
          <w:rFonts w:hint="eastAsia" w:ascii="仿宋_GB2312"/>
          <w:lang w:val="en-US"/>
        </w:rPr>
        <w:t>部门预算执行方面</w:t>
      </w:r>
      <w:r>
        <w:rPr>
          <w:rFonts w:hint="eastAsia" w:ascii="仿宋_GB2312"/>
        </w:rPr>
        <w:t>存在瑕疵，本次整体支出绩效评级综合得分情况如下：预算管理指标权重为</w:t>
      </w:r>
      <w:r>
        <w:rPr>
          <w:rFonts w:hint="eastAsia" w:ascii="仿宋_GB2312"/>
          <w:lang w:val="en-US"/>
        </w:rPr>
        <w:t>80</w:t>
      </w:r>
      <w:r>
        <w:rPr>
          <w:rFonts w:hint="eastAsia" w:ascii="仿宋_GB2312"/>
        </w:rPr>
        <w:t>分，得分为</w:t>
      </w:r>
      <w:r>
        <w:rPr>
          <w:rFonts w:hint="eastAsia" w:ascii="仿宋_GB2312"/>
          <w:lang w:val="en-US"/>
        </w:rPr>
        <w:t>61.08</w:t>
      </w:r>
      <w:r>
        <w:rPr>
          <w:rFonts w:hint="eastAsia" w:ascii="仿宋_GB2312"/>
        </w:rPr>
        <w:t>分，得分率为</w:t>
      </w:r>
      <w:r>
        <w:rPr>
          <w:rFonts w:hint="eastAsia" w:ascii="仿宋_GB2312"/>
          <w:lang w:val="en-US"/>
        </w:rPr>
        <w:t>76.35</w:t>
      </w:r>
      <w:r>
        <w:rPr>
          <w:rFonts w:hint="eastAsia" w:ascii="仿宋_GB2312"/>
        </w:rPr>
        <w:t>%；</w:t>
      </w:r>
      <w:r>
        <w:rPr>
          <w:rFonts w:hint="eastAsia" w:ascii="仿宋_GB2312"/>
          <w:lang w:val="en-US"/>
        </w:rPr>
        <w:t>绩效结果运用</w:t>
      </w:r>
      <w:r>
        <w:rPr>
          <w:rFonts w:hint="eastAsia" w:ascii="仿宋_GB2312"/>
        </w:rPr>
        <w:t>指标权重为</w:t>
      </w:r>
      <w:r>
        <w:rPr>
          <w:rFonts w:hint="eastAsia" w:ascii="仿宋_GB2312"/>
          <w:lang w:val="en-US"/>
        </w:rPr>
        <w:t>20</w:t>
      </w:r>
      <w:r>
        <w:rPr>
          <w:rFonts w:hint="eastAsia" w:ascii="仿宋_GB2312"/>
        </w:rPr>
        <w:t>分，得分为</w:t>
      </w:r>
      <w:r>
        <w:rPr>
          <w:rFonts w:hint="eastAsia" w:ascii="仿宋_GB2312"/>
          <w:lang w:val="en-US"/>
        </w:rPr>
        <w:t>18</w:t>
      </w:r>
      <w:r>
        <w:rPr>
          <w:rFonts w:hint="eastAsia" w:ascii="仿宋_GB2312"/>
        </w:rPr>
        <w:t>分，得分率为</w:t>
      </w:r>
      <w:r>
        <w:rPr>
          <w:rFonts w:hint="eastAsia" w:ascii="仿宋_GB2312"/>
          <w:lang w:val="en-US"/>
        </w:rPr>
        <w:t>90</w:t>
      </w:r>
      <w:r>
        <w:rPr>
          <w:rFonts w:hint="eastAsia" w:ascii="仿宋_GB2312"/>
        </w:rPr>
        <w:t>%；本次评价总分为</w:t>
      </w:r>
      <w:r>
        <w:rPr>
          <w:rFonts w:hint="eastAsia" w:ascii="仿宋_GB2312"/>
          <w:lang w:val="en-US"/>
        </w:rPr>
        <w:t>79.08</w:t>
      </w:r>
      <w:r>
        <w:rPr>
          <w:rFonts w:hint="eastAsia" w:ascii="仿宋_GB2312"/>
        </w:rPr>
        <w:t>分。详情见下表</w:t>
      </w:r>
      <w:r>
        <w:rPr>
          <w:rFonts w:hint="eastAsia" w:ascii="仿宋_GB2312"/>
          <w:lang w:val="en-US"/>
        </w:rPr>
        <w:t>2</w:t>
      </w:r>
      <w:r>
        <w:rPr>
          <w:rFonts w:hint="eastAsia" w:ascii="仿宋_GB2312"/>
        </w:rPr>
        <w:t>-1。</w:t>
      </w:r>
    </w:p>
    <w:p>
      <w:pPr>
        <w:pStyle w:val="19"/>
        <w:spacing w:after="0"/>
        <w:ind w:firstLine="482" w:firstLineChars="200"/>
      </w:pPr>
      <w:r>
        <w:t>表</w:t>
      </w:r>
      <w:r>
        <w:rPr>
          <w:rFonts w:hint="eastAsia"/>
        </w:rPr>
        <w:t>2-1 2020年黄洋镇人民政府</w:t>
      </w:r>
      <w:r>
        <w:t>部门整体支出绩效得分情况表</w:t>
      </w:r>
    </w:p>
    <w:tbl>
      <w:tblPr>
        <w:tblStyle w:val="12"/>
        <w:tblW w:w="8946" w:type="dxa"/>
        <w:tblInd w:w="0" w:type="dxa"/>
        <w:tblLayout w:type="fixed"/>
        <w:tblCellMar>
          <w:top w:w="15" w:type="dxa"/>
          <w:left w:w="15" w:type="dxa"/>
          <w:bottom w:w="15" w:type="dxa"/>
          <w:right w:w="15" w:type="dxa"/>
        </w:tblCellMar>
      </w:tblPr>
      <w:tblGrid>
        <w:gridCol w:w="2115"/>
        <w:gridCol w:w="1080"/>
        <w:gridCol w:w="1685"/>
        <w:gridCol w:w="1195"/>
        <w:gridCol w:w="1030"/>
        <w:gridCol w:w="1030"/>
        <w:gridCol w:w="811"/>
      </w:tblGrid>
      <w:tr>
        <w:tblPrEx>
          <w:tblCellMar>
            <w:top w:w="15" w:type="dxa"/>
            <w:left w:w="15" w:type="dxa"/>
            <w:bottom w:w="15" w:type="dxa"/>
            <w:right w:w="15" w:type="dxa"/>
          </w:tblCellMar>
        </w:tblPrEx>
        <w:trPr>
          <w:trHeight w:val="375" w:hRule="atLeast"/>
        </w:trPr>
        <w:tc>
          <w:tcPr>
            <w:tcW w:w="488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绩效指标</w:t>
            </w:r>
          </w:p>
        </w:tc>
        <w:tc>
          <w:tcPr>
            <w:tcW w:w="11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指标分值</w:t>
            </w:r>
          </w:p>
        </w:tc>
        <w:tc>
          <w:tcPr>
            <w:tcW w:w="103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kern w:val="0"/>
                <w:sz w:val="20"/>
                <w:szCs w:val="20"/>
              </w:rPr>
            </w:pPr>
            <w:r>
              <w:rPr>
                <w:rFonts w:hint="eastAsia" w:ascii="仿宋" w:hAnsi="仿宋" w:eastAsia="仿宋" w:cs="仿宋"/>
                <w:b/>
                <w:color w:val="000000"/>
                <w:kern w:val="0"/>
                <w:sz w:val="20"/>
                <w:szCs w:val="20"/>
              </w:rPr>
              <w:t>自评得分</w:t>
            </w:r>
          </w:p>
        </w:tc>
        <w:tc>
          <w:tcPr>
            <w:tcW w:w="10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评价得分</w:t>
            </w:r>
          </w:p>
        </w:tc>
        <w:tc>
          <w:tcPr>
            <w:tcW w:w="811"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kern w:val="0"/>
                <w:sz w:val="20"/>
                <w:szCs w:val="20"/>
              </w:rPr>
            </w:pPr>
            <w:r>
              <w:rPr>
                <w:rFonts w:hint="eastAsia" w:ascii="仿宋" w:hAnsi="仿宋" w:eastAsia="仿宋" w:cs="仿宋"/>
                <w:b/>
                <w:color w:val="000000"/>
                <w:kern w:val="0"/>
                <w:sz w:val="20"/>
                <w:szCs w:val="20"/>
              </w:rPr>
              <w:t>备注</w:t>
            </w:r>
          </w:p>
        </w:tc>
      </w:tr>
      <w:tr>
        <w:tblPrEx>
          <w:tblCellMar>
            <w:top w:w="15" w:type="dxa"/>
            <w:left w:w="15" w:type="dxa"/>
            <w:bottom w:w="15" w:type="dxa"/>
            <w:right w:w="15" w:type="dxa"/>
          </w:tblCellMar>
        </w:tblPrEx>
        <w:trPr>
          <w:trHeight w:val="375" w:hRule="atLeast"/>
        </w:trPr>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一级指标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二级指标</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三级指标</w:t>
            </w:r>
          </w:p>
        </w:tc>
        <w:tc>
          <w:tcPr>
            <w:tcW w:w="11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0"/>
                <w:szCs w:val="20"/>
              </w:rPr>
            </w:pPr>
          </w:p>
        </w:tc>
        <w:tc>
          <w:tcPr>
            <w:tcW w:w="1030" w:type="dxa"/>
            <w:vMerge w:val="continue"/>
            <w:tcBorders>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0"/>
                <w:szCs w:val="20"/>
              </w:rPr>
            </w:pPr>
          </w:p>
        </w:tc>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0"/>
                <w:szCs w:val="20"/>
              </w:rPr>
            </w:pPr>
          </w:p>
        </w:tc>
        <w:tc>
          <w:tcPr>
            <w:tcW w:w="811" w:type="dxa"/>
            <w:vMerge w:val="continue"/>
            <w:tcBorders>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0"/>
                <w:szCs w:val="20"/>
              </w:rPr>
            </w:pPr>
          </w:p>
        </w:tc>
      </w:tr>
      <w:tr>
        <w:tblPrEx>
          <w:tblCellMar>
            <w:top w:w="15" w:type="dxa"/>
            <w:left w:w="15" w:type="dxa"/>
            <w:bottom w:w="15" w:type="dxa"/>
            <w:right w:w="15" w:type="dxa"/>
          </w:tblCellMar>
        </w:tblPrEx>
        <w:trPr>
          <w:trHeight w:val="109" w:hRule="atLeast"/>
        </w:trPr>
        <w:tc>
          <w:tcPr>
            <w:tcW w:w="21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部门预算管理（80分）</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预算</w:t>
            </w:r>
          </w:p>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编制</w:t>
            </w:r>
          </w:p>
          <w:p>
            <w:pPr>
              <w:spacing w:line="240" w:lineRule="exact"/>
              <w:jc w:val="center"/>
              <w:rPr>
                <w:rFonts w:ascii="宋体" w:hAnsi="宋体" w:cs="宋体"/>
                <w:color w:val="000000"/>
                <w:sz w:val="18"/>
                <w:szCs w:val="18"/>
              </w:rPr>
            </w:pPr>
            <w:r>
              <w:rPr>
                <w:rFonts w:hint="eastAsia" w:ascii="宋体" w:hAnsi="宋体" w:cs="宋体"/>
                <w:color w:val="000000"/>
                <w:kern w:val="0"/>
                <w:sz w:val="18"/>
                <w:szCs w:val="18"/>
              </w:rPr>
              <w:t>（30分）</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目标制定</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9.5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9</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273"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目标完成</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9</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9.5</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111"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编制准确</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9.5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5</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55"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预算</w:t>
            </w:r>
          </w:p>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执行</w:t>
            </w:r>
          </w:p>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（30分）</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支出控制</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9.5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5</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240"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动态调整</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9.5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90"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执行进度</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8</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7</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55"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完成</w:t>
            </w:r>
          </w:p>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结果</w:t>
            </w:r>
          </w:p>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（20分）</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预算完成</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9 </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7.58</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60"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违规记录</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10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8</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675" w:hRule="atLeast"/>
        </w:trPr>
        <w:tc>
          <w:tcPr>
            <w:tcW w:w="21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绩效结果应用（20分）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自评</w:t>
            </w:r>
          </w:p>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质量</w:t>
            </w:r>
          </w:p>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自评准确</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3.5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2</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30"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信息</w:t>
            </w:r>
          </w:p>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公开</w:t>
            </w:r>
          </w:p>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（8分）</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目标公开</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585"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自评公开</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436"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整改</w:t>
            </w:r>
          </w:p>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反馈</w:t>
            </w:r>
          </w:p>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（8分）</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结果整改</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101" w:hRule="atLeast"/>
        </w:trPr>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应用反馈</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45" w:hRule="atLeast"/>
        </w:trPr>
        <w:tc>
          <w:tcPr>
            <w:tcW w:w="488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总分合计</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93.5 </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79.08</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rPr>
            </w:pPr>
          </w:p>
        </w:tc>
      </w:tr>
    </w:tbl>
    <w:p>
      <w:pPr>
        <w:spacing w:line="560" w:lineRule="exact"/>
        <w:ind w:firstLine="479" w:firstLineChars="149"/>
        <w:rPr>
          <w:rFonts w:hint="eastAsia" w:ascii="楷体_GB2312" w:hAnsi="楷体" w:eastAsia="楷体_GB2312" w:cs="楷体"/>
          <w:b/>
          <w:sz w:val="32"/>
          <w:szCs w:val="32"/>
        </w:rPr>
      </w:pPr>
      <w:r>
        <w:rPr>
          <w:rFonts w:hint="eastAsia" w:ascii="楷体_GB2312" w:hAnsi="楷体" w:eastAsia="楷体_GB2312" w:cs="楷体"/>
          <w:b/>
          <w:sz w:val="32"/>
          <w:szCs w:val="32"/>
        </w:rPr>
        <w:t>（二）部门预算管理情况分析</w:t>
      </w:r>
    </w:p>
    <w:p>
      <w:pPr>
        <w:spacing w:line="560" w:lineRule="exact"/>
        <w:ind w:firstLine="643" w:firstLineChars="200"/>
        <w:rPr>
          <w:rFonts w:hint="eastAsia" w:ascii="仿宋_GB2312" w:hAnsi="楷体" w:eastAsia="仿宋_GB2312" w:cs="楷体"/>
          <w:b/>
          <w:sz w:val="32"/>
          <w:szCs w:val="32"/>
        </w:rPr>
      </w:pPr>
      <w:r>
        <w:rPr>
          <w:rFonts w:hint="eastAsia" w:ascii="仿宋_GB2312" w:hAnsi="楷体" w:eastAsia="仿宋_GB2312" w:cs="楷体"/>
          <w:b/>
          <w:sz w:val="32"/>
          <w:szCs w:val="32"/>
        </w:rPr>
        <w:t>1.预算编制情况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（1）目标制定</w:t>
      </w:r>
    </w:p>
    <w:p>
      <w:pPr>
        <w:spacing w:line="576"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黄洋镇人民政府</w:t>
      </w:r>
      <w:r>
        <w:rPr>
          <w:rFonts w:hint="eastAsia" w:ascii="仿宋_GB2312" w:hAnsi="仿宋_GB2312" w:eastAsia="仿宋_GB2312" w:cs="仿宋_GB2312"/>
          <w:sz w:val="32"/>
          <w:szCs w:val="32"/>
        </w:rPr>
        <w:t>按照2020年部门预算编制要求，积极开展预算编报工作，在规定时间内完成了部门预算编制任务。部门预算编制准确、规范、完整无漏项，基础信息和科目使用准确，项目名称、绩效指标、项目内容等说明符合规定，单位编制、人员情况与供养人员系统数据一致。但部门整体支出绩效目标表申报表填报存在整体绩效目标编制不完整情况。例如：缺少基层组织建设指标值；数量指标、质量指标、成本指标等未对应年度主要任务。</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该指标满分10分，</w:t>
      </w:r>
      <w:r>
        <w:rPr>
          <w:rFonts w:hint="eastAsia" w:ascii="仿宋_GB2312" w:eastAsia="仿宋_GB2312"/>
          <w:sz w:val="32"/>
          <w:szCs w:val="32"/>
        </w:rPr>
        <w:t>根据指标评价标准和公式计算，</w:t>
      </w:r>
      <w:r>
        <w:rPr>
          <w:rFonts w:hint="eastAsia" w:ascii="仿宋_GB2312" w:hAnsi="仿宋_GB2312" w:eastAsia="仿宋_GB2312" w:cs="仿宋_GB2312"/>
          <w:sz w:val="32"/>
          <w:szCs w:val="32"/>
        </w:rPr>
        <w:t>得分9分。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（2）目标完成</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2020年黄洋镇人民政府共设置部门项目绩效目标2个，均全部完成。数量指标的完成情况详见表3-1：</w:t>
      </w:r>
    </w:p>
    <w:p>
      <w:pPr>
        <w:pStyle w:val="2"/>
        <w:spacing w:before="93"/>
        <w:jc w:val="center"/>
        <w:rPr>
          <w:b/>
          <w:bCs/>
          <w:sz w:val="24"/>
        </w:rPr>
      </w:pPr>
      <w:r>
        <w:rPr>
          <w:b/>
          <w:bCs/>
          <w:sz w:val="24"/>
        </w:rPr>
        <w:t>表</w:t>
      </w:r>
      <w:r>
        <w:rPr>
          <w:rFonts w:hint="eastAsia"/>
          <w:b/>
          <w:bCs/>
          <w:sz w:val="24"/>
        </w:rPr>
        <w:t>3-1 2020年黄洋镇人民政府绩效目标完成情况</w:t>
      </w:r>
    </w:p>
    <w:tbl>
      <w:tblPr>
        <w:tblStyle w:val="12"/>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252"/>
        <w:gridCol w:w="167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35" w:type="dxa"/>
            <w:noWrap w:val="0"/>
            <w:vAlign w:val="top"/>
          </w:tcPr>
          <w:p>
            <w:pPr>
              <w:pStyle w:val="2"/>
              <w:spacing w:before="93"/>
              <w:jc w:val="center"/>
              <w:rPr>
                <w:rFonts w:ascii="宋体" w:hAnsi="宋体" w:eastAsia="宋体"/>
                <w:b/>
                <w:bCs/>
                <w:sz w:val="21"/>
                <w:szCs w:val="21"/>
              </w:rPr>
            </w:pPr>
            <w:r>
              <w:rPr>
                <w:rFonts w:hint="eastAsia" w:ascii="宋体" w:hAnsi="宋体" w:eastAsia="宋体"/>
                <w:b/>
                <w:bCs/>
                <w:sz w:val="21"/>
                <w:szCs w:val="21"/>
              </w:rPr>
              <w:t>项目名称</w:t>
            </w:r>
          </w:p>
        </w:tc>
        <w:tc>
          <w:tcPr>
            <w:tcW w:w="4252" w:type="dxa"/>
            <w:noWrap w:val="0"/>
            <w:vAlign w:val="top"/>
          </w:tcPr>
          <w:p>
            <w:pPr>
              <w:pStyle w:val="2"/>
              <w:spacing w:before="93"/>
              <w:jc w:val="center"/>
              <w:rPr>
                <w:rFonts w:ascii="宋体" w:hAnsi="宋体" w:eastAsia="宋体"/>
                <w:b/>
                <w:bCs/>
                <w:sz w:val="21"/>
                <w:szCs w:val="21"/>
              </w:rPr>
            </w:pPr>
            <w:r>
              <w:rPr>
                <w:rFonts w:hint="eastAsia" w:ascii="宋体" w:hAnsi="宋体" w:eastAsia="宋体"/>
                <w:b/>
                <w:bCs/>
                <w:sz w:val="21"/>
                <w:szCs w:val="21"/>
              </w:rPr>
              <w:t>项目完成指标</w:t>
            </w:r>
          </w:p>
        </w:tc>
        <w:tc>
          <w:tcPr>
            <w:tcW w:w="1671" w:type="dxa"/>
            <w:noWrap w:val="0"/>
            <w:vAlign w:val="top"/>
          </w:tcPr>
          <w:p>
            <w:pPr>
              <w:pStyle w:val="2"/>
              <w:spacing w:before="93"/>
              <w:jc w:val="center"/>
              <w:rPr>
                <w:rFonts w:ascii="宋体" w:hAnsi="宋体" w:eastAsia="宋体"/>
                <w:b/>
                <w:bCs/>
                <w:sz w:val="21"/>
                <w:szCs w:val="21"/>
              </w:rPr>
            </w:pPr>
            <w:r>
              <w:rPr>
                <w:rFonts w:hint="eastAsia" w:ascii="宋体" w:hAnsi="宋体" w:eastAsia="宋体"/>
                <w:b/>
                <w:bCs/>
                <w:sz w:val="21"/>
                <w:szCs w:val="21"/>
              </w:rPr>
              <w:t>实际完成情况</w:t>
            </w:r>
          </w:p>
        </w:tc>
        <w:tc>
          <w:tcPr>
            <w:tcW w:w="993" w:type="dxa"/>
            <w:noWrap w:val="0"/>
            <w:vAlign w:val="top"/>
          </w:tcPr>
          <w:p>
            <w:pPr>
              <w:pStyle w:val="2"/>
              <w:spacing w:before="93"/>
              <w:jc w:val="center"/>
              <w:rPr>
                <w:rFonts w:ascii="宋体" w:hAnsi="宋体" w:eastAsia="宋体"/>
                <w:b/>
                <w:bCs/>
                <w:sz w:val="21"/>
                <w:szCs w:val="21"/>
              </w:rPr>
            </w:pPr>
            <w:r>
              <w:rPr>
                <w:rFonts w:hint="eastAsia" w:ascii="宋体" w:hAnsi="宋体" w:eastAsia="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235" w:type="dxa"/>
            <w:vMerge w:val="restart"/>
            <w:noWrap w:val="0"/>
            <w:vAlign w:val="center"/>
          </w:tcPr>
          <w:p>
            <w:pPr>
              <w:pStyle w:val="2"/>
              <w:spacing w:before="93"/>
              <w:jc w:val="center"/>
              <w:rPr>
                <w:rFonts w:ascii="宋体" w:hAnsi="宋体" w:eastAsia="宋体"/>
                <w:sz w:val="21"/>
                <w:szCs w:val="21"/>
              </w:rPr>
            </w:pPr>
            <w:r>
              <w:rPr>
                <w:rFonts w:hint="eastAsia" w:ascii="宋体" w:hAnsi="宋体" w:eastAsia="宋体"/>
                <w:b/>
                <w:bCs/>
                <w:sz w:val="21"/>
                <w:szCs w:val="21"/>
              </w:rPr>
              <w:t>党组织活动经费</w:t>
            </w:r>
          </w:p>
        </w:tc>
        <w:tc>
          <w:tcPr>
            <w:tcW w:w="4252" w:type="dxa"/>
            <w:noWrap w:val="0"/>
            <w:vAlign w:val="top"/>
          </w:tcPr>
          <w:p>
            <w:pPr>
              <w:pStyle w:val="2"/>
              <w:spacing w:before="93"/>
              <w:rPr>
                <w:rFonts w:ascii="宋体" w:hAnsi="宋体" w:eastAsia="宋体"/>
                <w:sz w:val="21"/>
                <w:szCs w:val="21"/>
              </w:rPr>
            </w:pPr>
            <w:r>
              <w:rPr>
                <w:rFonts w:hint="eastAsia" w:ascii="宋体" w:hAnsi="宋体" w:eastAsia="宋体"/>
                <w:sz w:val="21"/>
                <w:szCs w:val="21"/>
              </w:rPr>
              <w:t>开展三会一课30次</w:t>
            </w:r>
          </w:p>
        </w:tc>
        <w:tc>
          <w:tcPr>
            <w:tcW w:w="1671" w:type="dxa"/>
            <w:noWrap w:val="0"/>
            <w:vAlign w:val="top"/>
          </w:tcPr>
          <w:p>
            <w:pPr>
              <w:pStyle w:val="2"/>
              <w:spacing w:before="93"/>
              <w:jc w:val="center"/>
              <w:rPr>
                <w:rFonts w:ascii="宋体" w:hAnsi="宋体" w:eastAsia="宋体"/>
                <w:sz w:val="21"/>
                <w:szCs w:val="21"/>
              </w:rPr>
            </w:pPr>
            <w:r>
              <w:rPr>
                <w:rFonts w:hint="eastAsia" w:ascii="宋体" w:hAnsi="宋体" w:eastAsia="宋体"/>
                <w:sz w:val="21"/>
                <w:szCs w:val="21"/>
              </w:rPr>
              <w:t>完成</w:t>
            </w:r>
          </w:p>
        </w:tc>
        <w:tc>
          <w:tcPr>
            <w:tcW w:w="993" w:type="dxa"/>
            <w:noWrap w:val="0"/>
            <w:vAlign w:val="top"/>
          </w:tcPr>
          <w:p>
            <w:pPr>
              <w:pStyle w:val="2"/>
              <w:spacing w:before="93"/>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235" w:type="dxa"/>
            <w:vMerge w:val="continue"/>
            <w:noWrap w:val="0"/>
            <w:vAlign w:val="center"/>
          </w:tcPr>
          <w:p>
            <w:pPr>
              <w:pStyle w:val="2"/>
              <w:spacing w:before="93"/>
              <w:jc w:val="center"/>
              <w:rPr>
                <w:rFonts w:ascii="宋体" w:hAnsi="宋体" w:eastAsia="宋体"/>
                <w:sz w:val="21"/>
                <w:szCs w:val="21"/>
              </w:rPr>
            </w:pPr>
          </w:p>
        </w:tc>
        <w:tc>
          <w:tcPr>
            <w:tcW w:w="4252" w:type="dxa"/>
            <w:noWrap w:val="0"/>
            <w:vAlign w:val="top"/>
          </w:tcPr>
          <w:p>
            <w:pPr>
              <w:pStyle w:val="2"/>
              <w:spacing w:before="93"/>
              <w:rPr>
                <w:rFonts w:ascii="宋体" w:hAnsi="宋体" w:eastAsia="宋体"/>
                <w:sz w:val="21"/>
                <w:szCs w:val="21"/>
              </w:rPr>
            </w:pPr>
            <w:r>
              <w:rPr>
                <w:rFonts w:hint="eastAsia" w:ascii="宋体" w:hAnsi="宋体" w:eastAsia="宋体"/>
                <w:sz w:val="21"/>
                <w:szCs w:val="21"/>
              </w:rPr>
              <w:t>组织开展主题党日活动12次</w:t>
            </w:r>
          </w:p>
        </w:tc>
        <w:tc>
          <w:tcPr>
            <w:tcW w:w="1671" w:type="dxa"/>
            <w:noWrap w:val="0"/>
            <w:vAlign w:val="top"/>
          </w:tcPr>
          <w:p>
            <w:pPr>
              <w:pStyle w:val="2"/>
              <w:spacing w:before="93"/>
              <w:jc w:val="center"/>
              <w:rPr>
                <w:rFonts w:ascii="宋体" w:hAnsi="宋体" w:eastAsia="宋体"/>
                <w:sz w:val="21"/>
                <w:szCs w:val="21"/>
              </w:rPr>
            </w:pPr>
            <w:r>
              <w:rPr>
                <w:rFonts w:hint="eastAsia" w:ascii="宋体" w:hAnsi="宋体" w:eastAsia="宋体"/>
                <w:sz w:val="21"/>
                <w:szCs w:val="21"/>
              </w:rPr>
              <w:t>完成</w:t>
            </w:r>
          </w:p>
        </w:tc>
        <w:tc>
          <w:tcPr>
            <w:tcW w:w="993" w:type="dxa"/>
            <w:noWrap w:val="0"/>
            <w:vAlign w:val="top"/>
          </w:tcPr>
          <w:p>
            <w:pPr>
              <w:pStyle w:val="2"/>
              <w:spacing w:before="93"/>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235" w:type="dxa"/>
            <w:vMerge w:val="continue"/>
            <w:noWrap w:val="0"/>
            <w:vAlign w:val="center"/>
          </w:tcPr>
          <w:p>
            <w:pPr>
              <w:pStyle w:val="2"/>
              <w:spacing w:before="93"/>
              <w:jc w:val="center"/>
              <w:rPr>
                <w:rFonts w:ascii="宋体" w:hAnsi="宋体" w:eastAsia="宋体"/>
                <w:sz w:val="21"/>
                <w:szCs w:val="21"/>
              </w:rPr>
            </w:pPr>
          </w:p>
        </w:tc>
        <w:tc>
          <w:tcPr>
            <w:tcW w:w="4252" w:type="dxa"/>
            <w:noWrap w:val="0"/>
            <w:vAlign w:val="top"/>
          </w:tcPr>
          <w:p>
            <w:pPr>
              <w:pStyle w:val="2"/>
              <w:spacing w:before="93"/>
              <w:rPr>
                <w:rFonts w:ascii="宋体" w:hAnsi="宋体" w:eastAsia="宋体"/>
                <w:sz w:val="21"/>
                <w:szCs w:val="21"/>
              </w:rPr>
            </w:pPr>
            <w:r>
              <w:rPr>
                <w:rFonts w:hint="eastAsia" w:ascii="宋体" w:hAnsi="宋体" w:eastAsia="宋体"/>
                <w:sz w:val="21"/>
                <w:szCs w:val="21"/>
              </w:rPr>
              <w:t>开展党员和入党积极分子教育培训2次</w:t>
            </w:r>
          </w:p>
        </w:tc>
        <w:tc>
          <w:tcPr>
            <w:tcW w:w="1671" w:type="dxa"/>
            <w:noWrap w:val="0"/>
            <w:vAlign w:val="top"/>
          </w:tcPr>
          <w:p>
            <w:pPr>
              <w:pStyle w:val="2"/>
              <w:spacing w:before="93"/>
              <w:jc w:val="center"/>
              <w:rPr>
                <w:rFonts w:ascii="宋体" w:hAnsi="宋体" w:eastAsia="宋体"/>
                <w:sz w:val="21"/>
                <w:szCs w:val="21"/>
              </w:rPr>
            </w:pPr>
            <w:r>
              <w:rPr>
                <w:rFonts w:hint="eastAsia" w:ascii="宋体" w:hAnsi="宋体" w:eastAsia="宋体"/>
                <w:sz w:val="21"/>
                <w:szCs w:val="21"/>
              </w:rPr>
              <w:t>完成</w:t>
            </w:r>
          </w:p>
        </w:tc>
        <w:tc>
          <w:tcPr>
            <w:tcW w:w="993" w:type="dxa"/>
            <w:noWrap w:val="0"/>
            <w:vAlign w:val="top"/>
          </w:tcPr>
          <w:p>
            <w:pPr>
              <w:pStyle w:val="2"/>
              <w:spacing w:before="93"/>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235" w:type="dxa"/>
            <w:vMerge w:val="restart"/>
            <w:noWrap w:val="0"/>
            <w:vAlign w:val="center"/>
          </w:tcPr>
          <w:p>
            <w:pPr>
              <w:pStyle w:val="2"/>
              <w:spacing w:before="93"/>
              <w:jc w:val="center"/>
              <w:rPr>
                <w:rFonts w:ascii="宋体" w:hAnsi="宋体" w:eastAsia="宋体"/>
                <w:sz w:val="21"/>
                <w:szCs w:val="21"/>
              </w:rPr>
            </w:pPr>
            <w:r>
              <w:rPr>
                <w:rFonts w:hint="eastAsia" w:ascii="宋体" w:hAnsi="宋体" w:eastAsia="宋体"/>
                <w:b/>
                <w:bCs/>
                <w:sz w:val="21"/>
                <w:szCs w:val="21"/>
              </w:rPr>
              <w:t>扫黑除恶工作经费</w:t>
            </w:r>
          </w:p>
        </w:tc>
        <w:tc>
          <w:tcPr>
            <w:tcW w:w="4252" w:type="dxa"/>
            <w:noWrap w:val="0"/>
            <w:vAlign w:val="top"/>
          </w:tcPr>
          <w:p>
            <w:pPr>
              <w:pStyle w:val="2"/>
              <w:spacing w:before="93"/>
              <w:rPr>
                <w:rFonts w:ascii="宋体" w:hAnsi="宋体" w:eastAsia="宋体"/>
                <w:sz w:val="21"/>
                <w:szCs w:val="21"/>
              </w:rPr>
            </w:pPr>
            <w:r>
              <w:rPr>
                <w:rFonts w:hint="eastAsia" w:ascii="宋体" w:hAnsi="宋体" w:eastAsia="宋体"/>
                <w:sz w:val="21"/>
                <w:szCs w:val="21"/>
              </w:rPr>
              <w:t>开展巡查活动10次，参与人数5人以上</w:t>
            </w:r>
          </w:p>
        </w:tc>
        <w:tc>
          <w:tcPr>
            <w:tcW w:w="1671" w:type="dxa"/>
            <w:noWrap w:val="0"/>
            <w:vAlign w:val="top"/>
          </w:tcPr>
          <w:p>
            <w:pPr>
              <w:pStyle w:val="2"/>
              <w:spacing w:before="93"/>
              <w:jc w:val="center"/>
              <w:rPr>
                <w:rFonts w:ascii="宋体" w:hAnsi="宋体" w:eastAsia="宋体"/>
                <w:sz w:val="21"/>
                <w:szCs w:val="21"/>
              </w:rPr>
            </w:pPr>
            <w:r>
              <w:rPr>
                <w:rFonts w:hint="eastAsia" w:ascii="宋体" w:hAnsi="宋体" w:eastAsia="宋体"/>
                <w:sz w:val="21"/>
                <w:szCs w:val="21"/>
              </w:rPr>
              <w:t>完成</w:t>
            </w:r>
          </w:p>
        </w:tc>
        <w:tc>
          <w:tcPr>
            <w:tcW w:w="993" w:type="dxa"/>
            <w:noWrap w:val="0"/>
            <w:vAlign w:val="top"/>
          </w:tcPr>
          <w:p>
            <w:pPr>
              <w:pStyle w:val="2"/>
              <w:spacing w:before="93"/>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235" w:type="dxa"/>
            <w:vMerge w:val="continue"/>
            <w:noWrap w:val="0"/>
            <w:vAlign w:val="top"/>
          </w:tcPr>
          <w:p>
            <w:pPr>
              <w:pStyle w:val="2"/>
              <w:spacing w:before="93"/>
              <w:rPr>
                <w:rFonts w:ascii="宋体" w:hAnsi="宋体" w:eastAsia="宋体"/>
                <w:sz w:val="21"/>
                <w:szCs w:val="21"/>
              </w:rPr>
            </w:pPr>
          </w:p>
        </w:tc>
        <w:tc>
          <w:tcPr>
            <w:tcW w:w="4252" w:type="dxa"/>
            <w:noWrap w:val="0"/>
            <w:vAlign w:val="top"/>
          </w:tcPr>
          <w:p>
            <w:pPr>
              <w:pStyle w:val="2"/>
              <w:spacing w:before="93"/>
              <w:rPr>
                <w:rFonts w:ascii="宋体" w:hAnsi="宋体" w:eastAsia="宋体"/>
                <w:sz w:val="21"/>
                <w:szCs w:val="21"/>
              </w:rPr>
            </w:pPr>
            <w:r>
              <w:rPr>
                <w:rFonts w:hint="eastAsia" w:ascii="宋体" w:hAnsi="宋体" w:eastAsia="宋体"/>
                <w:sz w:val="21"/>
                <w:szCs w:val="21"/>
              </w:rPr>
              <w:t>开展宣传活动5次</w:t>
            </w:r>
          </w:p>
        </w:tc>
        <w:tc>
          <w:tcPr>
            <w:tcW w:w="1671" w:type="dxa"/>
            <w:noWrap w:val="0"/>
            <w:vAlign w:val="top"/>
          </w:tcPr>
          <w:p>
            <w:pPr>
              <w:pStyle w:val="2"/>
              <w:spacing w:before="93"/>
              <w:jc w:val="center"/>
              <w:rPr>
                <w:rFonts w:ascii="宋体" w:hAnsi="宋体" w:eastAsia="宋体"/>
                <w:sz w:val="21"/>
                <w:szCs w:val="21"/>
              </w:rPr>
            </w:pPr>
            <w:r>
              <w:rPr>
                <w:rFonts w:hint="eastAsia" w:ascii="宋体" w:hAnsi="宋体" w:eastAsia="宋体"/>
                <w:sz w:val="21"/>
                <w:szCs w:val="21"/>
              </w:rPr>
              <w:t>完成</w:t>
            </w:r>
          </w:p>
        </w:tc>
        <w:tc>
          <w:tcPr>
            <w:tcW w:w="993" w:type="dxa"/>
            <w:noWrap w:val="0"/>
            <w:vAlign w:val="top"/>
          </w:tcPr>
          <w:p>
            <w:pPr>
              <w:pStyle w:val="2"/>
              <w:spacing w:before="93"/>
              <w:rPr>
                <w:rFonts w:ascii="宋体" w:hAnsi="宋体" w:eastAsia="宋体"/>
                <w:sz w:val="21"/>
                <w:szCs w:val="21"/>
              </w:rPr>
            </w:pPr>
          </w:p>
        </w:tc>
      </w:tr>
    </w:tbl>
    <w:p>
      <w:pPr>
        <w:ind w:firstLine="640" w:firstLineChars="200"/>
        <w:rPr>
          <w:rFonts w:hint="eastAsia" w:ascii="仿宋_GB2312" w:eastAsia="仿宋_GB2312"/>
          <w:sz w:val="32"/>
          <w:szCs w:val="32"/>
        </w:rPr>
      </w:pPr>
      <w:r>
        <w:rPr>
          <w:rFonts w:hint="eastAsia" w:ascii="仿宋_GB2312" w:eastAsia="仿宋_GB2312"/>
          <w:sz w:val="32"/>
          <w:szCs w:val="32"/>
        </w:rPr>
        <w:t>该指标分值标准10分，根据指标评价标准和公式计算，综合参考2020年综合目标绩效考评结果，得分9.5分。</w:t>
      </w:r>
    </w:p>
    <w:p>
      <w:pPr>
        <w:pStyle w:val="2"/>
        <w:spacing w:beforeLines="0"/>
        <w:ind w:firstLine="640" w:firstLineChars="200"/>
        <w:rPr>
          <w:rFonts w:hint="eastAsia" w:hAnsi="楷体" w:cs="楷体"/>
        </w:rPr>
      </w:pPr>
      <w:r>
        <w:rPr>
          <w:rFonts w:hint="eastAsia" w:hAnsi="楷体" w:cs="楷体"/>
          <w:sz w:val="32"/>
          <w:szCs w:val="32"/>
        </w:rPr>
        <w:t>（3）编制准确</w:t>
      </w:r>
    </w:p>
    <w:p>
      <w:pPr>
        <w:ind w:firstLine="640" w:firstLineChars="200"/>
        <w:rPr>
          <w:rFonts w:hint="eastAsia" w:ascii="仿宋_GB2312" w:eastAsia="仿宋_GB2312"/>
          <w:sz w:val="32"/>
          <w:szCs w:val="32"/>
        </w:rPr>
      </w:pPr>
      <w:r>
        <w:rPr>
          <w:rFonts w:hint="eastAsia" w:ascii="仿宋_GB2312" w:eastAsia="仿宋_GB2312"/>
          <w:sz w:val="32"/>
          <w:szCs w:val="32"/>
        </w:rPr>
        <w:t>黄洋镇人民政府部门年初预算数为873.06万元，预算调整数为1241.92万元，依据指标体系计分标准：指标得分=1-年初预算数（一上）/（财政下达数（一下）+预算调整数）基本支出资金，预决算偏差程度为13.91%。</w:t>
      </w:r>
    </w:p>
    <w:p>
      <w:pPr>
        <w:ind w:firstLine="640" w:firstLineChars="200"/>
        <w:rPr>
          <w:rFonts w:hint="eastAsia" w:ascii="仿宋_GB2312" w:eastAsia="仿宋_GB2312"/>
          <w:sz w:val="32"/>
          <w:szCs w:val="32"/>
        </w:rPr>
      </w:pPr>
      <w:r>
        <w:rPr>
          <w:rFonts w:hint="eastAsia" w:ascii="仿宋_GB2312" w:eastAsia="仿宋_GB2312"/>
          <w:sz w:val="32"/>
          <w:szCs w:val="32"/>
        </w:rPr>
        <w:t>该指标分值标准10分，根据指标评价标准和公式计算，预决算偏差程度超过10-20%之间的，得5分。</w:t>
      </w:r>
    </w:p>
    <w:p>
      <w:pPr>
        <w:ind w:firstLine="643" w:firstLineChars="200"/>
        <w:rPr>
          <w:rFonts w:hint="eastAsia" w:ascii="仿宋_GB2312" w:hAnsi="楷体" w:eastAsia="仿宋_GB2312" w:cs="楷体"/>
          <w:b/>
          <w:sz w:val="32"/>
          <w:szCs w:val="32"/>
        </w:rPr>
      </w:pPr>
      <w:r>
        <w:rPr>
          <w:rFonts w:hint="eastAsia" w:ascii="仿宋_GB2312" w:eastAsia="仿宋_GB2312"/>
          <w:b/>
          <w:sz w:val="32"/>
          <w:szCs w:val="32"/>
        </w:rPr>
        <w:t>2.</w:t>
      </w:r>
      <w:r>
        <w:rPr>
          <w:rFonts w:hint="eastAsia" w:ascii="仿宋_GB2312" w:hAnsi="楷体" w:eastAsia="仿宋_GB2312" w:cs="楷体"/>
          <w:b/>
          <w:sz w:val="32"/>
          <w:szCs w:val="32"/>
        </w:rPr>
        <w:t>预算执行情况</w:t>
      </w:r>
    </w:p>
    <w:p>
      <w:pPr>
        <w:tabs>
          <w:tab w:val="left" w:pos="268"/>
        </w:tabs>
        <w:ind w:firstLine="640" w:firstLineChars="200"/>
        <w:rPr>
          <w:rFonts w:hint="eastAsia" w:ascii="仿宋_GB2312" w:eastAsia="仿宋_GB2312"/>
          <w:sz w:val="32"/>
          <w:szCs w:val="32"/>
        </w:rPr>
      </w:pPr>
      <w:r>
        <w:rPr>
          <w:rFonts w:hint="eastAsia" w:ascii="仿宋_GB2312" w:hAnsi="楷体" w:eastAsia="仿宋_GB2312" w:cs="楷体"/>
          <w:sz w:val="32"/>
          <w:szCs w:val="32"/>
        </w:rPr>
        <w:t>（1）支出控制</w:t>
      </w:r>
    </w:p>
    <w:p>
      <w:pPr>
        <w:ind w:firstLine="640" w:firstLineChars="200"/>
        <w:rPr>
          <w:rFonts w:hint="eastAsia" w:ascii="仿宋_GB2312" w:eastAsia="仿宋_GB2312"/>
          <w:sz w:val="32"/>
          <w:szCs w:val="32"/>
        </w:rPr>
      </w:pPr>
      <w:r>
        <w:rPr>
          <w:rFonts w:hint="eastAsia" w:ascii="仿宋_GB2312" w:eastAsia="仿宋_GB2312"/>
          <w:sz w:val="32"/>
          <w:szCs w:val="32"/>
        </w:rPr>
        <w:t>2020年，黄洋镇人民政府部门公用经费及非定额公用支出预算金额为195.47万元，其中：日常公用经费预算数195.47万元，项目支出中办公费、印刷费、水费、电费、物业管理费预算数分别为0万元、0万元、0万元、0万元、0万元。决算金额为185.85万元，其中：日常公用经费决算数157.56万元，项目支出中办公费、印刷费、水费、电费、物业管理费预算数分别为28.29万元、0万元、0万元、1万元、0万元。部门公用经费及非定额公用支出决算数与预算数的偏差程度为4.92%。</w:t>
      </w:r>
    </w:p>
    <w:p>
      <w:pPr>
        <w:pStyle w:val="19"/>
        <w:rPr>
          <w:rFonts w:hint="eastAsia"/>
        </w:rPr>
      </w:pPr>
    </w:p>
    <w:p>
      <w:pPr>
        <w:pStyle w:val="19"/>
        <w:rPr>
          <w:rFonts w:hint="eastAsia"/>
        </w:rPr>
      </w:pPr>
    </w:p>
    <w:p>
      <w:pPr>
        <w:pStyle w:val="19"/>
      </w:pPr>
      <w:r>
        <w:rPr>
          <w:rFonts w:hint="eastAsia"/>
        </w:rPr>
        <w:t>表4-12020</w:t>
      </w:r>
      <w:r>
        <w:t>年</w:t>
      </w:r>
      <w:r>
        <w:rPr>
          <w:rFonts w:hint="eastAsia"/>
        </w:rPr>
        <w:t>黄洋镇人民政府部门公用经费及非定额公用支出预决算情况表</w:t>
      </w:r>
    </w:p>
    <w:tbl>
      <w:tblPr>
        <w:tblStyle w:val="12"/>
        <w:tblpPr w:leftFromText="180" w:rightFromText="180" w:vertAnchor="text" w:horzAnchor="page" w:tblpX="1955" w:tblpY="580"/>
        <w:tblOverlap w:val="never"/>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233"/>
        <w:gridCol w:w="1112"/>
        <w:gridCol w:w="1112"/>
        <w:gridCol w:w="874"/>
        <w:gridCol w:w="984"/>
        <w:gridCol w:w="1480"/>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979" w:type="dxa"/>
            <w:vMerge w:val="restart"/>
            <w:noWrap w:val="0"/>
            <w:vAlign w:val="center"/>
          </w:tcPr>
          <w:p>
            <w:pPr>
              <w:pStyle w:val="20"/>
              <w:rPr>
                <w:rFonts w:ascii="宋体" w:hAnsi="宋体" w:eastAsia="宋体"/>
                <w:color w:val="auto"/>
                <w:sz w:val="20"/>
                <w:szCs w:val="20"/>
              </w:rPr>
            </w:pPr>
          </w:p>
        </w:tc>
        <w:tc>
          <w:tcPr>
            <w:tcW w:w="1233" w:type="dxa"/>
            <w:vMerge w:val="restart"/>
            <w:noWrap w:val="0"/>
            <w:vAlign w:val="center"/>
          </w:tcPr>
          <w:p>
            <w:pPr>
              <w:pStyle w:val="20"/>
              <w:rPr>
                <w:rFonts w:hint="eastAsia" w:ascii="宋体" w:hAnsi="宋体" w:eastAsia="宋体"/>
                <w:b/>
                <w:color w:val="auto"/>
                <w:sz w:val="20"/>
                <w:szCs w:val="20"/>
                <w:lang w:val="en-US"/>
              </w:rPr>
            </w:pPr>
            <w:r>
              <w:rPr>
                <w:rFonts w:hint="eastAsia" w:ascii="宋体" w:hAnsi="宋体" w:eastAsia="宋体"/>
                <w:b/>
                <w:color w:val="auto"/>
                <w:sz w:val="20"/>
                <w:szCs w:val="20"/>
                <w:lang w:val="en-US"/>
              </w:rPr>
              <w:t>日常公用</w:t>
            </w:r>
          </w:p>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经费</w:t>
            </w:r>
          </w:p>
        </w:tc>
        <w:tc>
          <w:tcPr>
            <w:tcW w:w="5560" w:type="dxa"/>
            <w:gridSpan w:val="5"/>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非定额公用支出</w:t>
            </w:r>
          </w:p>
        </w:tc>
        <w:tc>
          <w:tcPr>
            <w:tcW w:w="1171" w:type="dxa"/>
            <w:vMerge w:val="restart"/>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9" w:type="dxa"/>
            <w:vMerge w:val="continue"/>
            <w:noWrap w:val="0"/>
            <w:vAlign w:val="center"/>
          </w:tcPr>
          <w:p>
            <w:pPr>
              <w:pStyle w:val="20"/>
              <w:rPr>
                <w:rFonts w:ascii="宋体" w:hAnsi="宋体" w:eastAsia="宋体"/>
                <w:color w:val="auto"/>
                <w:sz w:val="20"/>
                <w:szCs w:val="20"/>
              </w:rPr>
            </w:pPr>
          </w:p>
        </w:tc>
        <w:tc>
          <w:tcPr>
            <w:tcW w:w="1233" w:type="dxa"/>
            <w:vMerge w:val="continue"/>
            <w:noWrap w:val="0"/>
            <w:vAlign w:val="center"/>
          </w:tcPr>
          <w:p>
            <w:pPr>
              <w:pStyle w:val="20"/>
              <w:rPr>
                <w:rFonts w:ascii="宋体" w:hAnsi="宋体" w:eastAsia="宋体"/>
                <w:color w:val="auto"/>
                <w:sz w:val="20"/>
                <w:szCs w:val="20"/>
                <w:lang w:val="en-US"/>
              </w:rPr>
            </w:pPr>
          </w:p>
        </w:tc>
        <w:tc>
          <w:tcPr>
            <w:tcW w:w="1112" w:type="dxa"/>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办公费</w:t>
            </w:r>
          </w:p>
        </w:tc>
        <w:tc>
          <w:tcPr>
            <w:tcW w:w="1112" w:type="dxa"/>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印刷费</w:t>
            </w:r>
          </w:p>
        </w:tc>
        <w:tc>
          <w:tcPr>
            <w:tcW w:w="874" w:type="dxa"/>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水费</w:t>
            </w:r>
          </w:p>
        </w:tc>
        <w:tc>
          <w:tcPr>
            <w:tcW w:w="984" w:type="dxa"/>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电费</w:t>
            </w:r>
          </w:p>
        </w:tc>
        <w:tc>
          <w:tcPr>
            <w:tcW w:w="1480" w:type="dxa"/>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物业管理费</w:t>
            </w:r>
          </w:p>
        </w:tc>
        <w:tc>
          <w:tcPr>
            <w:tcW w:w="1171" w:type="dxa"/>
            <w:vMerge w:val="continue"/>
            <w:noWrap w:val="0"/>
            <w:vAlign w:val="center"/>
          </w:tcPr>
          <w:p>
            <w:pPr>
              <w:pStyle w:val="20"/>
              <w:rPr>
                <w:rFonts w:ascii="宋体" w:hAnsi="宋体" w:eastAsia="宋体"/>
                <w:b/>
                <w:color w:val="auto"/>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9" w:type="dxa"/>
            <w:noWrap w:val="0"/>
            <w:vAlign w:val="center"/>
          </w:tcPr>
          <w:p>
            <w:pPr>
              <w:pStyle w:val="20"/>
              <w:rPr>
                <w:rFonts w:ascii="宋体" w:hAnsi="宋体" w:eastAsia="宋体"/>
                <w:color w:val="auto"/>
                <w:sz w:val="20"/>
                <w:szCs w:val="20"/>
                <w:lang w:val="en-US"/>
              </w:rPr>
            </w:pPr>
            <w:r>
              <w:rPr>
                <w:rFonts w:hint="eastAsia" w:ascii="宋体" w:hAnsi="宋体" w:eastAsia="宋体"/>
                <w:b/>
                <w:bCs w:val="0"/>
                <w:color w:val="auto"/>
                <w:sz w:val="20"/>
                <w:szCs w:val="20"/>
                <w:lang w:val="en-US"/>
              </w:rPr>
              <w:t>预算数</w:t>
            </w:r>
          </w:p>
        </w:tc>
        <w:tc>
          <w:tcPr>
            <w:tcW w:w="1233" w:type="dxa"/>
            <w:noWrap w:val="0"/>
            <w:vAlign w:val="center"/>
          </w:tcPr>
          <w:p>
            <w:pPr>
              <w:pStyle w:val="20"/>
              <w:rPr>
                <w:rFonts w:ascii="宋体" w:hAnsi="宋体" w:eastAsia="宋体"/>
                <w:color w:val="auto"/>
                <w:sz w:val="20"/>
                <w:szCs w:val="20"/>
                <w:lang w:val="en-US"/>
              </w:rPr>
            </w:pPr>
            <w:r>
              <w:rPr>
                <w:rFonts w:hint="eastAsia" w:ascii="宋体" w:hAnsi="宋体" w:eastAsia="宋体"/>
                <w:color w:val="auto"/>
                <w:sz w:val="20"/>
                <w:szCs w:val="20"/>
                <w:lang w:val="en-US"/>
              </w:rPr>
              <w:t>195.47</w:t>
            </w:r>
          </w:p>
        </w:tc>
        <w:tc>
          <w:tcPr>
            <w:tcW w:w="1112" w:type="dxa"/>
            <w:noWrap w:val="0"/>
            <w:vAlign w:val="center"/>
          </w:tcPr>
          <w:p>
            <w:pPr>
              <w:pStyle w:val="20"/>
              <w:rPr>
                <w:rFonts w:ascii="宋体" w:hAnsi="宋体" w:eastAsia="宋体"/>
                <w:color w:val="auto"/>
                <w:sz w:val="20"/>
                <w:szCs w:val="20"/>
                <w:lang w:val="en-US"/>
              </w:rPr>
            </w:pPr>
            <w:r>
              <w:rPr>
                <w:rFonts w:hint="eastAsia" w:ascii="宋体" w:hAnsi="宋体" w:eastAsia="宋体"/>
                <w:color w:val="auto"/>
                <w:sz w:val="20"/>
                <w:szCs w:val="20"/>
                <w:lang w:val="en-US"/>
              </w:rPr>
              <w:t>0</w:t>
            </w:r>
          </w:p>
        </w:tc>
        <w:tc>
          <w:tcPr>
            <w:tcW w:w="1112" w:type="dxa"/>
            <w:noWrap w:val="0"/>
            <w:vAlign w:val="center"/>
          </w:tcPr>
          <w:p>
            <w:pPr>
              <w:pStyle w:val="20"/>
              <w:rPr>
                <w:rFonts w:ascii="宋体" w:hAnsi="宋体" w:eastAsia="宋体"/>
                <w:color w:val="auto"/>
                <w:sz w:val="20"/>
                <w:szCs w:val="20"/>
                <w:lang w:val="en-US"/>
              </w:rPr>
            </w:pPr>
            <w:r>
              <w:rPr>
                <w:rFonts w:hint="eastAsia" w:ascii="宋体" w:hAnsi="宋体" w:eastAsia="宋体"/>
                <w:color w:val="auto"/>
                <w:sz w:val="20"/>
                <w:szCs w:val="20"/>
                <w:lang w:val="en-US"/>
              </w:rPr>
              <w:t>0</w:t>
            </w:r>
          </w:p>
        </w:tc>
        <w:tc>
          <w:tcPr>
            <w:tcW w:w="874" w:type="dxa"/>
            <w:noWrap w:val="0"/>
            <w:vAlign w:val="center"/>
          </w:tcPr>
          <w:p>
            <w:pPr>
              <w:pStyle w:val="20"/>
              <w:rPr>
                <w:rFonts w:ascii="宋体" w:hAnsi="宋体" w:eastAsia="宋体"/>
                <w:color w:val="auto"/>
                <w:sz w:val="20"/>
                <w:szCs w:val="20"/>
                <w:lang w:val="en-US"/>
              </w:rPr>
            </w:pPr>
            <w:r>
              <w:rPr>
                <w:rFonts w:hint="eastAsia" w:ascii="宋体" w:hAnsi="宋体" w:eastAsia="宋体"/>
                <w:color w:val="auto"/>
                <w:sz w:val="20"/>
                <w:szCs w:val="20"/>
                <w:lang w:val="en-US"/>
              </w:rPr>
              <w:t>0</w:t>
            </w:r>
          </w:p>
        </w:tc>
        <w:tc>
          <w:tcPr>
            <w:tcW w:w="984" w:type="dxa"/>
            <w:noWrap w:val="0"/>
            <w:vAlign w:val="center"/>
          </w:tcPr>
          <w:p>
            <w:pPr>
              <w:pStyle w:val="20"/>
              <w:rPr>
                <w:rFonts w:ascii="宋体" w:hAnsi="宋体" w:eastAsia="宋体"/>
                <w:color w:val="auto"/>
                <w:sz w:val="20"/>
                <w:szCs w:val="20"/>
                <w:lang w:val="en-US"/>
              </w:rPr>
            </w:pPr>
            <w:r>
              <w:rPr>
                <w:rFonts w:hint="eastAsia" w:ascii="宋体" w:hAnsi="宋体" w:eastAsia="宋体"/>
                <w:color w:val="auto"/>
                <w:sz w:val="20"/>
                <w:szCs w:val="20"/>
                <w:lang w:val="en-US"/>
              </w:rPr>
              <w:t>0</w:t>
            </w:r>
          </w:p>
        </w:tc>
        <w:tc>
          <w:tcPr>
            <w:tcW w:w="1480" w:type="dxa"/>
            <w:noWrap w:val="0"/>
            <w:vAlign w:val="center"/>
          </w:tcPr>
          <w:p>
            <w:pPr>
              <w:pStyle w:val="20"/>
              <w:rPr>
                <w:rFonts w:ascii="宋体" w:hAnsi="宋体" w:eastAsia="宋体"/>
                <w:color w:val="auto"/>
                <w:sz w:val="20"/>
                <w:szCs w:val="20"/>
                <w:lang w:val="en-US"/>
              </w:rPr>
            </w:pPr>
            <w:r>
              <w:rPr>
                <w:rFonts w:hint="eastAsia" w:ascii="宋体" w:hAnsi="宋体" w:eastAsia="宋体"/>
                <w:color w:val="auto"/>
                <w:sz w:val="20"/>
                <w:szCs w:val="20"/>
                <w:lang w:val="en-US"/>
              </w:rPr>
              <w:t>0</w:t>
            </w:r>
          </w:p>
        </w:tc>
        <w:tc>
          <w:tcPr>
            <w:tcW w:w="1171" w:type="dxa"/>
            <w:noWrap w:val="0"/>
            <w:vAlign w:val="center"/>
          </w:tcPr>
          <w:p>
            <w:pPr>
              <w:pStyle w:val="20"/>
              <w:rPr>
                <w:rFonts w:ascii="宋体" w:hAnsi="宋体" w:eastAsia="宋体"/>
                <w:color w:val="auto"/>
                <w:sz w:val="20"/>
                <w:szCs w:val="20"/>
                <w:lang w:val="en-US"/>
              </w:rPr>
            </w:pPr>
            <w:r>
              <w:rPr>
                <w:rFonts w:hint="eastAsia" w:ascii="宋体" w:hAnsi="宋体" w:eastAsia="宋体"/>
                <w:color w:val="auto"/>
                <w:sz w:val="20"/>
                <w:szCs w:val="20"/>
                <w:lang w:val="en-US"/>
              </w:rPr>
              <w:t>195.47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9" w:type="dxa"/>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决算数</w:t>
            </w:r>
          </w:p>
        </w:tc>
        <w:tc>
          <w:tcPr>
            <w:tcW w:w="1233" w:type="dxa"/>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157.56</w:t>
            </w:r>
          </w:p>
        </w:tc>
        <w:tc>
          <w:tcPr>
            <w:tcW w:w="1112" w:type="dxa"/>
            <w:noWrap w:val="0"/>
            <w:vAlign w:val="center"/>
          </w:tcPr>
          <w:p>
            <w:pPr>
              <w:pStyle w:val="20"/>
              <w:rPr>
                <w:rFonts w:ascii="宋体" w:hAnsi="宋体" w:eastAsia="宋体"/>
                <w:bCs w:val="0"/>
                <w:color w:val="auto"/>
                <w:sz w:val="20"/>
                <w:szCs w:val="20"/>
                <w:lang w:val="en-US"/>
              </w:rPr>
            </w:pPr>
            <w:r>
              <w:rPr>
                <w:rFonts w:hint="eastAsia" w:ascii="宋体" w:hAnsi="宋体" w:eastAsia="宋体"/>
                <w:bCs w:val="0"/>
                <w:color w:val="auto"/>
                <w:sz w:val="20"/>
                <w:szCs w:val="20"/>
                <w:lang w:val="en-US"/>
              </w:rPr>
              <w:t>28.29</w:t>
            </w:r>
          </w:p>
        </w:tc>
        <w:tc>
          <w:tcPr>
            <w:tcW w:w="1112" w:type="dxa"/>
            <w:noWrap w:val="0"/>
            <w:vAlign w:val="center"/>
          </w:tcPr>
          <w:p>
            <w:pPr>
              <w:pStyle w:val="20"/>
              <w:rPr>
                <w:rFonts w:ascii="宋体" w:hAnsi="宋体" w:eastAsia="宋体"/>
                <w:bCs w:val="0"/>
                <w:color w:val="auto"/>
                <w:sz w:val="20"/>
                <w:szCs w:val="20"/>
                <w:lang w:val="en-US"/>
              </w:rPr>
            </w:pPr>
            <w:r>
              <w:rPr>
                <w:rFonts w:hint="eastAsia" w:ascii="宋体" w:hAnsi="宋体" w:eastAsia="宋体"/>
                <w:bCs w:val="0"/>
                <w:color w:val="auto"/>
                <w:sz w:val="20"/>
                <w:szCs w:val="20"/>
                <w:lang w:val="en-US"/>
              </w:rPr>
              <w:t>0</w:t>
            </w:r>
          </w:p>
        </w:tc>
        <w:tc>
          <w:tcPr>
            <w:tcW w:w="874" w:type="dxa"/>
            <w:noWrap w:val="0"/>
            <w:vAlign w:val="center"/>
          </w:tcPr>
          <w:p>
            <w:pPr>
              <w:pStyle w:val="20"/>
              <w:rPr>
                <w:rFonts w:ascii="宋体" w:hAnsi="宋体" w:eastAsia="宋体"/>
                <w:bCs w:val="0"/>
                <w:color w:val="auto"/>
                <w:sz w:val="20"/>
                <w:szCs w:val="20"/>
                <w:lang w:val="en-US"/>
              </w:rPr>
            </w:pPr>
            <w:r>
              <w:rPr>
                <w:rFonts w:hint="eastAsia" w:ascii="宋体" w:hAnsi="宋体" w:eastAsia="宋体"/>
                <w:bCs w:val="0"/>
                <w:color w:val="auto"/>
                <w:sz w:val="20"/>
                <w:szCs w:val="20"/>
                <w:lang w:val="en-US"/>
              </w:rPr>
              <w:t>0</w:t>
            </w:r>
          </w:p>
        </w:tc>
        <w:tc>
          <w:tcPr>
            <w:tcW w:w="984" w:type="dxa"/>
            <w:noWrap w:val="0"/>
            <w:vAlign w:val="center"/>
          </w:tcPr>
          <w:p>
            <w:pPr>
              <w:pStyle w:val="20"/>
              <w:rPr>
                <w:rFonts w:ascii="宋体" w:hAnsi="宋体" w:eastAsia="宋体"/>
                <w:bCs w:val="0"/>
                <w:color w:val="auto"/>
                <w:sz w:val="20"/>
                <w:szCs w:val="20"/>
                <w:lang w:val="en-US"/>
              </w:rPr>
            </w:pPr>
            <w:r>
              <w:rPr>
                <w:rFonts w:hint="eastAsia" w:ascii="宋体" w:hAnsi="宋体" w:eastAsia="宋体"/>
                <w:bCs w:val="0"/>
                <w:color w:val="auto"/>
                <w:sz w:val="20"/>
                <w:szCs w:val="20"/>
                <w:lang w:val="en-US"/>
              </w:rPr>
              <w:t>1</w:t>
            </w:r>
          </w:p>
        </w:tc>
        <w:tc>
          <w:tcPr>
            <w:tcW w:w="1480" w:type="dxa"/>
            <w:noWrap w:val="0"/>
            <w:vAlign w:val="center"/>
          </w:tcPr>
          <w:p>
            <w:pPr>
              <w:pStyle w:val="20"/>
              <w:rPr>
                <w:rFonts w:ascii="宋体" w:hAnsi="宋体" w:eastAsia="宋体"/>
                <w:bCs w:val="0"/>
                <w:color w:val="auto"/>
                <w:sz w:val="20"/>
                <w:szCs w:val="20"/>
                <w:lang w:val="en-US"/>
              </w:rPr>
            </w:pPr>
            <w:r>
              <w:rPr>
                <w:rFonts w:hint="eastAsia" w:ascii="宋体" w:hAnsi="宋体" w:eastAsia="宋体"/>
                <w:bCs w:val="0"/>
                <w:color w:val="auto"/>
                <w:sz w:val="20"/>
                <w:szCs w:val="20"/>
                <w:lang w:val="en-US"/>
              </w:rPr>
              <w:t>0</w:t>
            </w:r>
          </w:p>
        </w:tc>
        <w:tc>
          <w:tcPr>
            <w:tcW w:w="1171" w:type="dxa"/>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185.85</w:t>
            </w:r>
          </w:p>
        </w:tc>
      </w:tr>
    </w:tbl>
    <w:p>
      <w:pPr>
        <w:pStyle w:val="19"/>
        <w:jc w:val="right"/>
      </w:pPr>
      <w:r>
        <w:rPr>
          <w:rFonts w:hint="eastAsia"/>
        </w:rPr>
        <w:t>单位</w:t>
      </w:r>
      <w:r>
        <w:t>：万元</w:t>
      </w:r>
    </w:p>
    <w:p>
      <w:pPr>
        <w:spacing w:line="560" w:lineRule="exact"/>
        <w:ind w:firstLine="640" w:firstLineChars="200"/>
        <w:rPr>
          <w:rFonts w:hint="eastAsia" w:ascii="仿宋_GB2312" w:eastAsia="仿宋_GB2312"/>
          <w:sz w:val="32"/>
          <w:szCs w:val="32"/>
        </w:rPr>
      </w:pPr>
    </w:p>
    <w:p>
      <w:pPr>
        <w:spacing w:line="576" w:lineRule="exact"/>
        <w:ind w:firstLine="640" w:firstLineChars="200"/>
        <w:rPr>
          <w:rFonts w:ascii="仿宋_GB2312" w:eastAsia="仿宋_GB2312"/>
          <w:sz w:val="32"/>
          <w:szCs w:val="32"/>
        </w:rPr>
      </w:pPr>
      <w:r>
        <w:rPr>
          <w:rFonts w:hint="eastAsia" w:ascii="仿宋_GB2312" w:eastAsia="仿宋_GB2312"/>
          <w:sz w:val="32"/>
          <w:szCs w:val="32"/>
        </w:rPr>
        <w:t>该指标分值标准10分，根据指标评价标准和公式计算，预决算偏差程度在10%以内的，得5分。</w:t>
      </w:r>
    </w:p>
    <w:p>
      <w:pPr>
        <w:spacing w:line="576" w:lineRule="exact"/>
        <w:ind w:left="420" w:leftChars="200" w:firstLine="160" w:firstLineChars="50"/>
        <w:rPr>
          <w:rFonts w:ascii="仿宋_GB2312" w:eastAsia="仿宋_GB2312"/>
          <w:sz w:val="32"/>
          <w:szCs w:val="32"/>
        </w:rPr>
      </w:pPr>
      <w:r>
        <w:rPr>
          <w:rFonts w:hint="eastAsia" w:ascii="仿宋_GB2312" w:eastAsia="仿宋_GB2312"/>
          <w:sz w:val="32"/>
          <w:szCs w:val="32"/>
        </w:rPr>
        <w:t>（2）动态调整</w:t>
      </w:r>
    </w:p>
    <w:p>
      <w:pPr>
        <w:pStyle w:val="2"/>
        <w:spacing w:beforeLines="0" w:line="576" w:lineRule="exact"/>
        <w:ind w:firstLine="640" w:firstLineChars="200"/>
        <w:rPr>
          <w:kern w:val="2"/>
          <w:sz w:val="32"/>
          <w:szCs w:val="32"/>
        </w:rPr>
      </w:pPr>
      <w:r>
        <w:rPr>
          <w:rFonts w:hint="eastAsia"/>
          <w:kern w:val="2"/>
          <w:sz w:val="32"/>
          <w:szCs w:val="32"/>
        </w:rPr>
        <w:t>2020年，黄洋镇人民政府绩效监控调整取消额为0元，预算结余注销额为0万元。</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该指标分值标准10分，根据指标评价标准和公式计算，得分10分。</w:t>
      </w:r>
    </w:p>
    <w:p>
      <w:pPr>
        <w:pStyle w:val="2"/>
        <w:spacing w:beforeLines="0" w:line="576" w:lineRule="exact"/>
        <w:ind w:firstLine="640" w:firstLineChars="200"/>
        <w:rPr>
          <w:kern w:val="2"/>
          <w:sz w:val="32"/>
          <w:szCs w:val="32"/>
        </w:rPr>
      </w:pPr>
      <w:r>
        <w:rPr>
          <w:rFonts w:hint="eastAsia"/>
          <w:kern w:val="2"/>
          <w:sz w:val="32"/>
          <w:szCs w:val="32"/>
        </w:rPr>
        <w:t>（3）执行进度</w:t>
      </w:r>
    </w:p>
    <w:p>
      <w:pPr>
        <w:spacing w:line="576" w:lineRule="exact"/>
        <w:ind w:firstLine="640" w:firstLineChars="200"/>
        <w:rPr>
          <w:rFonts w:ascii="仿宋_GB2312" w:eastAsia="仿宋_GB2312"/>
          <w:color w:val="0000FF"/>
          <w:sz w:val="32"/>
          <w:szCs w:val="32"/>
        </w:rPr>
      </w:pPr>
      <w:r>
        <w:rPr>
          <w:rFonts w:hint="eastAsia" w:ascii="仿宋_GB2312" w:eastAsia="仿宋_GB2312"/>
          <w:sz w:val="32"/>
          <w:szCs w:val="32"/>
        </w:rPr>
        <w:t>根据《旺苍县2021年度部门整体支出绩效评价指标体系》，部门预算执行进度在6、9、11月应达到序时进度的80%、90%、90%，即实际支出进度分别达到40%、67.5%、82.5%。黄洋镇人民政府2020年1-6月预算数1019.53万元，执行数293.66万元，执行进度28.8%；1-9月预算数1161.01万元，执行数555.54万元，执行进度47.85%；1-11月预算数1161.01万元，执行数643.54万元，执行进度55.43%。各阶段预算执行进度均未达到目标要求。</w:t>
      </w:r>
    </w:p>
    <w:p>
      <w:pPr>
        <w:pStyle w:val="19"/>
      </w:pPr>
      <w:r>
        <w:rPr>
          <w:rFonts w:hint="eastAsia"/>
        </w:rPr>
        <w:t>表4-22020</w:t>
      </w:r>
      <w:r>
        <w:t>年</w:t>
      </w:r>
      <w:r>
        <w:rPr>
          <w:rFonts w:hint="eastAsia"/>
        </w:rPr>
        <w:t>黄洋镇人民政府部门预算执行进度表</w:t>
      </w:r>
    </w:p>
    <w:p>
      <w:pPr>
        <w:pStyle w:val="19"/>
        <w:jc w:val="right"/>
      </w:pPr>
      <w:r>
        <w:rPr>
          <w:rFonts w:hint="eastAsia"/>
        </w:rPr>
        <w:t>单位</w:t>
      </w:r>
      <w:r>
        <w:t>：万元</w:t>
      </w:r>
    </w:p>
    <w:tbl>
      <w:tblPr>
        <w:tblStyle w:val="12"/>
        <w:tblpPr w:leftFromText="180" w:rightFromText="180" w:vertAnchor="text" w:horzAnchor="page" w:tblpX="2136" w:tblpY="213"/>
        <w:tblOverlap w:val="never"/>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216"/>
        <w:gridCol w:w="2216"/>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51" w:type="dxa"/>
            <w:noWrap w:val="0"/>
            <w:vAlign w:val="center"/>
          </w:tcPr>
          <w:p>
            <w:pPr>
              <w:pStyle w:val="20"/>
              <w:rPr>
                <w:rFonts w:ascii="宋体" w:hAnsi="宋体" w:eastAsia="宋体"/>
                <w:color w:val="auto"/>
                <w:lang w:val="en-US"/>
              </w:rPr>
            </w:pPr>
            <w:r>
              <w:rPr>
                <w:rFonts w:hint="eastAsia" w:ascii="宋体" w:hAnsi="宋体" w:eastAsia="宋体"/>
                <w:b/>
                <w:bCs w:val="0"/>
                <w:color w:val="auto"/>
                <w:lang w:val="en-US"/>
              </w:rPr>
              <w:t>月份</w:t>
            </w:r>
          </w:p>
        </w:tc>
        <w:tc>
          <w:tcPr>
            <w:tcW w:w="2216" w:type="dxa"/>
            <w:noWrap w:val="0"/>
            <w:vAlign w:val="center"/>
          </w:tcPr>
          <w:p>
            <w:pPr>
              <w:pStyle w:val="20"/>
              <w:rPr>
                <w:rFonts w:ascii="宋体" w:hAnsi="宋体" w:eastAsia="宋体"/>
                <w:color w:val="auto"/>
                <w:lang w:val="en-US"/>
              </w:rPr>
            </w:pPr>
            <w:r>
              <w:rPr>
                <w:rFonts w:hint="eastAsia" w:ascii="宋体" w:hAnsi="宋体" w:eastAsia="宋体"/>
                <w:color w:val="auto"/>
                <w:lang w:val="en-US"/>
              </w:rPr>
              <w:t>预算数</w:t>
            </w:r>
          </w:p>
        </w:tc>
        <w:tc>
          <w:tcPr>
            <w:tcW w:w="2216" w:type="dxa"/>
            <w:noWrap w:val="0"/>
            <w:vAlign w:val="center"/>
          </w:tcPr>
          <w:p>
            <w:pPr>
              <w:pStyle w:val="20"/>
              <w:rPr>
                <w:rFonts w:ascii="宋体" w:hAnsi="宋体" w:eastAsia="宋体"/>
                <w:color w:val="auto"/>
                <w:lang w:val="en-US"/>
              </w:rPr>
            </w:pPr>
            <w:r>
              <w:rPr>
                <w:rFonts w:hint="eastAsia" w:ascii="宋体" w:hAnsi="宋体" w:eastAsia="宋体"/>
                <w:color w:val="auto"/>
                <w:lang w:val="en-US"/>
              </w:rPr>
              <w:t>执行数</w:t>
            </w:r>
          </w:p>
        </w:tc>
        <w:tc>
          <w:tcPr>
            <w:tcW w:w="2216" w:type="dxa"/>
            <w:noWrap w:val="0"/>
            <w:vAlign w:val="center"/>
          </w:tcPr>
          <w:p>
            <w:pPr>
              <w:pStyle w:val="20"/>
              <w:rPr>
                <w:rFonts w:ascii="宋体" w:hAnsi="宋体" w:eastAsia="宋体"/>
                <w:color w:val="auto"/>
                <w:lang w:val="en-US"/>
              </w:rPr>
            </w:pPr>
            <w:r>
              <w:rPr>
                <w:rFonts w:hint="eastAsia" w:ascii="宋体" w:hAnsi="宋体" w:eastAsia="宋体"/>
                <w:color w:val="auto"/>
                <w:lang w:val="en-US"/>
              </w:rPr>
              <w:t>实际支付进度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51" w:type="dxa"/>
            <w:noWrap w:val="0"/>
            <w:vAlign w:val="center"/>
          </w:tcPr>
          <w:p>
            <w:pPr>
              <w:pStyle w:val="20"/>
              <w:rPr>
                <w:rFonts w:ascii="宋体" w:hAnsi="宋体" w:eastAsia="宋体"/>
                <w:b/>
                <w:color w:val="auto"/>
                <w:lang w:val="en-US"/>
              </w:rPr>
            </w:pPr>
            <w:r>
              <w:rPr>
                <w:rFonts w:hint="eastAsia" w:ascii="宋体" w:hAnsi="宋体" w:eastAsia="宋体"/>
                <w:b/>
                <w:color w:val="auto"/>
                <w:lang w:val="en-US"/>
              </w:rPr>
              <w:t>1-6月</w:t>
            </w:r>
          </w:p>
        </w:tc>
        <w:tc>
          <w:tcPr>
            <w:tcW w:w="2216" w:type="dxa"/>
            <w:noWrap w:val="0"/>
            <w:vAlign w:val="center"/>
          </w:tcPr>
          <w:p>
            <w:pPr>
              <w:pStyle w:val="20"/>
              <w:rPr>
                <w:rFonts w:ascii="宋体" w:hAnsi="宋体" w:eastAsia="宋体"/>
                <w:bCs w:val="0"/>
                <w:color w:val="auto"/>
                <w:lang w:val="en-US"/>
              </w:rPr>
            </w:pPr>
            <w:r>
              <w:rPr>
                <w:rFonts w:hint="eastAsia" w:ascii="宋体" w:hAnsi="宋体" w:eastAsia="宋体"/>
                <w:bCs w:val="0"/>
                <w:color w:val="auto"/>
                <w:lang w:val="en-US"/>
              </w:rPr>
              <w:t>1019.53</w:t>
            </w:r>
          </w:p>
        </w:tc>
        <w:tc>
          <w:tcPr>
            <w:tcW w:w="2216" w:type="dxa"/>
            <w:noWrap w:val="0"/>
            <w:vAlign w:val="center"/>
          </w:tcPr>
          <w:p>
            <w:pPr>
              <w:pStyle w:val="20"/>
              <w:rPr>
                <w:rFonts w:ascii="宋体" w:hAnsi="宋体" w:eastAsia="宋体"/>
                <w:bCs w:val="0"/>
                <w:color w:val="auto"/>
                <w:lang w:val="en-US"/>
              </w:rPr>
            </w:pPr>
            <w:r>
              <w:rPr>
                <w:rFonts w:hint="eastAsia" w:ascii="宋体" w:hAnsi="宋体" w:eastAsia="宋体"/>
                <w:bCs w:val="0"/>
                <w:color w:val="auto"/>
                <w:lang w:val="en-US"/>
              </w:rPr>
              <w:t>293.66</w:t>
            </w:r>
          </w:p>
        </w:tc>
        <w:tc>
          <w:tcPr>
            <w:tcW w:w="2216" w:type="dxa"/>
            <w:noWrap w:val="0"/>
            <w:vAlign w:val="center"/>
          </w:tcPr>
          <w:p>
            <w:pPr>
              <w:pStyle w:val="20"/>
              <w:rPr>
                <w:rFonts w:ascii="宋体" w:hAnsi="宋体" w:eastAsia="宋体"/>
                <w:bCs w:val="0"/>
                <w:color w:val="auto"/>
                <w:lang w:val="en-US"/>
              </w:rPr>
            </w:pPr>
            <w:r>
              <w:rPr>
                <w:rFonts w:hint="eastAsia" w:ascii="宋体" w:hAnsi="宋体" w:eastAsia="宋体"/>
                <w:bCs w:val="0"/>
                <w:color w:val="auto"/>
                <w:lang w:val="en-US"/>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51" w:type="dxa"/>
            <w:noWrap w:val="0"/>
            <w:vAlign w:val="center"/>
          </w:tcPr>
          <w:p>
            <w:pPr>
              <w:pStyle w:val="20"/>
              <w:rPr>
                <w:rFonts w:ascii="宋体" w:hAnsi="宋体" w:eastAsia="宋体"/>
                <w:b/>
                <w:color w:val="auto"/>
                <w:lang w:val="en-US"/>
              </w:rPr>
            </w:pPr>
            <w:r>
              <w:rPr>
                <w:rFonts w:hint="eastAsia" w:ascii="宋体" w:hAnsi="宋体" w:eastAsia="宋体"/>
                <w:b/>
                <w:color w:val="auto"/>
                <w:lang w:val="en-US"/>
              </w:rPr>
              <w:t>1-9月</w:t>
            </w:r>
          </w:p>
        </w:tc>
        <w:tc>
          <w:tcPr>
            <w:tcW w:w="2216" w:type="dxa"/>
            <w:noWrap w:val="0"/>
            <w:vAlign w:val="center"/>
          </w:tcPr>
          <w:p>
            <w:pPr>
              <w:pStyle w:val="20"/>
              <w:rPr>
                <w:rFonts w:ascii="宋体" w:hAnsi="宋体" w:eastAsia="宋体"/>
                <w:bCs w:val="0"/>
                <w:color w:val="auto"/>
                <w:lang w:val="en-US"/>
              </w:rPr>
            </w:pPr>
            <w:r>
              <w:rPr>
                <w:rFonts w:hint="eastAsia" w:ascii="宋体" w:hAnsi="宋体" w:eastAsia="宋体"/>
                <w:bCs w:val="0"/>
                <w:color w:val="auto"/>
                <w:lang w:val="en-US"/>
              </w:rPr>
              <w:t>1161.01</w:t>
            </w:r>
          </w:p>
        </w:tc>
        <w:tc>
          <w:tcPr>
            <w:tcW w:w="2216" w:type="dxa"/>
            <w:noWrap w:val="0"/>
            <w:vAlign w:val="center"/>
          </w:tcPr>
          <w:p>
            <w:pPr>
              <w:pStyle w:val="20"/>
              <w:rPr>
                <w:rFonts w:ascii="宋体" w:hAnsi="宋体" w:eastAsia="宋体"/>
                <w:bCs w:val="0"/>
                <w:color w:val="auto"/>
                <w:lang w:val="en-US"/>
              </w:rPr>
            </w:pPr>
            <w:r>
              <w:rPr>
                <w:rFonts w:hint="eastAsia" w:ascii="宋体" w:hAnsi="宋体" w:eastAsia="宋体"/>
                <w:bCs w:val="0"/>
                <w:color w:val="auto"/>
                <w:lang w:val="en-US"/>
              </w:rPr>
              <w:t>555.54</w:t>
            </w:r>
          </w:p>
        </w:tc>
        <w:tc>
          <w:tcPr>
            <w:tcW w:w="2216" w:type="dxa"/>
            <w:noWrap w:val="0"/>
            <w:vAlign w:val="center"/>
          </w:tcPr>
          <w:p>
            <w:pPr>
              <w:pStyle w:val="20"/>
              <w:rPr>
                <w:rFonts w:ascii="宋体" w:hAnsi="宋体" w:eastAsia="宋体"/>
                <w:bCs w:val="0"/>
                <w:color w:val="auto"/>
                <w:lang w:val="en-US"/>
              </w:rPr>
            </w:pPr>
            <w:r>
              <w:rPr>
                <w:rFonts w:hint="eastAsia" w:ascii="宋体" w:hAnsi="宋体" w:eastAsia="宋体"/>
                <w:bCs w:val="0"/>
                <w:color w:val="auto"/>
                <w:lang w:val="en-US"/>
              </w:rPr>
              <w:t>47.85%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51" w:type="dxa"/>
            <w:noWrap w:val="0"/>
            <w:vAlign w:val="center"/>
          </w:tcPr>
          <w:p>
            <w:pPr>
              <w:pStyle w:val="20"/>
              <w:rPr>
                <w:rFonts w:ascii="宋体" w:hAnsi="宋体" w:eastAsia="宋体"/>
                <w:b/>
                <w:color w:val="auto"/>
                <w:lang w:val="en-US"/>
              </w:rPr>
            </w:pPr>
            <w:r>
              <w:rPr>
                <w:rFonts w:hint="eastAsia" w:ascii="宋体" w:hAnsi="宋体" w:eastAsia="宋体"/>
                <w:b/>
                <w:color w:val="auto"/>
                <w:lang w:val="en-US"/>
              </w:rPr>
              <w:t>1-11月</w:t>
            </w:r>
          </w:p>
        </w:tc>
        <w:tc>
          <w:tcPr>
            <w:tcW w:w="2216" w:type="dxa"/>
            <w:noWrap w:val="0"/>
            <w:vAlign w:val="center"/>
          </w:tcPr>
          <w:p>
            <w:pPr>
              <w:pStyle w:val="20"/>
              <w:rPr>
                <w:rFonts w:ascii="宋体" w:hAnsi="宋体" w:eastAsia="宋体"/>
                <w:bCs w:val="0"/>
                <w:color w:val="auto"/>
                <w:lang w:val="en-US"/>
              </w:rPr>
            </w:pPr>
            <w:r>
              <w:rPr>
                <w:rFonts w:hint="eastAsia" w:ascii="宋体" w:hAnsi="宋体" w:eastAsia="宋体"/>
                <w:bCs w:val="0"/>
                <w:color w:val="auto"/>
                <w:lang w:val="en-US"/>
              </w:rPr>
              <w:t>1161.01</w:t>
            </w:r>
          </w:p>
        </w:tc>
        <w:tc>
          <w:tcPr>
            <w:tcW w:w="2216" w:type="dxa"/>
            <w:noWrap w:val="0"/>
            <w:vAlign w:val="center"/>
          </w:tcPr>
          <w:p>
            <w:pPr>
              <w:pStyle w:val="20"/>
              <w:rPr>
                <w:rFonts w:ascii="宋体" w:hAnsi="宋体" w:eastAsia="宋体"/>
                <w:bCs w:val="0"/>
                <w:color w:val="auto"/>
                <w:lang w:val="en-US"/>
              </w:rPr>
            </w:pPr>
            <w:r>
              <w:rPr>
                <w:rFonts w:hint="eastAsia" w:ascii="宋体" w:hAnsi="宋体" w:eastAsia="宋体"/>
                <w:bCs w:val="0"/>
                <w:color w:val="auto"/>
                <w:lang w:val="en-US"/>
              </w:rPr>
              <w:t>643.54</w:t>
            </w:r>
          </w:p>
        </w:tc>
        <w:tc>
          <w:tcPr>
            <w:tcW w:w="2216" w:type="dxa"/>
            <w:noWrap w:val="0"/>
            <w:vAlign w:val="center"/>
          </w:tcPr>
          <w:p>
            <w:pPr>
              <w:pStyle w:val="20"/>
              <w:rPr>
                <w:rFonts w:ascii="宋体" w:hAnsi="宋体" w:eastAsia="宋体"/>
                <w:bCs w:val="0"/>
                <w:color w:val="auto"/>
                <w:lang w:val="en-US"/>
              </w:rPr>
            </w:pPr>
            <w:r>
              <w:rPr>
                <w:rFonts w:hint="eastAsia" w:ascii="宋体" w:hAnsi="宋体" w:eastAsia="宋体"/>
                <w:bCs w:val="0"/>
                <w:color w:val="auto"/>
                <w:lang w:val="en-US"/>
              </w:rPr>
              <w:t>55.43%</w:t>
            </w:r>
          </w:p>
        </w:tc>
      </w:tr>
    </w:tbl>
    <w:p>
      <w:pPr>
        <w:pStyle w:val="19"/>
        <w:ind w:firstLine="482" w:firstLineChars="200"/>
        <w:jc w:val="right"/>
      </w:pPr>
    </w:p>
    <w:p>
      <w:pPr>
        <w:spacing w:line="576" w:lineRule="exact"/>
        <w:ind w:firstLine="640" w:firstLineChars="200"/>
        <w:rPr>
          <w:rFonts w:ascii="仿宋_GB2312" w:eastAsia="仿宋_GB2312"/>
          <w:sz w:val="32"/>
          <w:szCs w:val="32"/>
        </w:rPr>
      </w:pPr>
      <w:r>
        <w:rPr>
          <w:rFonts w:hint="eastAsia" w:ascii="仿宋_GB2312" w:eastAsia="仿宋_GB2312"/>
          <w:sz w:val="32"/>
          <w:szCs w:val="32"/>
        </w:rPr>
        <w:t>该指标分值标准10分，根据指标评价标准和公式计算，得7分。</w:t>
      </w:r>
    </w:p>
    <w:p>
      <w:pPr>
        <w:spacing w:line="576" w:lineRule="exact"/>
        <w:ind w:firstLine="643" w:firstLineChars="200"/>
        <w:rPr>
          <w:rFonts w:ascii="仿宋_GB2312" w:eastAsia="仿宋_GB2312"/>
          <w:b/>
          <w:sz w:val="32"/>
          <w:szCs w:val="32"/>
        </w:rPr>
      </w:pPr>
      <w:r>
        <w:rPr>
          <w:rFonts w:hint="eastAsia" w:ascii="仿宋_GB2312" w:eastAsia="仿宋_GB2312"/>
          <w:b/>
          <w:sz w:val="32"/>
          <w:szCs w:val="32"/>
        </w:rPr>
        <w:t>3.完成结果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（1）预算完成</w:t>
      </w:r>
    </w:p>
    <w:p>
      <w:pPr>
        <w:pStyle w:val="2"/>
        <w:spacing w:beforeLines="0" w:line="576" w:lineRule="exact"/>
        <w:ind w:firstLine="640" w:firstLineChars="200"/>
        <w:rPr>
          <w:kern w:val="2"/>
          <w:sz w:val="32"/>
          <w:szCs w:val="32"/>
        </w:rPr>
      </w:pPr>
      <w:r>
        <w:rPr>
          <w:rFonts w:hint="eastAsia"/>
          <w:kern w:val="2"/>
          <w:sz w:val="32"/>
          <w:szCs w:val="32"/>
        </w:rPr>
        <w:t>黄洋镇人民政府2020年部门财政收入预算1395.62万元，全年实际执行1058.18万元，执行进度75.82%。</w:t>
      </w:r>
    </w:p>
    <w:p>
      <w:pPr>
        <w:pStyle w:val="2"/>
        <w:spacing w:beforeLines="0" w:line="576" w:lineRule="exact"/>
        <w:ind w:firstLine="640" w:firstLineChars="200"/>
        <w:rPr>
          <w:kern w:val="2"/>
          <w:sz w:val="32"/>
          <w:szCs w:val="32"/>
        </w:rPr>
      </w:pPr>
      <w:r>
        <w:rPr>
          <w:rFonts w:hint="eastAsia"/>
          <w:kern w:val="2"/>
          <w:sz w:val="32"/>
          <w:szCs w:val="32"/>
        </w:rPr>
        <w:t>该指标分值标准10分，根据指标评价标准和公式计算，得分7.58分。</w:t>
      </w:r>
    </w:p>
    <w:p>
      <w:pPr>
        <w:pStyle w:val="2"/>
        <w:spacing w:beforeLines="0" w:line="576" w:lineRule="exact"/>
        <w:ind w:firstLine="640" w:firstLineChars="200"/>
        <w:rPr>
          <w:kern w:val="2"/>
          <w:sz w:val="32"/>
          <w:szCs w:val="32"/>
        </w:rPr>
      </w:pPr>
      <w:r>
        <w:rPr>
          <w:rFonts w:hint="eastAsia"/>
          <w:kern w:val="2"/>
          <w:sz w:val="32"/>
          <w:szCs w:val="32"/>
        </w:rPr>
        <w:t xml:space="preserve">（2）违规记录 </w:t>
      </w:r>
    </w:p>
    <w:p>
      <w:pPr>
        <w:pStyle w:val="2"/>
        <w:spacing w:beforeLines="0" w:line="576" w:lineRule="exact"/>
        <w:ind w:firstLine="640" w:firstLineChars="200"/>
        <w:rPr>
          <w:sz w:val="32"/>
          <w:szCs w:val="32"/>
        </w:rPr>
      </w:pPr>
      <w:r>
        <w:rPr>
          <w:rFonts w:hint="eastAsia"/>
          <w:kern w:val="2"/>
          <w:sz w:val="32"/>
          <w:szCs w:val="32"/>
        </w:rPr>
        <w:t>依据《旺苍县财政局关于开展“三公”经费、违纪违规乱发钱物等专项检查的通知》（旺财办〔2020〕23号）文件要求，旺苍县财政局对黄洋镇人民政府开展检查时发现存在以下问题：公务接待方面存在“三</w:t>
      </w:r>
      <w:r>
        <w:rPr>
          <w:rFonts w:hint="eastAsia"/>
          <w:sz w:val="32"/>
          <w:szCs w:val="32"/>
        </w:rPr>
        <w:t>单”不全现象，会议费报销附件依据不全，差旅费报销方面存在超标准报销、附件依据不全，公务用车违规使用车辆等情况。</w:t>
      </w:r>
    </w:p>
    <w:p>
      <w:pPr>
        <w:pStyle w:val="2"/>
        <w:spacing w:beforeLines="0" w:line="576" w:lineRule="exact"/>
        <w:ind w:firstLine="640" w:firstLineChars="200"/>
      </w:pPr>
      <w:r>
        <w:rPr>
          <w:rFonts w:hint="eastAsia"/>
          <w:sz w:val="32"/>
          <w:szCs w:val="32"/>
        </w:rPr>
        <w:t>该指标分值标准10分，根据指标评价标准和公式计算，得分8分。扣2分。</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（二）绩效结果应用分析</w:t>
      </w:r>
    </w:p>
    <w:p>
      <w:pPr>
        <w:spacing w:line="576" w:lineRule="exact"/>
        <w:ind w:firstLine="643" w:firstLineChars="200"/>
        <w:rPr>
          <w:rFonts w:ascii="仿宋_GB2312" w:eastAsia="仿宋_GB2312"/>
          <w:b/>
          <w:sz w:val="32"/>
          <w:szCs w:val="32"/>
        </w:rPr>
      </w:pPr>
      <w:r>
        <w:rPr>
          <w:rFonts w:hint="eastAsia" w:ascii="仿宋_GB2312" w:eastAsia="仿宋_GB2312"/>
          <w:b/>
          <w:sz w:val="32"/>
          <w:szCs w:val="32"/>
        </w:rPr>
        <w:t>1.自评质量</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黄洋镇人民政府2020年部门整体支出绩效自评得分93.5分（除自评质量指标外，满分96分）。根据现场评价情况，评价组对黄洋镇人民政府的考评得分为77.08分（除自评质量指标外，满分96分）。黄洋镇人民政府自评得分与评价组考评分的差异为16.42%。</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该指标分值标准4分，根据指标评价标准和公式计算，部门整体支出自评得分与评价组抽查得分差异在10%-20%的，得2分。</w:t>
      </w:r>
    </w:p>
    <w:p>
      <w:pPr>
        <w:spacing w:line="576" w:lineRule="exact"/>
        <w:ind w:firstLine="643" w:firstLineChars="200"/>
        <w:rPr>
          <w:rFonts w:ascii="仿宋_GB2312" w:eastAsia="仿宋_GB2312"/>
          <w:b/>
          <w:sz w:val="32"/>
          <w:szCs w:val="32"/>
        </w:rPr>
      </w:pPr>
      <w:r>
        <w:rPr>
          <w:rFonts w:hint="eastAsia" w:ascii="仿宋_GB2312" w:eastAsia="仿宋_GB2312"/>
          <w:b/>
          <w:sz w:val="32"/>
          <w:szCs w:val="32"/>
        </w:rPr>
        <w:t>2.信息公开</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（1）目标公开</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按照财政局要求，黄洋镇人民政府绩效目标说明已按要求随部门预算在政府网站向社会公开。</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该指标分值标准4分，根据指标评价标准和公式计算，得分4分。</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（2）自评公开。</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按照财政局要求，黄洋镇人民政府并将部门整体绩效自评情况和自行组织的评价情况随同决算公开。 </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该指标分值标准4分，根据指标评价标准和公式计算，得分4分。</w:t>
      </w:r>
    </w:p>
    <w:p>
      <w:pPr>
        <w:spacing w:line="576" w:lineRule="exact"/>
        <w:ind w:firstLine="643" w:firstLineChars="200"/>
        <w:rPr>
          <w:rFonts w:ascii="仿宋_GB2312" w:eastAsia="仿宋_GB2312"/>
          <w:b/>
          <w:sz w:val="32"/>
          <w:szCs w:val="32"/>
        </w:rPr>
      </w:pPr>
      <w:r>
        <w:rPr>
          <w:rFonts w:hint="eastAsia" w:ascii="仿宋_GB2312" w:eastAsia="仿宋_GB2312"/>
          <w:b/>
          <w:sz w:val="32"/>
          <w:szCs w:val="32"/>
        </w:rPr>
        <w:t>3.整改反馈</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黄洋镇人民政府按照《旺苍县财政局关于“三公”经费、违纪违规乱发钱物等专项检查发现问题的整改通知》（旺财办〔2020〕46号）要求按时将整改报告报送财政局，并整改到位，不扣分。做到了按时向财政部门报送相应绩效自评报告，不扣分。</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该指标分值标准4分，根据指标评价标准和公式计算，得分4分。</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四、存在的主要问题</w:t>
      </w:r>
    </w:p>
    <w:p>
      <w:pPr>
        <w:spacing w:line="576" w:lineRule="exact"/>
        <w:ind w:firstLine="643" w:firstLineChars="200"/>
        <w:rPr>
          <w:rFonts w:ascii="仿宋_GB2312" w:eastAsia="仿宋_GB2312"/>
          <w:sz w:val="32"/>
          <w:szCs w:val="32"/>
        </w:rPr>
      </w:pPr>
      <w:r>
        <w:rPr>
          <w:rFonts w:hint="eastAsia" w:ascii="楷体_GB2312" w:eastAsia="楷体_GB2312"/>
          <w:b/>
          <w:sz w:val="32"/>
          <w:szCs w:val="32"/>
        </w:rPr>
        <w:t>（一）绩效目标编制方面存在的问题。</w:t>
      </w:r>
      <w:r>
        <w:rPr>
          <w:rFonts w:hint="eastAsia" w:ascii="仿宋_GB2312" w:eastAsia="仿宋_GB2312"/>
          <w:sz w:val="32"/>
          <w:szCs w:val="32"/>
        </w:rPr>
        <w:t>1、总体绩效目标指标不全面、未充分细化量化。数量指标、质量指标、成本指标未对应年度主要任务，不够完整细化。2、绩效目标未与预算确定的资金量相匹配，缺少基层组织建设指标值。</w:t>
      </w:r>
    </w:p>
    <w:p>
      <w:pPr>
        <w:spacing w:line="576" w:lineRule="exact"/>
        <w:ind w:firstLine="643" w:firstLineChars="200"/>
        <w:rPr>
          <w:rFonts w:ascii="仿宋_GB2312" w:eastAsia="仿宋_GB2312"/>
          <w:sz w:val="32"/>
          <w:szCs w:val="32"/>
        </w:rPr>
      </w:pPr>
      <w:r>
        <w:rPr>
          <w:rFonts w:hint="eastAsia" w:ascii="楷体_GB2312" w:eastAsia="楷体_GB2312"/>
          <w:b/>
          <w:sz w:val="32"/>
          <w:szCs w:val="32"/>
        </w:rPr>
        <w:t>（二）全面实施预算绩效管理方面存在的问题。</w:t>
      </w:r>
      <w:r>
        <w:rPr>
          <w:rFonts w:hint="eastAsia" w:ascii="仿宋_GB2312" w:eastAsia="仿宋_GB2312"/>
          <w:sz w:val="32"/>
          <w:szCs w:val="32"/>
        </w:rPr>
        <w:t>预算执行进度缓慢，截</w:t>
      </w:r>
      <w:r>
        <w:rPr>
          <w:rFonts w:hint="eastAsia" w:ascii="仿宋_GB2312" w:eastAsia="仿宋_GB2312"/>
          <w:sz w:val="32"/>
          <w:szCs w:val="32"/>
          <w:lang w:eastAsia="zh-CN"/>
        </w:rPr>
        <w:t>至</w:t>
      </w:r>
      <w:r>
        <w:rPr>
          <w:rFonts w:hint="eastAsia" w:ascii="仿宋_GB2312" w:eastAsia="仿宋_GB2312"/>
          <w:sz w:val="32"/>
          <w:szCs w:val="32"/>
        </w:rPr>
        <w:t>2018年11月预算数1161.01万元，执行数643.54万元，执行进度55.43%，差目标比例27.07%。</w:t>
      </w:r>
    </w:p>
    <w:p>
      <w:pPr>
        <w:spacing w:line="576" w:lineRule="exact"/>
        <w:ind w:firstLine="643" w:firstLineChars="200"/>
        <w:rPr>
          <w:rFonts w:ascii="仿宋_GB2312" w:eastAsia="仿宋_GB2312"/>
          <w:sz w:val="32"/>
          <w:szCs w:val="32"/>
        </w:rPr>
      </w:pPr>
      <w:r>
        <w:rPr>
          <w:rFonts w:hint="eastAsia" w:ascii="楷体_GB2312" w:eastAsia="楷体_GB2312"/>
          <w:b/>
          <w:sz w:val="32"/>
          <w:szCs w:val="32"/>
        </w:rPr>
        <w:t>（三）预算编制方面存在的问题。</w:t>
      </w:r>
      <w:r>
        <w:rPr>
          <w:rFonts w:hint="eastAsia" w:ascii="仿宋_GB2312" w:eastAsia="仿宋_GB2312"/>
          <w:sz w:val="32"/>
          <w:szCs w:val="32"/>
        </w:rPr>
        <w:t>未严格按照财政部门预算编制要求编制部门预算，项目支出涉及的经济科目与预算编制的项目经费经济科目差异大，未对应。</w:t>
      </w:r>
    </w:p>
    <w:p>
      <w:pPr>
        <w:spacing w:line="576" w:lineRule="exact"/>
        <w:ind w:firstLine="643" w:firstLineChars="200"/>
        <w:rPr>
          <w:rFonts w:ascii="仿宋_GB2312" w:eastAsia="仿宋_GB2312"/>
          <w:sz w:val="32"/>
          <w:szCs w:val="32"/>
        </w:rPr>
      </w:pPr>
      <w:r>
        <w:rPr>
          <w:rFonts w:hint="eastAsia" w:ascii="楷体_GB2312" w:eastAsia="楷体_GB2312"/>
          <w:b/>
          <w:sz w:val="32"/>
          <w:szCs w:val="32"/>
        </w:rPr>
        <w:t>（四）财务管理、财经纪律等方面存在的问题。</w:t>
      </w:r>
      <w:r>
        <w:rPr>
          <w:rFonts w:hint="eastAsia" w:ascii="仿宋_GB2312" w:eastAsia="仿宋_GB2312"/>
          <w:sz w:val="32"/>
          <w:szCs w:val="32"/>
        </w:rPr>
        <w:t>公务卡未使用；内控制度还需完善，如：政府采购制度。</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五、整改措施及建议</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（一）按照《旺苍县预算绩效目标管理办法》规定，绩效目标编制要全面,并对预期目标充分细化量化，包括完成指标、效益指标和满意度指标等,保证指标的完整性。</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（二）进一步健全和完善内部控制制度，提高财务人员业务水平。规范财务收支管理，按照财政支出绩效管理的要求，建立科学的财政资金效益考评制度体系，加强财政资金监管，提高财政资金使用效益。</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（三）加快预算执行进度，提前谋划年度工作，对进度较慢的工作，加强督导，确保达到执行进度要求。</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（四）严格执行财经纪律及财务管理规定。建立健全内部控制制度，按要求使用公务卡。</w:t>
      </w:r>
    </w:p>
    <w:p>
      <w:pPr>
        <w:rPr>
          <w:rFonts w:hint="eastAsia"/>
        </w:rPr>
      </w:pPr>
      <w:r>
        <w:rPr>
          <w:rFonts w:hint="eastAsia"/>
        </w:rPr>
        <w:br w:type="page"/>
      </w:r>
    </w:p>
    <w:p>
      <w:pPr>
        <w:adjustRightInd w:val="0"/>
        <w:snapToGrid w:val="0"/>
        <w:spacing w:line="240" w:lineRule="atLeast"/>
        <w:jc w:val="center"/>
        <w:rPr>
          <w:rFonts w:ascii="方正小标宋简体" w:hAnsi="华文中宋" w:eastAsia="方正小标宋简体"/>
          <w:b/>
          <w:sz w:val="46"/>
          <w:szCs w:val="44"/>
        </w:rPr>
      </w:pPr>
      <w:r>
        <w:rPr>
          <w:rFonts w:hint="eastAsia" w:ascii="Calibri" w:hAnsi="Calibri" w:eastAsia="方正小标宋简体"/>
          <w:b/>
          <w:sz w:val="46"/>
          <w:szCs w:val="44"/>
        </w:rPr>
        <w:t>旺苍县天星镇人民政府</w:t>
      </w:r>
      <w:r>
        <w:rPr>
          <w:rFonts w:hint="eastAsia" w:ascii="方正小标宋简体" w:hAnsi="华文中宋" w:eastAsia="方正小标宋简体"/>
          <w:b/>
          <w:sz w:val="46"/>
          <w:szCs w:val="44"/>
        </w:rPr>
        <w:t>部门整体支出</w:t>
      </w: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绩</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效</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评</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价</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报</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告</w:t>
      </w: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pStyle w:val="2"/>
        <w:spacing w:before="93"/>
      </w:pPr>
    </w:p>
    <w:p>
      <w:pPr>
        <w:tabs>
          <w:tab w:val="left" w:pos="3885"/>
        </w:tabs>
        <w:snapToGrid w:val="0"/>
        <w:spacing w:line="600" w:lineRule="atLeast"/>
        <w:ind w:firstLine="803" w:firstLineChars="250"/>
        <w:jc w:val="left"/>
        <w:rPr>
          <w:rFonts w:hint="eastAsia" w:ascii="楷体_GB2312" w:hAnsi="楷体" w:eastAsia="楷体_GB2312" w:cs="楷体"/>
          <w:b/>
          <w:sz w:val="32"/>
          <w:szCs w:val="32"/>
        </w:rPr>
      </w:pPr>
      <w:r>
        <w:rPr>
          <w:rFonts w:hint="eastAsia" w:ascii="楷体_GB2312" w:hAnsi="楷体" w:eastAsia="楷体_GB2312" w:cs="楷体"/>
          <w:b/>
          <w:sz w:val="32"/>
          <w:szCs w:val="32"/>
        </w:rPr>
        <w:t>评价部门：旺苍县财政局</w:t>
      </w:r>
    </w:p>
    <w:p>
      <w:pPr>
        <w:tabs>
          <w:tab w:val="left" w:pos="3885"/>
        </w:tabs>
        <w:snapToGrid w:val="0"/>
        <w:spacing w:line="600" w:lineRule="atLeast"/>
        <w:ind w:firstLine="803" w:firstLineChars="250"/>
        <w:jc w:val="left"/>
        <w:rPr>
          <w:rFonts w:hint="eastAsia" w:ascii="楷体_GB2312" w:hAnsi="楷体" w:eastAsia="楷体_GB2312" w:cs="楷体"/>
          <w:b/>
          <w:sz w:val="32"/>
          <w:szCs w:val="32"/>
        </w:rPr>
      </w:pPr>
      <w:r>
        <w:rPr>
          <w:rFonts w:hint="eastAsia" w:ascii="楷体_GB2312" w:hAnsi="楷体" w:eastAsia="楷体_GB2312" w:cs="楷体"/>
          <w:b/>
          <w:sz w:val="32"/>
          <w:szCs w:val="32"/>
        </w:rPr>
        <w:t>评价人员：向敏  高松  向柳</w:t>
      </w:r>
    </w:p>
    <w:p>
      <w:pPr>
        <w:tabs>
          <w:tab w:val="left" w:pos="3885"/>
        </w:tabs>
        <w:snapToGrid w:val="0"/>
        <w:spacing w:line="600" w:lineRule="atLeast"/>
        <w:ind w:firstLine="803" w:firstLineChars="250"/>
        <w:jc w:val="left"/>
        <w:rPr>
          <w:rFonts w:hint="eastAsia" w:ascii="楷体_GB2312" w:hAnsi="楷体" w:eastAsia="楷体_GB2312" w:cs="楷体"/>
          <w:b/>
          <w:sz w:val="32"/>
          <w:szCs w:val="32"/>
        </w:rPr>
      </w:pPr>
      <w:r>
        <w:rPr>
          <w:rFonts w:hint="eastAsia" w:ascii="楷体_GB2312" w:hAnsi="楷体" w:eastAsia="楷体_GB2312" w:cs="楷体"/>
          <w:b/>
          <w:sz w:val="32"/>
          <w:szCs w:val="32"/>
        </w:rPr>
        <w:t>报告时间： 2021年9月30日</w:t>
      </w:r>
    </w:p>
    <w:p>
      <w:pPr>
        <w:pStyle w:val="2"/>
        <w:rPr>
          <w:rFonts w:hint="eastAsia"/>
        </w:rPr>
      </w:pPr>
    </w:p>
    <w:p>
      <w:pPr>
        <w:spacing w:line="576" w:lineRule="exact"/>
        <w:ind w:firstLine="640" w:firstLineChars="200"/>
        <w:rPr>
          <w:rFonts w:hint="eastAsia" w:ascii="黑体" w:hAnsi="黑体" w:eastAsia="黑体"/>
          <w:sz w:val="32"/>
          <w:szCs w:val="32"/>
        </w:rPr>
        <w:sectPr>
          <w:headerReference r:id="rId24" w:type="default"/>
          <w:footerReference r:id="rId25" w:type="default"/>
          <w:footerReference r:id="rId26" w:type="even"/>
          <w:pgSz w:w="11906" w:h="16838"/>
          <w:pgMar w:top="2098" w:right="1474" w:bottom="1985" w:left="1588" w:header="851" w:footer="1559" w:gutter="0"/>
          <w:pgNumType w:fmt="numberInDash" w:start="1"/>
          <w:cols w:space="720" w:num="1"/>
          <w:docGrid w:type="lines" w:linePitch="312" w:charSpace="0"/>
        </w:sectPr>
      </w:pP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一、部门概况</w:t>
      </w:r>
    </w:p>
    <w:p>
      <w:pPr>
        <w:spacing w:line="576" w:lineRule="exact"/>
        <w:ind w:firstLine="643" w:firstLineChars="200"/>
        <w:rPr>
          <w:rFonts w:hint="eastAsia" w:ascii="楷体_GB2312" w:hAnsi="黑体" w:eastAsia="楷体_GB2312"/>
          <w:b/>
          <w:sz w:val="32"/>
          <w:szCs w:val="32"/>
        </w:rPr>
      </w:pPr>
      <w:r>
        <w:rPr>
          <w:rFonts w:hint="eastAsia" w:ascii="楷体_GB2312" w:hAnsi="仿宋" w:eastAsia="楷体_GB2312" w:cs="楷体"/>
          <w:b/>
          <w:sz w:val="32"/>
          <w:szCs w:val="32"/>
        </w:rPr>
        <w:t>（一）机构组成</w:t>
      </w:r>
    </w:p>
    <w:p>
      <w:pPr>
        <w:pStyle w:val="21"/>
        <w:spacing w:line="576" w:lineRule="exact"/>
        <w:ind w:firstLine="640"/>
        <w:rPr>
          <w:rFonts w:hint="eastAsia" w:ascii="仿宋_GB2312" w:hAnsi="仿宋"/>
          <w:sz w:val="32"/>
          <w:szCs w:val="32"/>
        </w:rPr>
      </w:pPr>
      <w:r>
        <w:rPr>
          <w:rFonts w:hint="eastAsia" w:ascii="仿宋_GB2312" w:hAnsi="仿宋"/>
          <w:sz w:val="32"/>
          <w:szCs w:val="32"/>
        </w:rPr>
        <w:t>天星镇人民政府设内设机构6个。</w:t>
      </w:r>
    </w:p>
    <w:p>
      <w:pPr>
        <w:pStyle w:val="21"/>
        <w:spacing w:line="576" w:lineRule="exact"/>
        <w:ind w:firstLine="640"/>
        <w:rPr>
          <w:rFonts w:hint="eastAsia" w:ascii="仿宋_GB2312" w:hAnsi="仿宋"/>
          <w:sz w:val="32"/>
          <w:szCs w:val="32"/>
        </w:rPr>
      </w:pPr>
      <w:r>
        <w:rPr>
          <w:rFonts w:hint="eastAsia" w:ascii="仿宋_GB2312" w:hAnsi="仿宋"/>
          <w:sz w:val="32"/>
          <w:szCs w:val="32"/>
        </w:rPr>
        <w:t>内设机构：党政综合与乡村振兴办公室、党建工作办公室（村（社区）“两委”负责人，经济责任审计站）、综合行政执法办公室（城镇管理办公室、城乡规划建设和环境卫生整治办公室）、社会事务和治理工作办公室（矛盾纠纷多元化解协调中心、群众工作办公室、应急管理办公室）、经济发展办公室（扶贫开发办公室、生态环境保护办公室）、财政所。</w:t>
      </w:r>
    </w:p>
    <w:p>
      <w:pPr>
        <w:spacing w:line="576" w:lineRule="exact"/>
        <w:ind w:firstLine="643" w:firstLineChars="200"/>
        <w:rPr>
          <w:rFonts w:hint="eastAsia" w:ascii="楷体_GB2312" w:hAnsi="仿宋" w:eastAsia="楷体_GB2312" w:cs="楷体"/>
          <w:b/>
          <w:sz w:val="32"/>
          <w:szCs w:val="32"/>
        </w:rPr>
      </w:pPr>
      <w:r>
        <w:rPr>
          <w:rFonts w:hint="eastAsia" w:ascii="楷体_GB2312" w:hAnsi="仿宋" w:eastAsia="楷体_GB2312" w:cs="楷体"/>
          <w:b/>
          <w:sz w:val="32"/>
          <w:szCs w:val="32"/>
        </w:rPr>
        <w:t>（二）基本职能</w:t>
      </w:r>
    </w:p>
    <w:p>
      <w:pPr>
        <w:spacing w:line="576" w:lineRule="exact"/>
        <w:ind w:firstLine="803" w:firstLineChars="250"/>
        <w:rPr>
          <w:rFonts w:hint="eastAsia" w:ascii="仿宋_GB2312" w:hAnsi="仿宋" w:eastAsia="仿宋_GB2312"/>
          <w:sz w:val="32"/>
          <w:szCs w:val="32"/>
        </w:rPr>
      </w:pPr>
      <w:r>
        <w:rPr>
          <w:rFonts w:hint="eastAsia" w:ascii="仿宋_GB2312" w:hAnsi="仿宋" w:eastAsia="仿宋_GB2312"/>
          <w:b/>
          <w:bCs/>
          <w:sz w:val="32"/>
          <w:szCs w:val="32"/>
        </w:rPr>
        <w:t>一是</w:t>
      </w:r>
      <w:r>
        <w:rPr>
          <w:rFonts w:hint="eastAsia" w:ascii="仿宋_GB2312" w:hAnsi="仿宋" w:eastAsia="仿宋_GB2312"/>
          <w:sz w:val="32"/>
          <w:szCs w:val="32"/>
        </w:rPr>
        <w:t>贯彻执行党的路线方针政策、法律法规，不断推进民主建设。</w:t>
      </w:r>
      <w:r>
        <w:rPr>
          <w:rFonts w:hint="eastAsia" w:ascii="仿宋_GB2312" w:hAnsi="仿宋" w:eastAsia="仿宋_GB2312"/>
          <w:b/>
          <w:bCs/>
          <w:sz w:val="32"/>
          <w:szCs w:val="32"/>
        </w:rPr>
        <w:t>二是</w:t>
      </w:r>
      <w:r>
        <w:rPr>
          <w:rFonts w:hint="eastAsia" w:ascii="仿宋_GB2312" w:hAnsi="仿宋" w:eastAsia="仿宋_GB2312"/>
          <w:sz w:val="32"/>
          <w:szCs w:val="32"/>
        </w:rPr>
        <w:t>加快发展农村经济，切实增加农民收入。</w:t>
      </w:r>
      <w:r>
        <w:rPr>
          <w:rFonts w:hint="eastAsia" w:ascii="仿宋_GB2312" w:hAnsi="仿宋" w:eastAsia="仿宋_GB2312"/>
          <w:b/>
          <w:bCs/>
          <w:sz w:val="32"/>
          <w:szCs w:val="32"/>
        </w:rPr>
        <w:t>三是</w:t>
      </w:r>
      <w:r>
        <w:rPr>
          <w:rFonts w:hint="eastAsia" w:ascii="仿宋_GB2312" w:hAnsi="仿宋" w:eastAsia="仿宋_GB2312"/>
          <w:sz w:val="32"/>
          <w:szCs w:val="32"/>
        </w:rPr>
        <w:t>推行政务公开，扩大农民的知情权与参与权。</w:t>
      </w:r>
      <w:r>
        <w:rPr>
          <w:rFonts w:hint="eastAsia" w:ascii="仿宋_GB2312" w:hAnsi="仿宋" w:eastAsia="仿宋_GB2312"/>
          <w:b/>
          <w:bCs/>
          <w:sz w:val="32"/>
          <w:szCs w:val="32"/>
        </w:rPr>
        <w:t>四是</w:t>
      </w:r>
      <w:r>
        <w:rPr>
          <w:rFonts w:hint="eastAsia" w:ascii="仿宋_GB2312" w:hAnsi="仿宋" w:eastAsia="仿宋_GB2312"/>
          <w:sz w:val="32"/>
          <w:szCs w:val="32"/>
        </w:rPr>
        <w:t>提高社会管理水平，创造良好发展环境，规范农村集体经济管理，推进政务、村务、财务公开；抓好人口与计划生育工作，保障妇女儿童合法权益；加强安全生产和公共安全管理，及时上报和处理重大社情、疫情、险情，保障人民群众的生命财产安全。</w:t>
      </w:r>
      <w:r>
        <w:rPr>
          <w:rFonts w:hint="eastAsia" w:ascii="仿宋_GB2312" w:hAnsi="仿宋" w:eastAsia="仿宋_GB2312"/>
          <w:b/>
          <w:bCs/>
          <w:sz w:val="32"/>
          <w:szCs w:val="32"/>
        </w:rPr>
        <w:t>五是</w:t>
      </w:r>
      <w:r>
        <w:rPr>
          <w:rFonts w:hint="eastAsia" w:ascii="仿宋_GB2312" w:hAnsi="仿宋" w:eastAsia="仿宋_GB2312"/>
          <w:sz w:val="32"/>
          <w:szCs w:val="32"/>
        </w:rPr>
        <w:t>积极发展公益事业，提供公共服务保障。</w:t>
      </w:r>
      <w:r>
        <w:rPr>
          <w:rFonts w:hint="eastAsia" w:ascii="仿宋_GB2312" w:hAnsi="仿宋" w:eastAsia="仿宋_GB2312"/>
          <w:b/>
          <w:bCs/>
          <w:sz w:val="32"/>
          <w:szCs w:val="32"/>
        </w:rPr>
        <w:t>六是</w:t>
      </w:r>
      <w:r>
        <w:rPr>
          <w:rFonts w:hint="eastAsia" w:ascii="仿宋_GB2312" w:hAnsi="仿宋" w:eastAsia="仿宋_GB2312"/>
          <w:sz w:val="32"/>
          <w:szCs w:val="32"/>
        </w:rPr>
        <w:t xml:space="preserve">大力加强综合治理，有效维护社会稳定。  </w:t>
      </w:r>
    </w:p>
    <w:p>
      <w:pPr>
        <w:spacing w:line="576" w:lineRule="exact"/>
        <w:ind w:firstLine="643" w:firstLineChars="200"/>
        <w:rPr>
          <w:rFonts w:hint="eastAsia" w:ascii="楷体_GB2312" w:hAnsi="仿宋" w:eastAsia="楷体_GB2312" w:cs="楷体"/>
          <w:b/>
          <w:sz w:val="32"/>
          <w:szCs w:val="32"/>
        </w:rPr>
      </w:pPr>
      <w:r>
        <w:rPr>
          <w:rFonts w:hint="eastAsia" w:ascii="楷体_GB2312" w:hAnsi="仿宋" w:eastAsia="楷体_GB2312" w:cs="楷体"/>
          <w:b/>
          <w:sz w:val="32"/>
          <w:szCs w:val="32"/>
        </w:rPr>
        <w:t>（三）人员概况</w:t>
      </w:r>
    </w:p>
    <w:p>
      <w:pPr>
        <w:spacing w:line="576" w:lineRule="exact"/>
        <w:ind w:firstLine="640" w:firstLineChars="200"/>
        <w:rPr>
          <w:rFonts w:hint="eastAsia" w:ascii="仿宋_GB2312" w:hAnsi="仿宋" w:eastAsia="仿宋_GB2312"/>
          <w:spacing w:val="-6"/>
          <w:sz w:val="32"/>
          <w:szCs w:val="32"/>
        </w:rPr>
      </w:pPr>
      <w:r>
        <w:rPr>
          <w:rFonts w:hint="eastAsia" w:ascii="仿宋_GB2312" w:hAnsi="仿宋" w:eastAsia="仿宋_GB2312"/>
          <w:sz w:val="32"/>
          <w:szCs w:val="32"/>
        </w:rPr>
        <w:t>旺苍县天星镇人民政府下属二级预算单位0个。</w:t>
      </w:r>
      <w:r>
        <w:rPr>
          <w:rFonts w:hint="eastAsia" w:ascii="仿宋_GB2312" w:hAnsi="仿宋" w:eastAsia="仿宋_GB2312"/>
          <w:spacing w:val="-6"/>
          <w:sz w:val="32"/>
          <w:szCs w:val="32"/>
        </w:rPr>
        <w:t>总编制47名，其中行政编制17名，机关工勤编制1名，事业编制29名（其中：无参照公务员法管理的事业编制）。在职人员总数47人，其中公务员17人，机关工勤人员1人，事业人员29人（其中：无参照公务员法管理的事业人员）。</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二、部门财政资金收支情况</w:t>
      </w:r>
    </w:p>
    <w:p>
      <w:pPr>
        <w:spacing w:line="576" w:lineRule="exact"/>
        <w:ind w:firstLine="643" w:firstLineChars="200"/>
        <w:rPr>
          <w:rFonts w:hint="eastAsia" w:ascii="楷体_GB2312" w:hAnsi="仿宋" w:eastAsia="楷体_GB2312" w:cs="楷体"/>
          <w:b/>
          <w:sz w:val="32"/>
          <w:szCs w:val="32"/>
        </w:rPr>
      </w:pPr>
      <w:r>
        <w:rPr>
          <w:rFonts w:hint="eastAsia" w:ascii="楷体_GB2312" w:hAnsi="仿宋" w:eastAsia="楷体_GB2312" w:cs="楷体"/>
          <w:b/>
          <w:sz w:val="32"/>
          <w:szCs w:val="32"/>
        </w:rPr>
        <w:t>（一）部门决策情况</w:t>
      </w:r>
    </w:p>
    <w:p>
      <w:pPr>
        <w:spacing w:line="576" w:lineRule="exact"/>
        <w:ind w:firstLine="640" w:firstLineChars="200"/>
        <w:rPr>
          <w:rFonts w:hint="eastAsia" w:ascii="仿宋_GB2312" w:hAnsi="仿宋" w:eastAsia="仿宋_GB2312"/>
          <w:sz w:val="32"/>
          <w:szCs w:val="32"/>
        </w:rPr>
      </w:pPr>
      <w:r>
        <w:rPr>
          <w:rFonts w:hint="eastAsia" w:ascii="仿宋_GB2312" w:hAnsi="仿宋" w:eastAsia="仿宋_GB2312" w:cs="仿宋"/>
          <w:bCs/>
          <w:sz w:val="32"/>
          <w:szCs w:val="32"/>
        </w:rPr>
        <w:t>天星镇人民政府2020年重点工作如下：</w:t>
      </w:r>
      <w:r>
        <w:rPr>
          <w:rFonts w:hint="eastAsia" w:ascii="仿宋_GB2312" w:hAnsi="仿宋" w:eastAsia="仿宋_GB2312"/>
          <w:sz w:val="32"/>
          <w:szCs w:val="32"/>
        </w:rPr>
        <w:t xml:space="preserve"> </w:t>
      </w:r>
    </w:p>
    <w:p>
      <w:pPr>
        <w:spacing w:line="576" w:lineRule="exact"/>
        <w:ind w:firstLine="630" w:firstLineChars="196"/>
        <w:rPr>
          <w:rFonts w:hint="eastAsia" w:ascii="仿宋_GB2312" w:hAnsi="仿宋" w:eastAsia="仿宋_GB2312" w:cs="仿宋_GB2312"/>
          <w:sz w:val="32"/>
          <w:szCs w:val="32"/>
        </w:rPr>
      </w:pPr>
      <w:r>
        <w:rPr>
          <w:rFonts w:hint="eastAsia" w:ascii="仿宋_GB2312" w:hAnsi="仿宋" w:eastAsia="仿宋_GB2312" w:cs="楷体_GB2312"/>
          <w:b/>
          <w:bCs/>
          <w:sz w:val="32"/>
          <w:szCs w:val="32"/>
        </w:rPr>
        <w:t>1、脱贫攻坚：</w:t>
      </w:r>
      <w:r>
        <w:rPr>
          <w:rFonts w:hint="eastAsia" w:ascii="仿宋_GB2312" w:hAnsi="仿宋" w:eastAsia="仿宋_GB2312" w:cs="仿宋_GB2312"/>
          <w:sz w:val="32"/>
          <w:szCs w:val="32"/>
        </w:rPr>
        <w:t>2020年完成户脱贫19户41人；全镇贫困户572户1830人实现全部脱贫，并通过发展五小短产业、鼓励外出务工、推荐就业岗位等措施全面完成已脱贫户巩固提升，人均收入有较大提高。</w:t>
      </w:r>
      <w:r>
        <w:rPr>
          <w:rFonts w:hint="eastAsia" w:ascii="仿宋_GB2312" w:hAnsi="仿宋" w:eastAsia="仿宋_GB2312" w:cs="仿宋_GB2312"/>
          <w:color w:val="000000"/>
          <w:sz w:val="32"/>
          <w:szCs w:val="32"/>
        </w:rPr>
        <w:t>完成小额信贷清收490余万元，截</w:t>
      </w:r>
      <w:r>
        <w:rPr>
          <w:rFonts w:hint="eastAsia" w:ascii="仿宋_GB2312" w:hAnsi="仿宋" w:eastAsia="仿宋_GB2312" w:cs="仿宋_GB2312"/>
          <w:color w:val="000000"/>
          <w:sz w:val="32"/>
          <w:szCs w:val="32"/>
          <w:lang w:eastAsia="zh-CN"/>
        </w:rPr>
        <w:t>至</w:t>
      </w:r>
      <w:r>
        <w:rPr>
          <w:rFonts w:hint="eastAsia" w:ascii="仿宋_GB2312" w:hAnsi="仿宋" w:eastAsia="仿宋_GB2312" w:cs="仿宋_GB2312"/>
          <w:color w:val="000000"/>
          <w:sz w:val="32"/>
          <w:szCs w:val="32"/>
        </w:rPr>
        <w:t>12月底，全镇小额信贷逾期金额0元。</w:t>
      </w:r>
      <w:r>
        <w:rPr>
          <w:rFonts w:hint="eastAsia" w:ascii="仿宋_GB2312" w:hAnsi="仿宋" w:eastAsia="仿宋_GB2312" w:cs="仿宋_GB2312"/>
          <w:sz w:val="32"/>
          <w:szCs w:val="32"/>
        </w:rPr>
        <w:t>实施农村安全饮水项目，新建自流引水工程13处，铺设管网72.3公里。全面完成脱贫奔康三年交通大会战年度目标任务；全面完成扶贫产品销售体系建设年度目标任务。</w:t>
      </w:r>
    </w:p>
    <w:p>
      <w:pPr>
        <w:spacing w:line="576" w:lineRule="exact"/>
        <w:ind w:firstLine="630" w:firstLineChars="196"/>
        <w:rPr>
          <w:rFonts w:hint="eastAsia" w:ascii="仿宋_GB2312" w:hAnsi="仿宋" w:eastAsia="仿宋_GB2312" w:cs="仿宋_GB2312"/>
          <w:color w:val="0D0D0D"/>
          <w:sz w:val="32"/>
          <w:szCs w:val="32"/>
        </w:rPr>
      </w:pPr>
      <w:r>
        <w:rPr>
          <w:rFonts w:hint="eastAsia" w:ascii="仿宋_GB2312" w:hAnsi="仿宋" w:eastAsia="仿宋_GB2312" w:cs="楷体_GB2312"/>
          <w:b/>
          <w:bCs/>
          <w:sz w:val="32"/>
          <w:szCs w:val="32"/>
        </w:rPr>
        <w:t>2、防范化解重大风险：</w:t>
      </w:r>
      <w:r>
        <w:rPr>
          <w:rFonts w:hint="eastAsia" w:ascii="仿宋_GB2312" w:hAnsi="仿宋" w:eastAsia="仿宋_GB2312" w:cs="仿宋_GB2312"/>
          <w:sz w:val="32"/>
          <w:szCs w:val="32"/>
        </w:rPr>
        <w:t>全面完成国家安全工作年度目标任务。排查矛盾纠纷156件，调解成功156件，成功率100%。及时办理和化解各类信访问题，全面办理各类网上信访、领导批示件等各类信访件70余件。严格落实安全生产党政同责、“一岗双责”制，充分利用各种法治宣传活动和赶场日，加大安全生产、食药安全、消防安全，特别是森林防灭火的宣传普及力度。加强农村道路交通安全监管，全年开展“119”消防宣传月、“安全生产月”、森林防灭火、道路交通等安全生产大检查和专项整治等活动50余次，确保安全生产工作常态化、制度化、规范化。严格落实食品药品安全党政同责制，全年开展食品药品安全监督管理检查20余次，宣传活动4次，全年无食品药品安全责任事故发生。常态化抓好疫情防控。</w:t>
      </w:r>
      <w:r>
        <w:rPr>
          <w:rFonts w:hint="eastAsia" w:ascii="仿宋_GB2312" w:hAnsi="仿宋" w:eastAsia="仿宋_GB2312" w:cs="仿宋_GB2312"/>
          <w:color w:val="0D0D0D"/>
          <w:sz w:val="32"/>
          <w:szCs w:val="32"/>
        </w:rPr>
        <w:t>坚决落实农村地区疫情防控各项任务，按照“五有一网格”防控要求，认真制定了《天星镇新冠肺炎疫情防控指南》、健全完善了疫情防控相关制度、明确责任到人、充实物资储备、建强村级联防联控网格化队伍，组建党员突击队14支，扎实做好重点人群的信息登记、摸排和日常健康监测；严控密集聚集活动，落实农村自办宴席的管控，严防人员聚集。加强疫情防控宣传，通过线上旺苍发布、旺苍融媒等APP平台下载推广、微信群、QQ群，和线下张贴公告、悬挂标语等多种方式，让疫情防控最新的通知要求传达到每家每户。</w:t>
      </w:r>
    </w:p>
    <w:p>
      <w:pPr>
        <w:spacing w:line="576" w:lineRule="exact"/>
        <w:ind w:firstLine="630" w:firstLineChars="196"/>
        <w:rPr>
          <w:rFonts w:hint="eastAsia" w:ascii="仿宋_GB2312" w:hAnsi="仿宋" w:eastAsia="仿宋_GB2312" w:cs="楷体_GB2312"/>
          <w:b/>
          <w:bCs/>
          <w:sz w:val="32"/>
          <w:szCs w:val="32"/>
        </w:rPr>
      </w:pPr>
      <w:r>
        <w:rPr>
          <w:rFonts w:hint="eastAsia" w:ascii="仿宋_GB2312" w:hAnsi="仿宋" w:eastAsia="仿宋_GB2312" w:cs="楷体_GB2312"/>
          <w:b/>
          <w:bCs/>
          <w:sz w:val="32"/>
          <w:szCs w:val="32"/>
        </w:rPr>
        <w:t>3、污染防治：</w:t>
      </w:r>
      <w:r>
        <w:rPr>
          <w:rFonts w:hint="eastAsia" w:ascii="仿宋_GB2312" w:hAnsi="仿宋" w:eastAsia="仿宋_GB2312" w:cs="仿宋_GB2312"/>
          <w:sz w:val="32"/>
          <w:szCs w:val="32"/>
        </w:rPr>
        <w:t>每季度召开一次干部环保法规培训会、环境保护委员会成员单位会议，全年开展环保联合检查12次。持续抓好秸秆禁烧工作，在强化秸秆禁烧宣传教育的基础上，严格落实联系村领导包片、驻村干部包村、村干部包组的工作机制。全面落实“河长制”工作要求，深入开展清河、护岸、净水、保水四项行动，做到有巡河方案、有记录资料、有问题清单、有宣传报道、有问题反馈，确保水资源治理的常态化和长效性。巩固“国家级卫生乡镇”创建成果，持续开展门前“双包”、“五乱治理”，不断健全环境卫生保洁长效机制。深入开展各类专项整治行动，确保了辖区内卫生秩序持续好转。在全镇开展义务植树活动，12月底在云峰村种植笋用竹1.1万亩。开展农村乱占耕地建房专项整治行动，清理违建房屋213处，涉及面积44.41亩。</w:t>
      </w:r>
    </w:p>
    <w:p>
      <w:pPr>
        <w:spacing w:line="576" w:lineRule="exact"/>
        <w:ind w:firstLine="630" w:firstLineChars="196"/>
        <w:rPr>
          <w:rFonts w:hint="eastAsia" w:ascii="仿宋_GB2312" w:hAnsi="仿宋" w:eastAsia="仿宋_GB2312" w:cs="楷体_GB2312"/>
          <w:b/>
          <w:bCs/>
          <w:sz w:val="32"/>
          <w:szCs w:val="32"/>
        </w:rPr>
      </w:pPr>
      <w:r>
        <w:rPr>
          <w:rFonts w:hint="eastAsia" w:ascii="仿宋_GB2312" w:hAnsi="仿宋" w:eastAsia="仿宋_GB2312" w:cs="楷体_GB2312"/>
          <w:b/>
          <w:bCs/>
          <w:sz w:val="32"/>
          <w:szCs w:val="32"/>
        </w:rPr>
        <w:t>4、项目投资：</w:t>
      </w:r>
      <w:r>
        <w:rPr>
          <w:rFonts w:hint="eastAsia" w:ascii="仿宋_GB2312" w:hAnsi="仿宋" w:eastAsia="仿宋_GB2312" w:cs="仿宋_GB2312"/>
          <w:sz w:val="32"/>
          <w:szCs w:val="32"/>
        </w:rPr>
        <w:t>全年完成社会固定资产投资0.77亿元，项目入库0.674亿元。</w:t>
      </w:r>
      <w:r>
        <w:rPr>
          <w:rFonts w:hint="eastAsia" w:ascii="仿宋_GB2312" w:hAnsi="仿宋" w:eastAsia="仿宋_GB2312" w:cs="仿宋_GB2312"/>
          <w:kern w:val="0"/>
          <w:sz w:val="32"/>
          <w:szCs w:val="32"/>
        </w:rPr>
        <w:t>做好S301、G5京昆复线、土地增减挂钩等项目建设协调服务。加快推进</w:t>
      </w:r>
      <w:r>
        <w:rPr>
          <w:rFonts w:hint="eastAsia" w:ascii="仿宋_GB2312" w:hAnsi="仿宋" w:eastAsia="仿宋_GB2312" w:cs="仿宋_GB2312"/>
          <w:sz w:val="32"/>
          <w:szCs w:val="32"/>
        </w:rPr>
        <w:t>土地增减挂钩项目，全镇启动新建集中安置点3个，拆除危旧房240户（拆旧建新84户，只拆不建156户），土地复垦面积102亩。招商引资到位市外资金3100万元，</w:t>
      </w:r>
      <w:r>
        <w:rPr>
          <w:rFonts w:hint="eastAsia" w:ascii="仿宋_GB2312" w:hAnsi="仿宋" w:eastAsia="仿宋_GB2312"/>
          <w:color w:val="0D0D0D"/>
          <w:sz w:val="32"/>
          <w:szCs w:val="32"/>
        </w:rPr>
        <w:t>完成任务数的118.3%。</w:t>
      </w:r>
    </w:p>
    <w:p>
      <w:pPr>
        <w:spacing w:line="576" w:lineRule="exact"/>
        <w:ind w:firstLine="630" w:firstLineChars="196"/>
        <w:rPr>
          <w:rFonts w:hint="eastAsia" w:ascii="仿宋_GB2312" w:hAnsi="仿宋" w:eastAsia="仿宋_GB2312" w:cs="楷体_GB2312"/>
          <w:b/>
          <w:bCs/>
          <w:sz w:val="32"/>
          <w:szCs w:val="32"/>
        </w:rPr>
      </w:pPr>
      <w:r>
        <w:rPr>
          <w:rFonts w:hint="eastAsia" w:ascii="仿宋_GB2312" w:hAnsi="仿宋" w:eastAsia="仿宋_GB2312" w:cs="楷体_GB2312"/>
          <w:b/>
          <w:bCs/>
          <w:sz w:val="32"/>
          <w:szCs w:val="32"/>
        </w:rPr>
        <w:t>5、产业发展：</w:t>
      </w:r>
      <w:r>
        <w:rPr>
          <w:rFonts w:hint="eastAsia" w:ascii="仿宋_GB2312" w:hAnsi="仿宋" w:eastAsia="仿宋_GB2312" w:cs="仿宋_GB2312"/>
          <w:sz w:val="32"/>
          <w:szCs w:val="32"/>
        </w:rPr>
        <w:t>完成地区生产总值增长任务。年出栏生猪12051头，新（改扩）建500头以上生猪规模养殖场2个。新引进年出栏2万头以上生猪养殖企业1家。实现粮食总产量1.679万吨，种植地道药材1040亩。完成大山村核桃管护550亩，农经、光辉、红光、新农、洪水等村核桃品种改良2220亩。</w:t>
      </w:r>
    </w:p>
    <w:p>
      <w:pPr>
        <w:spacing w:line="576" w:lineRule="exact"/>
        <w:ind w:firstLine="630" w:firstLineChars="196"/>
        <w:rPr>
          <w:rFonts w:hint="eastAsia" w:ascii="仿宋_GB2312" w:hAnsi="仿宋" w:eastAsia="仿宋_GB2312" w:cs="楷体_GB2312"/>
          <w:b/>
          <w:bCs/>
          <w:sz w:val="32"/>
          <w:szCs w:val="32"/>
        </w:rPr>
      </w:pPr>
      <w:r>
        <w:rPr>
          <w:rFonts w:hint="eastAsia" w:ascii="仿宋_GB2312" w:hAnsi="仿宋" w:eastAsia="仿宋_GB2312" w:cs="楷体_GB2312"/>
          <w:b/>
          <w:bCs/>
          <w:sz w:val="32"/>
          <w:szCs w:val="32"/>
        </w:rPr>
        <w:t>6、乡村振兴：</w:t>
      </w:r>
      <w:r>
        <w:rPr>
          <w:rFonts w:hint="eastAsia" w:ascii="仿宋_GB2312" w:hAnsi="仿宋" w:eastAsia="仿宋_GB2312" w:cs="仿宋_GB2312"/>
          <w:sz w:val="32"/>
          <w:szCs w:val="32"/>
        </w:rPr>
        <w:t>按时完成住户调查工作，预计实现农村居民人均可支配收入分别增长15%。在黄松村实施农村人居环境整治整村推进，改造农村无害化厕所67户。完成民生工程年度目标任务。</w:t>
      </w:r>
    </w:p>
    <w:p>
      <w:pPr>
        <w:spacing w:line="576" w:lineRule="exact"/>
        <w:ind w:firstLine="630" w:firstLineChars="196"/>
        <w:rPr>
          <w:rFonts w:hint="eastAsia" w:ascii="仿宋_GB2312" w:hAnsi="仿宋" w:eastAsia="仿宋_GB2312" w:cs="楷体_GB2312"/>
          <w:b/>
          <w:bCs/>
          <w:sz w:val="32"/>
          <w:szCs w:val="32"/>
        </w:rPr>
      </w:pPr>
      <w:r>
        <w:rPr>
          <w:rFonts w:hint="eastAsia" w:ascii="仿宋_GB2312" w:hAnsi="仿宋" w:eastAsia="仿宋_GB2312" w:cs="楷体_GB2312"/>
          <w:b/>
          <w:bCs/>
          <w:sz w:val="32"/>
          <w:szCs w:val="32"/>
        </w:rPr>
        <w:t>7、改革创新：</w:t>
      </w:r>
      <w:r>
        <w:rPr>
          <w:rFonts w:hint="eastAsia" w:ascii="仿宋_GB2312" w:hAnsi="仿宋" w:eastAsia="仿宋_GB2312" w:cs="仿宋_GB2312"/>
          <w:sz w:val="32"/>
          <w:szCs w:val="32"/>
        </w:rPr>
        <w:t>持续巩固农村集体产权制度改革成果。全面完成乡镇行政区划调整、村级建制调整改革及村民小组优化改革工作。加大城乡基层治理，持续优化营商环境。壮大村级集体经济，新农村、大山村、黄松村、云峰村2020年集体经济人均收入分别达到：39.3元、76.5元、78.7元、65.6元。</w:t>
      </w:r>
    </w:p>
    <w:p>
      <w:pPr>
        <w:spacing w:line="576" w:lineRule="exact"/>
        <w:ind w:firstLine="630" w:firstLineChars="196"/>
        <w:rPr>
          <w:rFonts w:hint="eastAsia" w:ascii="仿宋_GB2312" w:hAnsi="仿宋" w:eastAsia="仿宋_GB2312" w:cs="楷体_GB2312"/>
          <w:b/>
          <w:bCs/>
          <w:sz w:val="32"/>
          <w:szCs w:val="32"/>
        </w:rPr>
      </w:pPr>
      <w:r>
        <w:rPr>
          <w:rFonts w:hint="eastAsia" w:ascii="仿宋_GB2312" w:hAnsi="仿宋" w:eastAsia="仿宋_GB2312" w:cs="楷体_GB2312"/>
          <w:b/>
          <w:bCs/>
          <w:sz w:val="32"/>
          <w:szCs w:val="32"/>
        </w:rPr>
        <w:t>8、依法治县：</w:t>
      </w:r>
      <w:r>
        <w:rPr>
          <w:rFonts w:hint="eastAsia" w:ascii="仿宋_GB2312" w:hAnsi="仿宋" w:eastAsia="仿宋_GB2312" w:cs="仿宋_GB2312"/>
          <w:color w:val="000000"/>
          <w:sz w:val="32"/>
          <w:szCs w:val="32"/>
        </w:rPr>
        <w:t>结合“法律七进”活动，深入开展法制扶贫行动，举办法治培训11次，开展普法宣传20余次，发放法制宣传资料4000余份。扫黑除恶专项斗争和禁毒工作。积极开展扫黑除恶和禁毒宣传，</w:t>
      </w:r>
      <w:r>
        <w:rPr>
          <w:rFonts w:hint="eastAsia" w:ascii="仿宋_GB2312" w:hAnsi="仿宋" w:eastAsia="仿宋_GB2312" w:cs="仿宋_GB2312"/>
          <w:kern w:val="0"/>
          <w:sz w:val="32"/>
          <w:szCs w:val="32"/>
        </w:rPr>
        <w:t>发放宣传资料2000余份，悬挂宣传标语22幅，LED滚动播放宣传标语21条。加强日常</w:t>
      </w:r>
      <w:r>
        <w:rPr>
          <w:rFonts w:hint="eastAsia" w:ascii="仿宋_GB2312" w:hAnsi="仿宋" w:eastAsia="仿宋_GB2312" w:cs="仿宋_GB2312"/>
          <w:color w:val="000000"/>
          <w:sz w:val="32"/>
          <w:szCs w:val="32"/>
        </w:rPr>
        <w:t>走访排查和禁毒人员管理。</w:t>
      </w:r>
    </w:p>
    <w:p>
      <w:pPr>
        <w:spacing w:line="576" w:lineRule="exact"/>
        <w:ind w:firstLine="630" w:firstLineChars="196"/>
        <w:rPr>
          <w:rFonts w:hint="eastAsia" w:ascii="仿宋_GB2312" w:hAnsi="仿宋" w:eastAsia="仿宋_GB2312" w:cs="楷体_GB2312"/>
          <w:b/>
          <w:bCs/>
          <w:sz w:val="32"/>
          <w:szCs w:val="32"/>
        </w:rPr>
      </w:pPr>
      <w:r>
        <w:rPr>
          <w:rFonts w:hint="eastAsia" w:ascii="仿宋_GB2312" w:hAnsi="仿宋" w:eastAsia="仿宋_GB2312" w:cs="楷体_GB2312"/>
          <w:b/>
          <w:bCs/>
          <w:sz w:val="32"/>
          <w:szCs w:val="32"/>
        </w:rPr>
        <w:t>9、从严治党：</w:t>
      </w:r>
      <w:r>
        <w:rPr>
          <w:rFonts w:hint="eastAsia" w:ascii="仿宋_GB2312" w:hAnsi="仿宋" w:eastAsia="仿宋_GB2312" w:cs="仿宋_GB2312"/>
          <w:sz w:val="32"/>
          <w:szCs w:val="32"/>
        </w:rPr>
        <w:t>全年组织召开警示教育大会5次，主要领导讲廉政党课2次，全面完成巡察反馈的3类11个问题的整改，诫勉谈话7人次，建立长效机制9个。加强党风廉政建设和反腐败工作，坚决整治餐饮浪费和违反中央八项规定精神行为，查处党员干部违纪案件3件，党纪处分3人，始终坚持以民为本，大力开展“纪检干部清风行”活动，收集各类民生诉求18条，整改或化解18条，成功举行“干部大接访暨惠农惠民政策答疑现场会”，发放各类政策宣传手册1000余份，现场妥善回应解决问题诉求20余条。在广元日报、四川在线等新闻媒体刊发党风廉政建设经验文章7篇。构建科学合理的农村基层组织，激发乡村振兴内生动力。严格按照全县高质量做好村“两委”换届工作要求，严肃换届纪律、严格换届程序，顺利完成党组织换届选举工作。</w:t>
      </w:r>
      <w:r>
        <w:rPr>
          <w:rFonts w:hint="eastAsia" w:ascii="仿宋_GB2312" w:hAnsi="仿宋" w:eastAsia="仿宋_GB2312" w:cs="仿宋_GB2312"/>
          <w:color w:val="000000"/>
          <w:sz w:val="32"/>
          <w:szCs w:val="32"/>
        </w:rPr>
        <w:t>严格党员发展程序，全年发展党员8名。加强村级后备干部培养储备，全面培养村级后备干部18名；建立乡土人才超市1个，储备乡土人才20名。</w:t>
      </w:r>
    </w:p>
    <w:p>
      <w:pPr>
        <w:spacing w:line="576" w:lineRule="exact"/>
        <w:ind w:firstLine="643" w:firstLineChars="200"/>
        <w:rPr>
          <w:rFonts w:hint="eastAsia" w:ascii="楷体_GB2312" w:hAnsi="仿宋" w:eastAsia="楷体_GB2312" w:cs="楷体"/>
          <w:b/>
          <w:sz w:val="32"/>
          <w:szCs w:val="32"/>
        </w:rPr>
      </w:pPr>
      <w:r>
        <w:rPr>
          <w:rFonts w:hint="eastAsia" w:ascii="楷体_GB2312" w:hAnsi="仿宋" w:eastAsia="楷体_GB2312" w:cs="楷体"/>
          <w:b/>
          <w:sz w:val="32"/>
          <w:szCs w:val="32"/>
        </w:rPr>
        <w:t>（二）部门财政资金收入情况</w:t>
      </w:r>
    </w:p>
    <w:p>
      <w:pPr>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2020年天星镇人民政府</w:t>
      </w:r>
      <w:r>
        <w:rPr>
          <w:rFonts w:hint="eastAsia" w:ascii="仿宋_GB2312" w:hAnsi="仿宋" w:eastAsia="仿宋_GB2312" w:cs="仿宋_GB2312"/>
          <w:color w:val="000000"/>
          <w:sz w:val="32"/>
          <w:szCs w:val="32"/>
        </w:rPr>
        <w:t>本年收入合计974万元，其中：一般公共预算财政拨款收入973万元，占99.9%；政府性基金预算财政拨款收入1万元，占0.1%；国有资本经营预算财政拨款收入0万元，占0%；事业收入0万元，占0%；经营收入0万元，占0%；附属单位上缴收入0万元，占0%；其他收入0万元，占0%。</w:t>
      </w:r>
      <w:r>
        <w:rPr>
          <w:rFonts w:hint="eastAsia" w:ascii="仿宋_GB2312" w:hAnsi="仿宋" w:eastAsia="仿宋_GB2312"/>
          <w:sz w:val="32"/>
          <w:szCs w:val="32"/>
        </w:rPr>
        <w:t>上年结转267.47万元，具体情况见表1-1：</w:t>
      </w:r>
    </w:p>
    <w:p>
      <w:pPr>
        <w:pStyle w:val="19"/>
        <w:spacing w:after="0"/>
        <w:ind w:firstLine="562" w:firstLineChars="200"/>
        <w:rPr>
          <w:rFonts w:ascii="仿宋" w:hAnsi="仿宋" w:eastAsia="仿宋"/>
          <w:sz w:val="28"/>
        </w:rPr>
      </w:pPr>
      <w:r>
        <w:rPr>
          <w:rFonts w:hint="eastAsia" w:ascii="仿宋" w:hAnsi="仿宋" w:eastAsia="仿宋"/>
          <w:sz w:val="28"/>
        </w:rPr>
        <w:t>表1</w:t>
      </w:r>
      <w:r>
        <w:rPr>
          <w:rFonts w:ascii="仿宋" w:hAnsi="仿宋" w:eastAsia="仿宋"/>
          <w:sz w:val="28"/>
        </w:rPr>
        <w:t>-</w:t>
      </w:r>
      <w:r>
        <w:rPr>
          <w:rFonts w:hint="eastAsia" w:ascii="仿宋" w:hAnsi="仿宋" w:eastAsia="仿宋"/>
          <w:sz w:val="28"/>
        </w:rPr>
        <w:t>1  2020</w:t>
      </w:r>
      <w:r>
        <w:rPr>
          <w:rFonts w:ascii="仿宋" w:hAnsi="仿宋" w:eastAsia="仿宋"/>
          <w:sz w:val="28"/>
        </w:rPr>
        <w:t>年</w:t>
      </w:r>
      <w:r>
        <w:rPr>
          <w:rFonts w:hint="eastAsia" w:ascii="仿宋" w:hAnsi="仿宋" w:eastAsia="仿宋"/>
          <w:sz w:val="28"/>
        </w:rPr>
        <w:t>天星镇人民政府</w:t>
      </w:r>
      <w:r>
        <w:rPr>
          <w:rFonts w:ascii="仿宋" w:hAnsi="仿宋" w:eastAsia="仿宋"/>
          <w:sz w:val="28"/>
        </w:rPr>
        <w:t>收入预决算情况表</w:t>
      </w:r>
    </w:p>
    <w:p>
      <w:pPr>
        <w:pStyle w:val="19"/>
        <w:spacing w:after="0"/>
        <w:ind w:right="480" w:firstLine="480" w:firstLineChars="200"/>
        <w:jc w:val="right"/>
        <w:rPr>
          <w:rFonts w:ascii="仿宋" w:hAnsi="仿宋" w:eastAsia="仿宋"/>
          <w:b w:val="0"/>
          <w:szCs w:val="24"/>
        </w:rPr>
      </w:pPr>
      <w:r>
        <w:rPr>
          <w:rFonts w:hint="eastAsia" w:ascii="仿宋" w:hAnsi="仿宋" w:eastAsia="仿宋"/>
          <w:b w:val="0"/>
          <w:szCs w:val="24"/>
        </w:rPr>
        <w:t>单位</w:t>
      </w:r>
      <w:r>
        <w:rPr>
          <w:rFonts w:ascii="仿宋" w:hAnsi="仿宋" w:eastAsia="仿宋"/>
          <w:b w:val="0"/>
          <w:szCs w:val="24"/>
        </w:rPr>
        <w:t>：万元</w:t>
      </w:r>
    </w:p>
    <w:tbl>
      <w:tblPr>
        <w:tblStyle w:val="12"/>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4"/>
        <w:gridCol w:w="1889"/>
        <w:gridCol w:w="18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trPr>
        <w:tc>
          <w:tcPr>
            <w:tcW w:w="3454" w:type="dxa"/>
            <w:noWrap w:val="0"/>
            <w:vAlign w:val="top"/>
          </w:tcPr>
          <w:p>
            <w:pPr>
              <w:pStyle w:val="20"/>
              <w:ind w:firstLine="420" w:firstLineChars="200"/>
              <w:rPr>
                <w:rFonts w:ascii="宋体" w:hAnsi="宋体" w:eastAsia="宋体"/>
                <w:color w:val="auto"/>
                <w:sz w:val="21"/>
                <w:szCs w:val="21"/>
              </w:rPr>
            </w:pPr>
          </w:p>
        </w:tc>
        <w:tc>
          <w:tcPr>
            <w:tcW w:w="1889" w:type="dxa"/>
            <w:noWrap w:val="0"/>
            <w:vAlign w:val="top"/>
          </w:tcPr>
          <w:p>
            <w:pPr>
              <w:pStyle w:val="20"/>
              <w:rPr>
                <w:rFonts w:ascii="宋体" w:hAnsi="宋体" w:eastAsia="宋体"/>
                <w:b/>
                <w:bCs w:val="0"/>
                <w:color w:val="auto"/>
                <w:sz w:val="21"/>
                <w:szCs w:val="21"/>
              </w:rPr>
            </w:pPr>
            <w:r>
              <w:rPr>
                <w:rFonts w:hint="eastAsia" w:ascii="宋体" w:hAnsi="宋体" w:eastAsia="宋体"/>
                <w:b/>
                <w:bCs w:val="0"/>
                <w:color w:val="auto"/>
                <w:sz w:val="21"/>
                <w:szCs w:val="21"/>
              </w:rPr>
              <w:t>收入预算数</w:t>
            </w:r>
          </w:p>
        </w:tc>
        <w:tc>
          <w:tcPr>
            <w:tcW w:w="1890" w:type="dxa"/>
            <w:noWrap w:val="0"/>
            <w:vAlign w:val="top"/>
          </w:tcPr>
          <w:p>
            <w:pPr>
              <w:pStyle w:val="20"/>
              <w:rPr>
                <w:rFonts w:ascii="宋体" w:hAnsi="宋体" w:eastAsia="宋体"/>
                <w:b/>
                <w:bCs w:val="0"/>
                <w:color w:val="auto"/>
                <w:sz w:val="21"/>
                <w:szCs w:val="21"/>
              </w:rPr>
            </w:pPr>
            <w:r>
              <w:rPr>
                <w:rFonts w:hint="eastAsia" w:ascii="宋体" w:hAnsi="宋体" w:eastAsia="宋体"/>
                <w:b/>
                <w:bCs w:val="0"/>
                <w:color w:val="auto"/>
                <w:sz w:val="21"/>
                <w:szCs w:val="21"/>
              </w:rPr>
              <w:t>收入调整数</w:t>
            </w:r>
          </w:p>
        </w:tc>
        <w:tc>
          <w:tcPr>
            <w:tcW w:w="1890" w:type="dxa"/>
            <w:noWrap w:val="0"/>
            <w:vAlign w:val="top"/>
          </w:tcPr>
          <w:p>
            <w:pPr>
              <w:pStyle w:val="20"/>
              <w:rPr>
                <w:rFonts w:ascii="宋体" w:hAnsi="宋体" w:eastAsia="宋体"/>
                <w:b/>
                <w:bCs w:val="0"/>
                <w:color w:val="auto"/>
                <w:sz w:val="21"/>
                <w:szCs w:val="21"/>
              </w:rPr>
            </w:pPr>
            <w:r>
              <w:rPr>
                <w:rFonts w:hint="eastAsia" w:ascii="宋体" w:hAnsi="宋体" w:eastAsia="宋体"/>
                <w:b/>
                <w:bCs w:val="0"/>
                <w:color w:val="auto"/>
                <w:sz w:val="21"/>
                <w:szCs w:val="21"/>
              </w:rPr>
              <w:t>收入决算数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454" w:type="dxa"/>
            <w:noWrap w:val="0"/>
            <w:vAlign w:val="top"/>
          </w:tcPr>
          <w:p>
            <w:pPr>
              <w:pStyle w:val="20"/>
              <w:rPr>
                <w:rFonts w:ascii="宋体" w:hAnsi="宋体" w:eastAsia="宋体"/>
                <w:color w:val="auto"/>
                <w:sz w:val="21"/>
                <w:szCs w:val="21"/>
              </w:rPr>
            </w:pPr>
            <w:r>
              <w:rPr>
                <w:rFonts w:hint="eastAsia" w:ascii="宋体" w:hAnsi="宋体" w:eastAsia="宋体"/>
                <w:color w:val="auto"/>
                <w:sz w:val="21"/>
                <w:szCs w:val="21"/>
              </w:rPr>
              <w:t>一般公共预算财政拨款收入</w:t>
            </w:r>
          </w:p>
        </w:tc>
        <w:tc>
          <w:tcPr>
            <w:tcW w:w="1889" w:type="dxa"/>
            <w:noWrap w:val="0"/>
            <w:vAlign w:val="top"/>
          </w:tcPr>
          <w:p>
            <w:pPr>
              <w:pStyle w:val="20"/>
              <w:ind w:firstLine="420" w:firstLineChars="200"/>
              <w:rPr>
                <w:rFonts w:ascii="宋体" w:hAnsi="宋体" w:eastAsia="宋体"/>
                <w:color w:val="auto"/>
                <w:sz w:val="21"/>
                <w:szCs w:val="21"/>
                <w:lang w:val="en-US"/>
              </w:rPr>
            </w:pPr>
            <w:r>
              <w:rPr>
                <w:rFonts w:hint="eastAsia" w:ascii="宋体" w:hAnsi="宋体" w:eastAsia="宋体"/>
                <w:color w:val="auto"/>
                <w:sz w:val="21"/>
                <w:szCs w:val="21"/>
                <w:lang w:val="en-US"/>
              </w:rPr>
              <w:t>916.02</w:t>
            </w:r>
          </w:p>
        </w:tc>
        <w:tc>
          <w:tcPr>
            <w:tcW w:w="1890" w:type="dxa"/>
            <w:noWrap w:val="0"/>
            <w:vAlign w:val="top"/>
          </w:tcPr>
          <w:p>
            <w:pPr>
              <w:pStyle w:val="20"/>
              <w:ind w:firstLine="420" w:firstLineChars="200"/>
              <w:rPr>
                <w:rFonts w:ascii="宋体" w:hAnsi="宋体" w:eastAsia="宋体"/>
                <w:color w:val="auto"/>
                <w:sz w:val="21"/>
                <w:szCs w:val="21"/>
                <w:lang w:val="en-US"/>
              </w:rPr>
            </w:pPr>
            <w:r>
              <w:rPr>
                <w:rFonts w:hint="eastAsia" w:ascii="宋体" w:hAnsi="宋体" w:eastAsia="宋体"/>
                <w:color w:val="auto"/>
                <w:sz w:val="21"/>
                <w:szCs w:val="21"/>
                <w:lang w:val="en-US"/>
              </w:rPr>
              <w:t>973</w:t>
            </w:r>
          </w:p>
        </w:tc>
        <w:tc>
          <w:tcPr>
            <w:tcW w:w="1890" w:type="dxa"/>
            <w:noWrap w:val="0"/>
            <w:vAlign w:val="top"/>
          </w:tcPr>
          <w:p>
            <w:pPr>
              <w:pStyle w:val="20"/>
              <w:ind w:firstLine="420" w:firstLineChars="200"/>
              <w:rPr>
                <w:rFonts w:ascii="宋体" w:hAnsi="宋体" w:eastAsia="宋体"/>
                <w:color w:val="auto"/>
                <w:sz w:val="21"/>
                <w:szCs w:val="21"/>
                <w:lang w:val="en-US"/>
              </w:rPr>
            </w:pPr>
            <w:r>
              <w:rPr>
                <w:rFonts w:hint="eastAsia" w:ascii="宋体" w:hAnsi="宋体" w:eastAsia="宋体"/>
                <w:color w:val="auto"/>
                <w:sz w:val="21"/>
                <w:szCs w:val="21"/>
                <w:lang w:val="en-US"/>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454" w:type="dxa"/>
            <w:noWrap w:val="0"/>
            <w:vAlign w:val="top"/>
          </w:tcPr>
          <w:p>
            <w:pPr>
              <w:pStyle w:val="20"/>
              <w:rPr>
                <w:rFonts w:ascii="宋体" w:hAnsi="宋体" w:eastAsia="宋体"/>
                <w:color w:val="auto"/>
                <w:sz w:val="21"/>
                <w:szCs w:val="21"/>
              </w:rPr>
            </w:pPr>
            <w:r>
              <w:rPr>
                <w:rFonts w:hint="eastAsia" w:ascii="宋体" w:hAnsi="宋体" w:eastAsia="宋体"/>
                <w:color w:val="auto"/>
                <w:sz w:val="21"/>
                <w:szCs w:val="21"/>
              </w:rPr>
              <w:t>政府性基金预算财政拨款收入</w:t>
            </w:r>
          </w:p>
        </w:tc>
        <w:tc>
          <w:tcPr>
            <w:tcW w:w="1889" w:type="dxa"/>
            <w:noWrap w:val="0"/>
            <w:vAlign w:val="top"/>
          </w:tcPr>
          <w:p>
            <w:pPr>
              <w:pStyle w:val="20"/>
              <w:ind w:firstLine="420" w:firstLineChars="200"/>
              <w:rPr>
                <w:rFonts w:ascii="宋体" w:hAnsi="宋体" w:eastAsia="宋体"/>
                <w:color w:val="auto"/>
                <w:sz w:val="21"/>
                <w:szCs w:val="21"/>
                <w:lang w:val="en-US"/>
              </w:rPr>
            </w:pPr>
          </w:p>
        </w:tc>
        <w:tc>
          <w:tcPr>
            <w:tcW w:w="1890" w:type="dxa"/>
            <w:noWrap w:val="0"/>
            <w:vAlign w:val="top"/>
          </w:tcPr>
          <w:p>
            <w:pPr>
              <w:pStyle w:val="20"/>
              <w:ind w:firstLine="420" w:firstLineChars="200"/>
              <w:rPr>
                <w:rFonts w:ascii="宋体" w:hAnsi="宋体" w:eastAsia="宋体"/>
                <w:color w:val="auto"/>
                <w:sz w:val="21"/>
                <w:szCs w:val="21"/>
                <w:lang w:val="en-US"/>
              </w:rPr>
            </w:pPr>
            <w:r>
              <w:rPr>
                <w:rFonts w:hint="eastAsia" w:ascii="宋体" w:hAnsi="宋体" w:eastAsia="宋体"/>
                <w:color w:val="auto"/>
                <w:sz w:val="21"/>
                <w:szCs w:val="21"/>
                <w:lang w:val="en-US"/>
              </w:rPr>
              <w:t>1</w:t>
            </w:r>
          </w:p>
        </w:tc>
        <w:tc>
          <w:tcPr>
            <w:tcW w:w="1890" w:type="dxa"/>
            <w:noWrap w:val="0"/>
            <w:vAlign w:val="top"/>
          </w:tcPr>
          <w:p>
            <w:pPr>
              <w:pStyle w:val="20"/>
              <w:ind w:firstLine="420" w:firstLineChars="200"/>
              <w:rPr>
                <w:rFonts w:ascii="宋体" w:hAnsi="宋体" w:eastAsia="宋体"/>
                <w:color w:val="auto"/>
                <w:sz w:val="21"/>
                <w:szCs w:val="21"/>
                <w:lang w:val="en-US"/>
              </w:rPr>
            </w:pPr>
            <w:r>
              <w:rPr>
                <w:rFonts w:hint="eastAsia" w:ascii="宋体" w:hAnsi="宋体" w:eastAsia="宋体"/>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454" w:type="dxa"/>
            <w:noWrap w:val="0"/>
            <w:vAlign w:val="top"/>
          </w:tcPr>
          <w:p>
            <w:pPr>
              <w:pStyle w:val="20"/>
              <w:ind w:firstLine="420" w:firstLineChars="200"/>
              <w:rPr>
                <w:rFonts w:ascii="宋体" w:hAnsi="宋体" w:eastAsia="宋体"/>
                <w:color w:val="auto"/>
                <w:sz w:val="21"/>
                <w:szCs w:val="21"/>
              </w:rPr>
            </w:pPr>
            <w:r>
              <w:rPr>
                <w:rFonts w:hint="eastAsia" w:ascii="宋体" w:hAnsi="宋体" w:eastAsia="宋体"/>
                <w:color w:val="auto"/>
                <w:sz w:val="21"/>
                <w:szCs w:val="21"/>
              </w:rPr>
              <w:t>经营收入</w:t>
            </w:r>
          </w:p>
        </w:tc>
        <w:tc>
          <w:tcPr>
            <w:tcW w:w="1889" w:type="dxa"/>
            <w:noWrap w:val="0"/>
            <w:vAlign w:val="top"/>
          </w:tcPr>
          <w:p>
            <w:pPr>
              <w:pStyle w:val="20"/>
              <w:ind w:firstLine="420" w:firstLineChars="200"/>
              <w:rPr>
                <w:rFonts w:ascii="宋体" w:hAnsi="宋体" w:eastAsia="宋体"/>
                <w:color w:val="auto"/>
                <w:sz w:val="21"/>
                <w:szCs w:val="21"/>
              </w:rPr>
            </w:pPr>
          </w:p>
        </w:tc>
        <w:tc>
          <w:tcPr>
            <w:tcW w:w="1890" w:type="dxa"/>
            <w:noWrap w:val="0"/>
            <w:vAlign w:val="top"/>
          </w:tcPr>
          <w:p>
            <w:pPr>
              <w:pStyle w:val="20"/>
              <w:ind w:firstLine="420" w:firstLineChars="200"/>
              <w:rPr>
                <w:rFonts w:ascii="宋体" w:hAnsi="宋体" w:eastAsia="宋体"/>
                <w:color w:val="auto"/>
                <w:sz w:val="21"/>
                <w:szCs w:val="21"/>
              </w:rPr>
            </w:pPr>
          </w:p>
        </w:tc>
        <w:tc>
          <w:tcPr>
            <w:tcW w:w="1890" w:type="dxa"/>
            <w:noWrap w:val="0"/>
            <w:vAlign w:val="top"/>
          </w:tcPr>
          <w:p>
            <w:pPr>
              <w:pStyle w:val="20"/>
              <w:ind w:firstLine="420" w:firstLineChars="200"/>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454" w:type="dxa"/>
            <w:noWrap w:val="0"/>
            <w:vAlign w:val="top"/>
          </w:tcPr>
          <w:p>
            <w:pPr>
              <w:pStyle w:val="20"/>
              <w:ind w:firstLine="420" w:firstLineChars="200"/>
              <w:rPr>
                <w:rFonts w:ascii="宋体" w:hAnsi="宋体" w:eastAsia="宋体"/>
                <w:color w:val="auto"/>
                <w:sz w:val="21"/>
                <w:szCs w:val="21"/>
              </w:rPr>
            </w:pPr>
            <w:r>
              <w:rPr>
                <w:rFonts w:hint="eastAsia" w:ascii="宋体" w:hAnsi="宋体" w:eastAsia="宋体"/>
                <w:color w:val="auto"/>
                <w:sz w:val="21"/>
                <w:szCs w:val="21"/>
              </w:rPr>
              <w:t>其他收入</w:t>
            </w:r>
          </w:p>
        </w:tc>
        <w:tc>
          <w:tcPr>
            <w:tcW w:w="1889" w:type="dxa"/>
            <w:noWrap w:val="0"/>
            <w:vAlign w:val="top"/>
          </w:tcPr>
          <w:p>
            <w:pPr>
              <w:pStyle w:val="20"/>
              <w:ind w:firstLine="420" w:firstLineChars="200"/>
              <w:rPr>
                <w:rFonts w:ascii="宋体" w:hAnsi="宋体" w:eastAsia="宋体"/>
                <w:color w:val="auto"/>
                <w:sz w:val="21"/>
                <w:szCs w:val="21"/>
              </w:rPr>
            </w:pPr>
          </w:p>
        </w:tc>
        <w:tc>
          <w:tcPr>
            <w:tcW w:w="1890" w:type="dxa"/>
            <w:noWrap w:val="0"/>
            <w:vAlign w:val="top"/>
          </w:tcPr>
          <w:p>
            <w:pPr>
              <w:pStyle w:val="20"/>
              <w:ind w:firstLine="420" w:firstLineChars="200"/>
              <w:rPr>
                <w:rFonts w:ascii="宋体" w:hAnsi="宋体" w:eastAsia="宋体"/>
                <w:color w:val="auto"/>
                <w:sz w:val="21"/>
                <w:szCs w:val="21"/>
              </w:rPr>
            </w:pPr>
          </w:p>
        </w:tc>
        <w:tc>
          <w:tcPr>
            <w:tcW w:w="1890" w:type="dxa"/>
            <w:noWrap w:val="0"/>
            <w:vAlign w:val="top"/>
          </w:tcPr>
          <w:p>
            <w:pPr>
              <w:pStyle w:val="20"/>
              <w:ind w:firstLine="420" w:firstLineChars="200"/>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454" w:type="dxa"/>
            <w:noWrap w:val="0"/>
            <w:vAlign w:val="top"/>
          </w:tcPr>
          <w:p>
            <w:pPr>
              <w:pStyle w:val="20"/>
              <w:ind w:firstLine="420" w:firstLineChars="200"/>
              <w:rPr>
                <w:rFonts w:ascii="宋体" w:hAnsi="宋体" w:eastAsia="宋体"/>
                <w:color w:val="auto"/>
                <w:sz w:val="21"/>
                <w:szCs w:val="21"/>
              </w:rPr>
            </w:pPr>
            <w:r>
              <w:rPr>
                <w:rFonts w:hint="eastAsia" w:ascii="宋体" w:hAnsi="宋体" w:eastAsia="宋体"/>
                <w:color w:val="auto"/>
                <w:sz w:val="21"/>
                <w:szCs w:val="21"/>
              </w:rPr>
              <w:t>年初</w:t>
            </w:r>
            <w:r>
              <w:rPr>
                <w:rFonts w:ascii="宋体" w:hAnsi="宋体" w:eastAsia="宋体"/>
                <w:color w:val="auto"/>
                <w:sz w:val="21"/>
                <w:szCs w:val="21"/>
              </w:rPr>
              <w:t>结转结余</w:t>
            </w:r>
          </w:p>
        </w:tc>
        <w:tc>
          <w:tcPr>
            <w:tcW w:w="1889" w:type="dxa"/>
            <w:noWrap w:val="0"/>
            <w:vAlign w:val="top"/>
          </w:tcPr>
          <w:p>
            <w:pPr>
              <w:pStyle w:val="20"/>
              <w:ind w:firstLine="420" w:firstLineChars="200"/>
              <w:rPr>
                <w:rFonts w:ascii="宋体" w:hAnsi="宋体" w:eastAsia="宋体"/>
                <w:color w:val="auto"/>
                <w:sz w:val="21"/>
                <w:szCs w:val="21"/>
                <w:lang w:val="en-US"/>
              </w:rPr>
            </w:pPr>
            <w:r>
              <w:rPr>
                <w:rFonts w:hint="eastAsia" w:ascii="宋体" w:hAnsi="宋体" w:eastAsia="宋体"/>
                <w:color w:val="auto"/>
                <w:sz w:val="21"/>
                <w:szCs w:val="21"/>
                <w:lang w:val="en-US"/>
              </w:rPr>
              <w:t>257.51</w:t>
            </w:r>
          </w:p>
        </w:tc>
        <w:tc>
          <w:tcPr>
            <w:tcW w:w="1890" w:type="dxa"/>
            <w:noWrap w:val="0"/>
            <w:vAlign w:val="top"/>
          </w:tcPr>
          <w:p>
            <w:pPr>
              <w:pStyle w:val="20"/>
              <w:ind w:firstLine="420" w:firstLineChars="200"/>
              <w:rPr>
                <w:rFonts w:ascii="宋体" w:hAnsi="宋体" w:eastAsia="宋体"/>
                <w:color w:val="auto"/>
                <w:sz w:val="21"/>
                <w:szCs w:val="21"/>
                <w:lang w:val="en-US"/>
              </w:rPr>
            </w:pPr>
            <w:r>
              <w:rPr>
                <w:rFonts w:hint="eastAsia" w:ascii="宋体" w:hAnsi="宋体" w:eastAsia="宋体"/>
                <w:color w:val="auto"/>
                <w:sz w:val="21"/>
                <w:szCs w:val="21"/>
                <w:lang w:val="en-US"/>
              </w:rPr>
              <w:t>267.47</w:t>
            </w:r>
          </w:p>
        </w:tc>
        <w:tc>
          <w:tcPr>
            <w:tcW w:w="1890" w:type="dxa"/>
            <w:noWrap w:val="0"/>
            <w:vAlign w:val="top"/>
          </w:tcPr>
          <w:p>
            <w:pPr>
              <w:pStyle w:val="20"/>
              <w:ind w:firstLine="420" w:firstLineChars="200"/>
              <w:rPr>
                <w:rFonts w:ascii="宋体" w:hAnsi="宋体" w:eastAsia="宋体"/>
                <w:color w:val="auto"/>
                <w:sz w:val="21"/>
                <w:szCs w:val="21"/>
                <w:lang w:val="en-US"/>
              </w:rPr>
            </w:pPr>
            <w:r>
              <w:rPr>
                <w:rFonts w:hint="eastAsia" w:ascii="宋体" w:hAnsi="宋体" w:eastAsia="宋体"/>
                <w:color w:val="auto"/>
                <w:sz w:val="21"/>
                <w:szCs w:val="21"/>
                <w:lang w:val="en-US"/>
              </w:rPr>
              <w:t>267.47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454" w:type="dxa"/>
            <w:noWrap w:val="0"/>
            <w:vAlign w:val="top"/>
          </w:tcPr>
          <w:p>
            <w:pPr>
              <w:pStyle w:val="20"/>
              <w:ind w:firstLine="422" w:firstLineChars="200"/>
              <w:rPr>
                <w:rFonts w:ascii="宋体" w:hAnsi="宋体" w:eastAsia="宋体"/>
                <w:b/>
                <w:bCs w:val="0"/>
                <w:color w:val="auto"/>
                <w:sz w:val="21"/>
                <w:szCs w:val="21"/>
              </w:rPr>
            </w:pPr>
            <w:r>
              <w:rPr>
                <w:rFonts w:hint="eastAsia" w:ascii="宋体" w:hAnsi="宋体" w:eastAsia="宋体"/>
                <w:b/>
                <w:bCs w:val="0"/>
                <w:color w:val="auto"/>
                <w:sz w:val="21"/>
                <w:szCs w:val="21"/>
              </w:rPr>
              <w:t>合计</w:t>
            </w:r>
          </w:p>
        </w:tc>
        <w:tc>
          <w:tcPr>
            <w:tcW w:w="1889" w:type="dxa"/>
            <w:noWrap w:val="0"/>
            <w:vAlign w:val="top"/>
          </w:tcPr>
          <w:p>
            <w:pPr>
              <w:pStyle w:val="20"/>
              <w:ind w:firstLine="422" w:firstLineChars="200"/>
              <w:rPr>
                <w:rFonts w:ascii="宋体" w:hAnsi="宋体" w:eastAsia="宋体"/>
                <w:b/>
                <w:bCs w:val="0"/>
                <w:color w:val="auto"/>
                <w:sz w:val="21"/>
                <w:szCs w:val="21"/>
                <w:lang w:val="en-US"/>
              </w:rPr>
            </w:pPr>
            <w:r>
              <w:rPr>
                <w:rFonts w:hint="eastAsia" w:ascii="宋体" w:hAnsi="宋体" w:eastAsia="宋体"/>
                <w:b/>
                <w:bCs w:val="0"/>
                <w:color w:val="auto"/>
                <w:sz w:val="21"/>
                <w:szCs w:val="21"/>
                <w:lang w:val="en-US"/>
              </w:rPr>
              <w:t>1173.53</w:t>
            </w:r>
          </w:p>
        </w:tc>
        <w:tc>
          <w:tcPr>
            <w:tcW w:w="1890" w:type="dxa"/>
            <w:noWrap w:val="0"/>
            <w:vAlign w:val="top"/>
          </w:tcPr>
          <w:p>
            <w:pPr>
              <w:pStyle w:val="20"/>
              <w:ind w:firstLine="422" w:firstLineChars="200"/>
              <w:rPr>
                <w:rFonts w:ascii="宋体" w:hAnsi="宋体" w:eastAsia="宋体"/>
                <w:b/>
                <w:bCs w:val="0"/>
                <w:color w:val="auto"/>
                <w:sz w:val="21"/>
                <w:szCs w:val="21"/>
                <w:lang w:val="en-US"/>
              </w:rPr>
            </w:pPr>
            <w:r>
              <w:rPr>
                <w:rFonts w:hint="eastAsia" w:ascii="宋体" w:hAnsi="宋体" w:eastAsia="宋体"/>
                <w:b/>
                <w:bCs w:val="0"/>
                <w:color w:val="auto"/>
                <w:sz w:val="21"/>
                <w:szCs w:val="21"/>
                <w:lang w:val="en-US"/>
              </w:rPr>
              <w:t>1241.47</w:t>
            </w:r>
          </w:p>
        </w:tc>
        <w:tc>
          <w:tcPr>
            <w:tcW w:w="1890" w:type="dxa"/>
            <w:noWrap w:val="0"/>
            <w:vAlign w:val="top"/>
          </w:tcPr>
          <w:p>
            <w:pPr>
              <w:pStyle w:val="20"/>
              <w:ind w:firstLine="422" w:firstLineChars="200"/>
              <w:rPr>
                <w:rFonts w:ascii="宋体" w:hAnsi="宋体" w:eastAsia="宋体"/>
                <w:b/>
                <w:bCs w:val="0"/>
                <w:color w:val="auto"/>
                <w:sz w:val="21"/>
                <w:szCs w:val="21"/>
                <w:lang w:val="en-US"/>
              </w:rPr>
            </w:pPr>
            <w:r>
              <w:rPr>
                <w:rFonts w:hint="eastAsia" w:ascii="宋体" w:hAnsi="宋体" w:eastAsia="宋体"/>
                <w:b/>
                <w:bCs w:val="0"/>
                <w:color w:val="auto"/>
                <w:sz w:val="21"/>
                <w:szCs w:val="21"/>
                <w:lang w:val="en-US"/>
              </w:rPr>
              <w:t>1241.47</w:t>
            </w:r>
          </w:p>
        </w:tc>
      </w:tr>
    </w:tbl>
    <w:p>
      <w:pPr>
        <w:spacing w:line="560" w:lineRule="exact"/>
        <w:ind w:firstLine="643" w:firstLineChars="200"/>
        <w:rPr>
          <w:rFonts w:hint="eastAsia" w:ascii="楷体_GB2312" w:hAnsi="仿宋" w:eastAsia="楷体_GB2312" w:cs="楷体"/>
          <w:b/>
          <w:sz w:val="32"/>
          <w:szCs w:val="32"/>
        </w:rPr>
      </w:pPr>
    </w:p>
    <w:p>
      <w:pPr>
        <w:spacing w:line="560" w:lineRule="exact"/>
        <w:ind w:firstLine="643" w:firstLineChars="200"/>
        <w:rPr>
          <w:rFonts w:ascii="楷体_GB2312" w:hAnsi="仿宋" w:eastAsia="楷体_GB2312" w:cs="楷体"/>
          <w:b/>
          <w:sz w:val="32"/>
          <w:szCs w:val="32"/>
        </w:rPr>
      </w:pPr>
      <w:r>
        <w:rPr>
          <w:rFonts w:hint="eastAsia" w:ascii="楷体_GB2312" w:hAnsi="仿宋" w:eastAsia="楷体_GB2312" w:cs="楷体"/>
          <w:b/>
          <w:sz w:val="32"/>
          <w:szCs w:val="32"/>
        </w:rPr>
        <w:t>（三）部门财政资金支出情况</w:t>
      </w:r>
    </w:p>
    <w:p>
      <w:pPr>
        <w:pStyle w:val="22"/>
        <w:spacing w:line="576" w:lineRule="exact"/>
        <w:rPr>
          <w:rFonts w:hint="eastAsia" w:ascii="仿宋_GB2312" w:hAnsi="仿宋"/>
          <w:lang w:val="en-US"/>
        </w:rPr>
      </w:pPr>
      <w:r>
        <w:rPr>
          <w:rFonts w:hint="eastAsia" w:ascii="仿宋_GB2312" w:hAnsi="仿宋"/>
          <w:lang w:val="en-US"/>
        </w:rPr>
        <w:t>2</w:t>
      </w:r>
      <w:r>
        <w:rPr>
          <w:rFonts w:hint="eastAsia" w:ascii="仿宋_GB2312" w:hAnsi="仿宋"/>
        </w:rPr>
        <w:t>020年天星镇人民政府支出合计1065.19万元，其中：基本支出950.83万元，占89.26%；项目支出114.36万元，占10.74%；上缴上级支出0万元，占0%；经营支出0万元，占0%；对附属单位补助支出0万元，占0%；年末结转结余176.28万元。年初支出预算数为</w:t>
      </w:r>
      <w:r>
        <w:rPr>
          <w:rFonts w:hint="eastAsia" w:ascii="仿宋_GB2312" w:hAnsi="仿宋"/>
          <w:lang w:val="en-US"/>
        </w:rPr>
        <w:t>1173.53</w:t>
      </w:r>
      <w:r>
        <w:rPr>
          <w:rFonts w:hint="eastAsia" w:ascii="仿宋_GB2312" w:hAnsi="仿宋"/>
        </w:rPr>
        <w:t>万元，支出调整预算数为</w:t>
      </w:r>
      <w:r>
        <w:rPr>
          <w:rFonts w:hint="eastAsia" w:ascii="仿宋_GB2312" w:hAnsi="仿宋"/>
          <w:lang w:val="en-US"/>
        </w:rPr>
        <w:t>1241.47</w:t>
      </w:r>
      <w:r>
        <w:rPr>
          <w:rFonts w:hint="eastAsia" w:ascii="仿宋_GB2312" w:hAnsi="仿宋"/>
        </w:rPr>
        <w:t>万元，支出决算数为</w:t>
      </w:r>
      <w:r>
        <w:rPr>
          <w:rFonts w:hint="eastAsia" w:ascii="仿宋_GB2312" w:hAnsi="仿宋"/>
          <w:lang w:val="en-US"/>
        </w:rPr>
        <w:t>1241.47</w:t>
      </w:r>
      <w:r>
        <w:rPr>
          <w:rFonts w:hint="eastAsia" w:ascii="仿宋_GB2312" w:hAnsi="仿宋"/>
        </w:rPr>
        <w:t>万元。具体情况见表</w:t>
      </w:r>
      <w:r>
        <w:rPr>
          <w:rFonts w:hint="eastAsia" w:ascii="仿宋_GB2312" w:hAnsi="仿宋"/>
          <w:lang w:val="en-US"/>
        </w:rPr>
        <w:t>1</w:t>
      </w:r>
      <w:r>
        <w:rPr>
          <w:rFonts w:hint="eastAsia" w:ascii="仿宋_GB2312" w:hAnsi="仿宋"/>
        </w:rPr>
        <w:t>-2</w:t>
      </w:r>
      <w:r>
        <w:rPr>
          <w:rFonts w:hint="eastAsia" w:ascii="仿宋_GB2312" w:hAnsi="仿宋"/>
          <w:lang w:val="en-US"/>
        </w:rPr>
        <w:t>：</w:t>
      </w:r>
    </w:p>
    <w:p>
      <w:pPr>
        <w:pStyle w:val="19"/>
        <w:spacing w:before="0" w:after="0" w:line="576" w:lineRule="exact"/>
        <w:ind w:firstLine="482" w:firstLineChars="200"/>
        <w:rPr>
          <w:rFonts w:hint="eastAsia" w:ascii="仿宋_GB2312" w:hAnsi="仿宋"/>
          <w:szCs w:val="24"/>
        </w:rPr>
      </w:pPr>
    </w:p>
    <w:p>
      <w:pPr>
        <w:pStyle w:val="19"/>
        <w:spacing w:after="0"/>
        <w:ind w:firstLine="562" w:firstLineChars="200"/>
        <w:rPr>
          <w:rFonts w:ascii="仿宋" w:hAnsi="仿宋" w:eastAsia="仿宋"/>
          <w:sz w:val="28"/>
        </w:rPr>
      </w:pPr>
      <w:r>
        <w:rPr>
          <w:rFonts w:hint="eastAsia" w:ascii="仿宋" w:hAnsi="仿宋" w:eastAsia="仿宋"/>
          <w:sz w:val="28"/>
        </w:rPr>
        <w:t>表1</w:t>
      </w:r>
      <w:r>
        <w:rPr>
          <w:rFonts w:ascii="仿宋" w:hAnsi="仿宋" w:eastAsia="仿宋"/>
          <w:sz w:val="28"/>
        </w:rPr>
        <w:t>-</w:t>
      </w:r>
      <w:r>
        <w:rPr>
          <w:rFonts w:hint="eastAsia" w:ascii="仿宋" w:hAnsi="仿宋" w:eastAsia="仿宋"/>
          <w:sz w:val="28"/>
        </w:rPr>
        <w:t>2  2020</w:t>
      </w:r>
      <w:r>
        <w:rPr>
          <w:rFonts w:ascii="仿宋" w:hAnsi="仿宋" w:eastAsia="仿宋"/>
          <w:sz w:val="28"/>
        </w:rPr>
        <w:t>年</w:t>
      </w:r>
      <w:r>
        <w:rPr>
          <w:rFonts w:hint="eastAsia" w:ascii="仿宋" w:hAnsi="仿宋" w:eastAsia="仿宋"/>
          <w:sz w:val="28"/>
        </w:rPr>
        <w:t>天星镇人民政府支出</w:t>
      </w:r>
      <w:r>
        <w:rPr>
          <w:rFonts w:ascii="仿宋" w:hAnsi="仿宋" w:eastAsia="仿宋"/>
          <w:sz w:val="28"/>
        </w:rPr>
        <w:t>预决算情况表</w:t>
      </w:r>
    </w:p>
    <w:p>
      <w:pPr>
        <w:pStyle w:val="19"/>
        <w:spacing w:after="0"/>
        <w:ind w:right="480" w:firstLine="480" w:firstLineChars="200"/>
        <w:rPr>
          <w:rFonts w:ascii="仿宋" w:hAnsi="仿宋" w:eastAsia="仿宋"/>
          <w:b w:val="0"/>
          <w:szCs w:val="24"/>
        </w:rPr>
      </w:pPr>
      <w:r>
        <w:rPr>
          <w:rFonts w:hint="eastAsia" w:ascii="仿宋" w:hAnsi="仿宋" w:eastAsia="仿宋"/>
          <w:b w:val="0"/>
          <w:szCs w:val="24"/>
        </w:rPr>
        <w:t xml:space="preserve">                                                    单位</w:t>
      </w:r>
      <w:r>
        <w:rPr>
          <w:rFonts w:ascii="仿宋" w:hAnsi="仿宋" w:eastAsia="仿宋"/>
          <w:b w:val="0"/>
          <w:szCs w:val="24"/>
        </w:rPr>
        <w:t>：万元</w:t>
      </w:r>
    </w:p>
    <w:tbl>
      <w:tblPr>
        <w:tblStyle w:val="12"/>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2280"/>
        <w:gridCol w:w="2283"/>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2281" w:type="dxa"/>
            <w:noWrap w:val="0"/>
            <w:vAlign w:val="top"/>
          </w:tcPr>
          <w:p>
            <w:pPr>
              <w:pStyle w:val="20"/>
              <w:ind w:firstLine="420" w:firstLineChars="200"/>
              <w:rPr>
                <w:rFonts w:ascii="宋体" w:hAnsi="宋体" w:eastAsia="宋体"/>
                <w:color w:val="auto"/>
                <w:sz w:val="21"/>
                <w:szCs w:val="21"/>
              </w:rPr>
            </w:pPr>
          </w:p>
        </w:tc>
        <w:tc>
          <w:tcPr>
            <w:tcW w:w="2280" w:type="dxa"/>
            <w:noWrap w:val="0"/>
            <w:vAlign w:val="top"/>
          </w:tcPr>
          <w:p>
            <w:pPr>
              <w:pStyle w:val="20"/>
              <w:ind w:firstLine="422" w:firstLineChars="200"/>
              <w:rPr>
                <w:rFonts w:ascii="宋体" w:hAnsi="宋体" w:eastAsia="宋体"/>
                <w:b/>
                <w:color w:val="auto"/>
                <w:sz w:val="21"/>
                <w:szCs w:val="21"/>
              </w:rPr>
            </w:pPr>
            <w:r>
              <w:rPr>
                <w:rFonts w:hint="eastAsia" w:ascii="宋体" w:hAnsi="宋体" w:eastAsia="宋体"/>
                <w:b/>
                <w:color w:val="auto"/>
                <w:sz w:val="21"/>
                <w:szCs w:val="21"/>
              </w:rPr>
              <w:t>支出</w:t>
            </w:r>
            <w:r>
              <w:rPr>
                <w:rFonts w:ascii="宋体" w:hAnsi="宋体" w:eastAsia="宋体"/>
                <w:b/>
                <w:color w:val="auto"/>
                <w:sz w:val="21"/>
                <w:szCs w:val="21"/>
              </w:rPr>
              <w:t>预算数</w:t>
            </w:r>
          </w:p>
        </w:tc>
        <w:tc>
          <w:tcPr>
            <w:tcW w:w="2283" w:type="dxa"/>
            <w:noWrap w:val="0"/>
            <w:vAlign w:val="top"/>
          </w:tcPr>
          <w:p>
            <w:pPr>
              <w:pStyle w:val="20"/>
              <w:ind w:firstLine="422" w:firstLineChars="200"/>
              <w:rPr>
                <w:rFonts w:ascii="宋体" w:hAnsi="宋体" w:eastAsia="宋体"/>
                <w:b/>
                <w:color w:val="auto"/>
                <w:sz w:val="21"/>
                <w:szCs w:val="21"/>
              </w:rPr>
            </w:pPr>
            <w:r>
              <w:rPr>
                <w:rFonts w:hint="eastAsia" w:ascii="宋体" w:hAnsi="宋体" w:eastAsia="宋体"/>
                <w:b/>
                <w:color w:val="auto"/>
                <w:sz w:val="21"/>
                <w:szCs w:val="21"/>
              </w:rPr>
              <w:t>支出</w:t>
            </w:r>
            <w:r>
              <w:rPr>
                <w:rFonts w:ascii="宋体" w:hAnsi="宋体" w:eastAsia="宋体"/>
                <w:b/>
                <w:color w:val="auto"/>
                <w:sz w:val="21"/>
                <w:szCs w:val="21"/>
              </w:rPr>
              <w:t>调整数</w:t>
            </w:r>
          </w:p>
        </w:tc>
        <w:tc>
          <w:tcPr>
            <w:tcW w:w="2283" w:type="dxa"/>
            <w:noWrap w:val="0"/>
            <w:vAlign w:val="top"/>
          </w:tcPr>
          <w:p>
            <w:pPr>
              <w:pStyle w:val="20"/>
              <w:ind w:firstLine="422" w:firstLineChars="200"/>
              <w:rPr>
                <w:rFonts w:ascii="宋体" w:hAnsi="宋体" w:eastAsia="宋体"/>
                <w:b/>
                <w:color w:val="auto"/>
                <w:sz w:val="21"/>
                <w:szCs w:val="21"/>
              </w:rPr>
            </w:pPr>
            <w:r>
              <w:rPr>
                <w:rFonts w:hint="eastAsia" w:ascii="宋体" w:hAnsi="宋体" w:eastAsia="宋体"/>
                <w:b/>
                <w:color w:val="auto"/>
                <w:sz w:val="21"/>
                <w:szCs w:val="21"/>
              </w:rPr>
              <w:t>支出</w:t>
            </w:r>
            <w:r>
              <w:rPr>
                <w:rFonts w:ascii="宋体" w:hAnsi="宋体" w:eastAsia="宋体"/>
                <w:b/>
                <w:color w:val="auto"/>
                <w:sz w:val="21"/>
                <w:szCs w:val="21"/>
              </w:rPr>
              <w:t>决算</w:t>
            </w:r>
            <w:r>
              <w:rPr>
                <w:rFonts w:hint="eastAsia" w:ascii="宋体" w:hAnsi="宋体" w:eastAsia="宋体"/>
                <w:b/>
                <w:color w:val="auto"/>
                <w:sz w:val="21"/>
                <w:szCs w:val="21"/>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281" w:type="dxa"/>
            <w:noWrap w:val="0"/>
            <w:vAlign w:val="top"/>
          </w:tcPr>
          <w:p>
            <w:pPr>
              <w:pStyle w:val="20"/>
              <w:ind w:firstLine="420" w:firstLineChars="200"/>
              <w:rPr>
                <w:rFonts w:ascii="宋体" w:hAnsi="宋体" w:eastAsia="宋体"/>
                <w:color w:val="auto"/>
                <w:sz w:val="21"/>
                <w:szCs w:val="21"/>
              </w:rPr>
            </w:pPr>
            <w:r>
              <w:rPr>
                <w:rFonts w:hint="eastAsia" w:ascii="宋体" w:hAnsi="宋体" w:eastAsia="宋体"/>
                <w:color w:val="auto"/>
                <w:sz w:val="21"/>
                <w:szCs w:val="21"/>
              </w:rPr>
              <w:t>基本支出</w:t>
            </w:r>
          </w:p>
        </w:tc>
        <w:tc>
          <w:tcPr>
            <w:tcW w:w="2280" w:type="dxa"/>
            <w:noWrap w:val="0"/>
            <w:vAlign w:val="top"/>
          </w:tcPr>
          <w:p>
            <w:pPr>
              <w:pStyle w:val="20"/>
              <w:ind w:firstLine="420" w:firstLineChars="200"/>
              <w:rPr>
                <w:rFonts w:ascii="宋体" w:hAnsi="宋体" w:eastAsia="宋体"/>
                <w:color w:val="auto"/>
                <w:sz w:val="21"/>
                <w:szCs w:val="21"/>
                <w:lang w:val="en-US"/>
              </w:rPr>
            </w:pPr>
            <w:r>
              <w:rPr>
                <w:rFonts w:hint="eastAsia" w:ascii="宋体" w:hAnsi="宋体" w:eastAsia="宋体"/>
                <w:color w:val="auto"/>
                <w:sz w:val="21"/>
                <w:szCs w:val="21"/>
                <w:lang w:val="en-US"/>
              </w:rPr>
              <w:t>1098.67</w:t>
            </w:r>
          </w:p>
        </w:tc>
        <w:tc>
          <w:tcPr>
            <w:tcW w:w="2283" w:type="dxa"/>
            <w:noWrap w:val="0"/>
            <w:vAlign w:val="top"/>
          </w:tcPr>
          <w:p>
            <w:pPr>
              <w:pStyle w:val="20"/>
              <w:ind w:firstLine="420" w:firstLineChars="200"/>
              <w:rPr>
                <w:rFonts w:ascii="宋体" w:hAnsi="宋体" w:eastAsia="宋体"/>
                <w:color w:val="auto"/>
                <w:sz w:val="21"/>
                <w:szCs w:val="21"/>
                <w:lang w:val="en-US"/>
              </w:rPr>
            </w:pPr>
            <w:r>
              <w:rPr>
                <w:rFonts w:hint="eastAsia" w:ascii="宋体" w:hAnsi="宋体" w:eastAsia="宋体"/>
                <w:color w:val="auto"/>
                <w:sz w:val="21"/>
                <w:szCs w:val="21"/>
                <w:lang w:val="en-US"/>
              </w:rPr>
              <w:t>1072.61</w:t>
            </w:r>
          </w:p>
        </w:tc>
        <w:tc>
          <w:tcPr>
            <w:tcW w:w="2283" w:type="dxa"/>
            <w:noWrap w:val="0"/>
            <w:vAlign w:val="top"/>
          </w:tcPr>
          <w:p>
            <w:pPr>
              <w:pStyle w:val="20"/>
              <w:ind w:firstLine="420" w:firstLineChars="200"/>
              <w:rPr>
                <w:rFonts w:ascii="宋体" w:hAnsi="宋体" w:eastAsia="宋体"/>
                <w:color w:val="auto"/>
                <w:sz w:val="21"/>
                <w:szCs w:val="21"/>
                <w:lang w:val="en-US"/>
              </w:rPr>
            </w:pPr>
            <w:r>
              <w:rPr>
                <w:rFonts w:hint="eastAsia" w:ascii="宋体" w:hAnsi="宋体" w:eastAsia="宋体"/>
                <w:color w:val="auto"/>
                <w:sz w:val="21"/>
                <w:szCs w:val="21"/>
                <w:lang w:val="en-US"/>
              </w:rPr>
              <w:t>950.83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281" w:type="dxa"/>
            <w:noWrap w:val="0"/>
            <w:vAlign w:val="top"/>
          </w:tcPr>
          <w:p>
            <w:pPr>
              <w:pStyle w:val="20"/>
              <w:ind w:firstLine="420" w:firstLineChars="200"/>
              <w:rPr>
                <w:rFonts w:ascii="宋体" w:hAnsi="宋体" w:eastAsia="宋体"/>
                <w:color w:val="auto"/>
                <w:sz w:val="21"/>
                <w:szCs w:val="21"/>
              </w:rPr>
            </w:pPr>
            <w:r>
              <w:rPr>
                <w:rFonts w:hint="eastAsia" w:ascii="宋体" w:hAnsi="宋体" w:eastAsia="宋体"/>
                <w:color w:val="auto"/>
                <w:sz w:val="21"/>
                <w:szCs w:val="21"/>
              </w:rPr>
              <w:t>项目支出</w:t>
            </w:r>
          </w:p>
        </w:tc>
        <w:tc>
          <w:tcPr>
            <w:tcW w:w="2280" w:type="dxa"/>
            <w:noWrap w:val="0"/>
            <w:vAlign w:val="top"/>
          </w:tcPr>
          <w:p>
            <w:pPr>
              <w:pStyle w:val="20"/>
              <w:ind w:firstLine="420" w:firstLineChars="200"/>
              <w:rPr>
                <w:rFonts w:ascii="宋体" w:hAnsi="宋体" w:eastAsia="宋体"/>
                <w:color w:val="auto"/>
                <w:sz w:val="21"/>
                <w:szCs w:val="21"/>
                <w:lang w:val="en-US"/>
              </w:rPr>
            </w:pPr>
            <w:r>
              <w:rPr>
                <w:rFonts w:hint="eastAsia" w:ascii="宋体" w:hAnsi="宋体" w:eastAsia="宋体"/>
                <w:color w:val="auto"/>
                <w:sz w:val="21"/>
                <w:szCs w:val="21"/>
                <w:lang w:val="en-US"/>
              </w:rPr>
              <w:t>74.87</w:t>
            </w:r>
          </w:p>
        </w:tc>
        <w:tc>
          <w:tcPr>
            <w:tcW w:w="2283" w:type="dxa"/>
            <w:noWrap w:val="0"/>
            <w:vAlign w:val="top"/>
          </w:tcPr>
          <w:p>
            <w:pPr>
              <w:pStyle w:val="20"/>
              <w:ind w:firstLine="420" w:firstLineChars="200"/>
              <w:rPr>
                <w:rFonts w:ascii="宋体" w:hAnsi="宋体" w:eastAsia="宋体"/>
                <w:color w:val="auto"/>
                <w:sz w:val="21"/>
                <w:szCs w:val="21"/>
                <w:lang w:val="en-US"/>
              </w:rPr>
            </w:pPr>
            <w:r>
              <w:rPr>
                <w:rFonts w:hint="eastAsia" w:ascii="宋体" w:hAnsi="宋体" w:eastAsia="宋体"/>
                <w:color w:val="auto"/>
                <w:sz w:val="21"/>
                <w:szCs w:val="21"/>
                <w:lang w:val="en-US"/>
              </w:rPr>
              <w:t>168.86</w:t>
            </w:r>
          </w:p>
        </w:tc>
        <w:tc>
          <w:tcPr>
            <w:tcW w:w="2283" w:type="dxa"/>
            <w:noWrap w:val="0"/>
            <w:vAlign w:val="top"/>
          </w:tcPr>
          <w:p>
            <w:pPr>
              <w:pStyle w:val="20"/>
              <w:ind w:firstLine="420" w:firstLineChars="200"/>
              <w:rPr>
                <w:rFonts w:ascii="宋体" w:hAnsi="宋体" w:eastAsia="宋体"/>
                <w:color w:val="auto"/>
                <w:sz w:val="21"/>
                <w:szCs w:val="21"/>
                <w:lang w:val="en-US"/>
              </w:rPr>
            </w:pPr>
            <w:r>
              <w:rPr>
                <w:rFonts w:hint="eastAsia" w:ascii="宋体" w:hAnsi="宋体" w:eastAsia="宋体"/>
                <w:color w:val="auto"/>
                <w:sz w:val="21"/>
                <w:szCs w:val="21"/>
                <w:lang w:val="en-US"/>
              </w:rPr>
              <w:t>114.36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281" w:type="dxa"/>
            <w:noWrap w:val="0"/>
            <w:vAlign w:val="top"/>
          </w:tcPr>
          <w:p>
            <w:pPr>
              <w:pStyle w:val="20"/>
              <w:ind w:firstLine="420" w:firstLineChars="200"/>
              <w:rPr>
                <w:rFonts w:ascii="宋体" w:hAnsi="宋体" w:eastAsia="宋体"/>
                <w:color w:val="auto"/>
                <w:sz w:val="21"/>
                <w:szCs w:val="21"/>
              </w:rPr>
            </w:pPr>
            <w:r>
              <w:rPr>
                <w:rFonts w:hint="eastAsia" w:ascii="宋体" w:hAnsi="宋体" w:eastAsia="宋体"/>
                <w:color w:val="auto"/>
                <w:sz w:val="21"/>
                <w:szCs w:val="21"/>
              </w:rPr>
              <w:t>经营支出</w:t>
            </w:r>
          </w:p>
        </w:tc>
        <w:tc>
          <w:tcPr>
            <w:tcW w:w="2280" w:type="dxa"/>
            <w:noWrap w:val="0"/>
            <w:vAlign w:val="top"/>
          </w:tcPr>
          <w:p>
            <w:pPr>
              <w:pStyle w:val="20"/>
              <w:ind w:firstLine="420" w:firstLineChars="200"/>
              <w:rPr>
                <w:rFonts w:ascii="宋体" w:hAnsi="宋体" w:eastAsia="宋体"/>
                <w:color w:val="auto"/>
                <w:sz w:val="21"/>
                <w:szCs w:val="21"/>
              </w:rPr>
            </w:pPr>
          </w:p>
        </w:tc>
        <w:tc>
          <w:tcPr>
            <w:tcW w:w="2283" w:type="dxa"/>
            <w:noWrap w:val="0"/>
            <w:vAlign w:val="top"/>
          </w:tcPr>
          <w:p>
            <w:pPr>
              <w:pStyle w:val="20"/>
              <w:ind w:firstLine="420" w:firstLineChars="200"/>
              <w:rPr>
                <w:rFonts w:ascii="宋体" w:hAnsi="宋体" w:eastAsia="宋体"/>
                <w:color w:val="auto"/>
                <w:sz w:val="21"/>
                <w:szCs w:val="21"/>
              </w:rPr>
            </w:pPr>
          </w:p>
        </w:tc>
        <w:tc>
          <w:tcPr>
            <w:tcW w:w="2283" w:type="dxa"/>
            <w:noWrap w:val="0"/>
            <w:vAlign w:val="top"/>
          </w:tcPr>
          <w:p>
            <w:pPr>
              <w:pStyle w:val="20"/>
              <w:ind w:firstLine="420" w:firstLineChars="200"/>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281" w:type="dxa"/>
            <w:noWrap w:val="0"/>
            <w:vAlign w:val="top"/>
          </w:tcPr>
          <w:p>
            <w:pPr>
              <w:pStyle w:val="20"/>
              <w:ind w:firstLine="420" w:firstLineChars="200"/>
              <w:rPr>
                <w:rFonts w:ascii="宋体" w:hAnsi="宋体" w:eastAsia="宋体"/>
                <w:color w:val="auto"/>
                <w:sz w:val="21"/>
                <w:szCs w:val="21"/>
              </w:rPr>
            </w:pPr>
            <w:r>
              <w:rPr>
                <w:rFonts w:hint="eastAsia" w:ascii="宋体" w:hAnsi="宋体" w:eastAsia="宋体"/>
                <w:color w:val="auto"/>
                <w:sz w:val="21"/>
                <w:szCs w:val="21"/>
              </w:rPr>
              <w:t>结余分配</w:t>
            </w:r>
          </w:p>
        </w:tc>
        <w:tc>
          <w:tcPr>
            <w:tcW w:w="2280" w:type="dxa"/>
            <w:noWrap w:val="0"/>
            <w:vAlign w:val="top"/>
          </w:tcPr>
          <w:p>
            <w:pPr>
              <w:pStyle w:val="20"/>
              <w:ind w:firstLine="420" w:firstLineChars="200"/>
              <w:rPr>
                <w:rFonts w:ascii="宋体" w:hAnsi="宋体" w:eastAsia="宋体"/>
                <w:color w:val="auto"/>
                <w:sz w:val="21"/>
                <w:szCs w:val="21"/>
              </w:rPr>
            </w:pPr>
          </w:p>
        </w:tc>
        <w:tc>
          <w:tcPr>
            <w:tcW w:w="2283" w:type="dxa"/>
            <w:noWrap w:val="0"/>
            <w:vAlign w:val="top"/>
          </w:tcPr>
          <w:p>
            <w:pPr>
              <w:pStyle w:val="20"/>
              <w:ind w:firstLine="420" w:firstLineChars="200"/>
              <w:rPr>
                <w:rFonts w:ascii="宋体" w:hAnsi="宋体" w:eastAsia="宋体"/>
                <w:color w:val="auto"/>
                <w:sz w:val="21"/>
                <w:szCs w:val="21"/>
              </w:rPr>
            </w:pPr>
          </w:p>
        </w:tc>
        <w:tc>
          <w:tcPr>
            <w:tcW w:w="2283" w:type="dxa"/>
            <w:noWrap w:val="0"/>
            <w:vAlign w:val="top"/>
          </w:tcPr>
          <w:p>
            <w:pPr>
              <w:pStyle w:val="20"/>
              <w:ind w:firstLine="420" w:firstLineChars="200"/>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281" w:type="dxa"/>
            <w:noWrap w:val="0"/>
            <w:vAlign w:val="top"/>
          </w:tcPr>
          <w:p>
            <w:pPr>
              <w:pStyle w:val="20"/>
              <w:ind w:firstLine="420" w:firstLineChars="200"/>
              <w:rPr>
                <w:rFonts w:ascii="宋体" w:hAnsi="宋体" w:eastAsia="宋体"/>
                <w:color w:val="auto"/>
                <w:sz w:val="21"/>
                <w:szCs w:val="21"/>
              </w:rPr>
            </w:pPr>
            <w:r>
              <w:rPr>
                <w:rFonts w:hint="eastAsia" w:ascii="宋体" w:hAnsi="宋体" w:eastAsia="宋体"/>
                <w:color w:val="auto"/>
                <w:sz w:val="21"/>
                <w:szCs w:val="21"/>
              </w:rPr>
              <w:t>年末</w:t>
            </w:r>
            <w:r>
              <w:rPr>
                <w:rFonts w:ascii="宋体" w:hAnsi="宋体" w:eastAsia="宋体"/>
                <w:color w:val="auto"/>
                <w:sz w:val="21"/>
                <w:szCs w:val="21"/>
              </w:rPr>
              <w:t>结转结余</w:t>
            </w:r>
          </w:p>
        </w:tc>
        <w:tc>
          <w:tcPr>
            <w:tcW w:w="2280" w:type="dxa"/>
            <w:noWrap w:val="0"/>
            <w:vAlign w:val="top"/>
          </w:tcPr>
          <w:p>
            <w:pPr>
              <w:pStyle w:val="20"/>
              <w:ind w:firstLine="420" w:firstLineChars="200"/>
              <w:rPr>
                <w:rFonts w:ascii="宋体" w:hAnsi="宋体" w:eastAsia="宋体"/>
                <w:color w:val="auto"/>
                <w:sz w:val="21"/>
                <w:szCs w:val="21"/>
                <w:lang w:val="en-US"/>
              </w:rPr>
            </w:pPr>
          </w:p>
        </w:tc>
        <w:tc>
          <w:tcPr>
            <w:tcW w:w="2283" w:type="dxa"/>
            <w:noWrap w:val="0"/>
            <w:vAlign w:val="top"/>
          </w:tcPr>
          <w:p>
            <w:pPr>
              <w:pStyle w:val="20"/>
              <w:ind w:firstLine="420" w:firstLineChars="200"/>
              <w:rPr>
                <w:rFonts w:ascii="宋体" w:hAnsi="宋体" w:eastAsia="宋体"/>
                <w:color w:val="auto"/>
                <w:sz w:val="21"/>
                <w:szCs w:val="21"/>
                <w:lang w:val="en-US"/>
              </w:rPr>
            </w:pPr>
          </w:p>
        </w:tc>
        <w:tc>
          <w:tcPr>
            <w:tcW w:w="2283" w:type="dxa"/>
            <w:noWrap w:val="0"/>
            <w:vAlign w:val="top"/>
          </w:tcPr>
          <w:p>
            <w:pPr>
              <w:pStyle w:val="20"/>
              <w:ind w:firstLine="420" w:firstLineChars="200"/>
              <w:rPr>
                <w:rFonts w:ascii="宋体" w:hAnsi="宋体" w:eastAsia="宋体"/>
                <w:color w:val="auto"/>
                <w:sz w:val="21"/>
                <w:szCs w:val="21"/>
                <w:lang w:val="en-US"/>
              </w:rPr>
            </w:pPr>
            <w:r>
              <w:rPr>
                <w:rFonts w:hint="eastAsia" w:ascii="宋体" w:hAnsi="宋体" w:eastAsia="宋体"/>
                <w:color w:val="auto"/>
                <w:sz w:val="21"/>
                <w:szCs w:val="21"/>
                <w:lang w:val="en-US"/>
              </w:rPr>
              <w:t>176.28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281" w:type="dxa"/>
            <w:noWrap w:val="0"/>
            <w:vAlign w:val="top"/>
          </w:tcPr>
          <w:p>
            <w:pPr>
              <w:pStyle w:val="20"/>
              <w:ind w:firstLine="422" w:firstLineChars="200"/>
              <w:rPr>
                <w:rFonts w:ascii="宋体" w:hAnsi="宋体" w:eastAsia="宋体"/>
                <w:b/>
                <w:color w:val="auto"/>
                <w:sz w:val="21"/>
                <w:szCs w:val="21"/>
              </w:rPr>
            </w:pPr>
            <w:r>
              <w:rPr>
                <w:rFonts w:hint="eastAsia" w:ascii="宋体" w:hAnsi="宋体" w:eastAsia="宋体"/>
                <w:b/>
                <w:color w:val="auto"/>
                <w:sz w:val="21"/>
                <w:szCs w:val="21"/>
              </w:rPr>
              <w:t>合计</w:t>
            </w:r>
          </w:p>
        </w:tc>
        <w:tc>
          <w:tcPr>
            <w:tcW w:w="2280" w:type="dxa"/>
            <w:noWrap w:val="0"/>
            <w:vAlign w:val="top"/>
          </w:tcPr>
          <w:p>
            <w:pPr>
              <w:pStyle w:val="20"/>
              <w:ind w:firstLine="422" w:firstLineChars="200"/>
              <w:rPr>
                <w:rFonts w:ascii="宋体" w:hAnsi="宋体" w:eastAsia="宋体"/>
                <w:b/>
                <w:color w:val="auto"/>
                <w:sz w:val="21"/>
                <w:szCs w:val="21"/>
                <w:lang w:val="en-US"/>
              </w:rPr>
            </w:pPr>
            <w:r>
              <w:rPr>
                <w:rFonts w:hint="eastAsia" w:ascii="宋体" w:hAnsi="宋体" w:eastAsia="宋体"/>
                <w:b/>
                <w:color w:val="auto"/>
                <w:sz w:val="21"/>
                <w:szCs w:val="21"/>
                <w:lang w:val="en-US"/>
              </w:rPr>
              <w:t>1173.53</w:t>
            </w:r>
          </w:p>
        </w:tc>
        <w:tc>
          <w:tcPr>
            <w:tcW w:w="2283" w:type="dxa"/>
            <w:noWrap w:val="0"/>
            <w:vAlign w:val="top"/>
          </w:tcPr>
          <w:p>
            <w:pPr>
              <w:pStyle w:val="20"/>
              <w:ind w:firstLine="422" w:firstLineChars="200"/>
              <w:rPr>
                <w:rFonts w:ascii="宋体" w:hAnsi="宋体" w:eastAsia="宋体"/>
                <w:b/>
                <w:color w:val="auto"/>
                <w:sz w:val="21"/>
                <w:szCs w:val="21"/>
                <w:lang w:val="en-US"/>
              </w:rPr>
            </w:pPr>
            <w:r>
              <w:rPr>
                <w:rFonts w:hint="eastAsia" w:ascii="宋体" w:hAnsi="宋体" w:eastAsia="宋体"/>
                <w:b/>
                <w:color w:val="auto"/>
                <w:sz w:val="21"/>
                <w:szCs w:val="21"/>
                <w:lang w:val="en-US"/>
              </w:rPr>
              <w:t>1241.47</w:t>
            </w:r>
          </w:p>
        </w:tc>
        <w:tc>
          <w:tcPr>
            <w:tcW w:w="2283" w:type="dxa"/>
            <w:noWrap w:val="0"/>
            <w:vAlign w:val="top"/>
          </w:tcPr>
          <w:p>
            <w:pPr>
              <w:pStyle w:val="20"/>
              <w:ind w:firstLine="422" w:firstLineChars="200"/>
              <w:rPr>
                <w:rFonts w:ascii="宋体" w:hAnsi="宋体" w:eastAsia="宋体"/>
                <w:b/>
                <w:color w:val="auto"/>
                <w:sz w:val="21"/>
                <w:szCs w:val="21"/>
                <w:lang w:val="en-US"/>
              </w:rPr>
            </w:pPr>
            <w:r>
              <w:rPr>
                <w:rFonts w:hint="eastAsia" w:ascii="宋体" w:hAnsi="宋体" w:eastAsia="宋体"/>
                <w:b/>
                <w:color w:val="auto"/>
                <w:sz w:val="21"/>
                <w:szCs w:val="21"/>
                <w:lang w:val="en-US"/>
              </w:rPr>
              <w:t>1241.47</w:t>
            </w:r>
          </w:p>
        </w:tc>
      </w:tr>
    </w:tbl>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三、评价结论和绩效分析</w:t>
      </w:r>
    </w:p>
    <w:p>
      <w:pPr>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（一）评价结论</w:t>
      </w:r>
    </w:p>
    <w:p>
      <w:pPr>
        <w:pStyle w:val="22"/>
        <w:rPr>
          <w:rFonts w:hint="eastAsia" w:ascii="仿宋_GB2312" w:hAnsi="仿宋"/>
        </w:rPr>
      </w:pPr>
      <w:r>
        <w:rPr>
          <w:rFonts w:hint="eastAsia" w:ascii="仿宋_GB2312" w:hAnsi="仿宋"/>
          <w:lang w:val="en-US"/>
        </w:rPr>
        <w:t>天星镇人民政府</w:t>
      </w:r>
      <w:r>
        <w:rPr>
          <w:rFonts w:hint="eastAsia" w:ascii="仿宋_GB2312" w:hAnsi="仿宋"/>
        </w:rPr>
        <w:t>预算测算过程较为完整，在</w:t>
      </w:r>
      <w:r>
        <w:rPr>
          <w:rFonts w:hint="eastAsia" w:ascii="仿宋_GB2312" w:hAnsi="仿宋"/>
          <w:lang w:val="en-US"/>
        </w:rPr>
        <w:t>预算编制、</w:t>
      </w:r>
      <w:r>
        <w:rPr>
          <w:rFonts w:hint="eastAsia" w:ascii="仿宋_GB2312" w:hAnsi="仿宋"/>
        </w:rPr>
        <w:t>信息公开等综合管理方面执行较好，部门整体支出绩效完成情况良好。但评价中也发现</w:t>
      </w:r>
      <w:r>
        <w:rPr>
          <w:rFonts w:hint="eastAsia" w:ascii="仿宋_GB2312" w:hAnsi="仿宋"/>
          <w:lang w:val="en-US"/>
        </w:rPr>
        <w:t>部门预算执行方面</w:t>
      </w:r>
      <w:r>
        <w:rPr>
          <w:rFonts w:hint="eastAsia" w:ascii="仿宋_GB2312" w:hAnsi="仿宋"/>
        </w:rPr>
        <w:t>存在瑕疵，本次整体支出绩效评级综合得分情况如下：预算管理指标权重为</w:t>
      </w:r>
      <w:r>
        <w:rPr>
          <w:rFonts w:hint="eastAsia" w:ascii="仿宋_GB2312" w:hAnsi="仿宋"/>
          <w:lang w:val="en-US"/>
        </w:rPr>
        <w:t>80</w:t>
      </w:r>
      <w:r>
        <w:rPr>
          <w:rFonts w:hint="eastAsia" w:ascii="仿宋_GB2312" w:hAnsi="仿宋"/>
        </w:rPr>
        <w:t>分，得分为</w:t>
      </w:r>
      <w:r>
        <w:rPr>
          <w:rFonts w:hint="eastAsia" w:ascii="仿宋_GB2312" w:hAnsi="仿宋"/>
          <w:lang w:val="en-US"/>
        </w:rPr>
        <w:t>62.77</w:t>
      </w:r>
      <w:r>
        <w:rPr>
          <w:rFonts w:hint="eastAsia" w:ascii="仿宋_GB2312" w:hAnsi="仿宋"/>
        </w:rPr>
        <w:t>分，得分率为</w:t>
      </w:r>
      <w:r>
        <w:rPr>
          <w:rFonts w:hint="eastAsia" w:ascii="仿宋_GB2312" w:hAnsi="仿宋"/>
          <w:lang w:val="en-US"/>
        </w:rPr>
        <w:t>78.46</w:t>
      </w:r>
      <w:r>
        <w:rPr>
          <w:rFonts w:hint="eastAsia" w:ascii="仿宋_GB2312" w:hAnsi="仿宋"/>
        </w:rPr>
        <w:t>%；</w:t>
      </w:r>
      <w:r>
        <w:rPr>
          <w:rFonts w:hint="eastAsia" w:ascii="仿宋_GB2312" w:hAnsi="仿宋"/>
          <w:lang w:val="en-US"/>
        </w:rPr>
        <w:t>绩效结果运用</w:t>
      </w:r>
      <w:r>
        <w:rPr>
          <w:rFonts w:hint="eastAsia" w:ascii="仿宋_GB2312" w:hAnsi="仿宋"/>
        </w:rPr>
        <w:t>指标权重为</w:t>
      </w:r>
      <w:r>
        <w:rPr>
          <w:rFonts w:hint="eastAsia" w:ascii="仿宋_GB2312" w:hAnsi="仿宋"/>
          <w:lang w:val="en-US"/>
        </w:rPr>
        <w:t>20</w:t>
      </w:r>
      <w:r>
        <w:rPr>
          <w:rFonts w:hint="eastAsia" w:ascii="仿宋_GB2312" w:hAnsi="仿宋"/>
        </w:rPr>
        <w:t>分，得分为</w:t>
      </w:r>
      <w:r>
        <w:rPr>
          <w:rFonts w:hint="eastAsia" w:ascii="仿宋_GB2312" w:hAnsi="仿宋"/>
          <w:lang w:val="en-US"/>
        </w:rPr>
        <w:t>18</w:t>
      </w:r>
      <w:r>
        <w:rPr>
          <w:rFonts w:hint="eastAsia" w:ascii="仿宋_GB2312" w:hAnsi="仿宋"/>
        </w:rPr>
        <w:t>分，得分率为</w:t>
      </w:r>
      <w:r>
        <w:rPr>
          <w:rFonts w:hint="eastAsia" w:ascii="仿宋_GB2312" w:hAnsi="仿宋"/>
          <w:lang w:val="en-US"/>
        </w:rPr>
        <w:t>90</w:t>
      </w:r>
      <w:r>
        <w:rPr>
          <w:rFonts w:hint="eastAsia" w:ascii="仿宋_GB2312" w:hAnsi="仿宋"/>
        </w:rPr>
        <w:t>%；本次评价总分为</w:t>
      </w:r>
      <w:r>
        <w:rPr>
          <w:rFonts w:hint="eastAsia" w:ascii="仿宋_GB2312" w:hAnsi="仿宋"/>
          <w:lang w:val="en-US"/>
        </w:rPr>
        <w:t>80.77</w:t>
      </w:r>
      <w:r>
        <w:rPr>
          <w:rFonts w:hint="eastAsia" w:ascii="仿宋_GB2312" w:hAnsi="仿宋"/>
        </w:rPr>
        <w:t>分。详情见下表</w:t>
      </w:r>
      <w:r>
        <w:rPr>
          <w:rFonts w:hint="eastAsia" w:ascii="仿宋_GB2312" w:hAnsi="仿宋"/>
          <w:lang w:val="en-US"/>
        </w:rPr>
        <w:t>2</w:t>
      </w:r>
      <w:r>
        <w:rPr>
          <w:rFonts w:hint="eastAsia" w:ascii="仿宋_GB2312" w:hAnsi="仿宋"/>
        </w:rPr>
        <w:t>-1。</w:t>
      </w:r>
    </w:p>
    <w:p>
      <w:pPr>
        <w:pStyle w:val="19"/>
        <w:spacing w:after="0"/>
        <w:ind w:firstLine="482" w:firstLineChars="200"/>
        <w:rPr>
          <w:rFonts w:ascii="仿宋" w:hAnsi="仿宋" w:eastAsia="仿宋"/>
          <w:szCs w:val="24"/>
        </w:rPr>
      </w:pPr>
      <w:r>
        <w:rPr>
          <w:rFonts w:ascii="仿宋" w:hAnsi="仿宋" w:eastAsia="仿宋"/>
          <w:szCs w:val="24"/>
        </w:rPr>
        <w:t>表</w:t>
      </w:r>
      <w:r>
        <w:rPr>
          <w:rFonts w:hint="eastAsia" w:ascii="仿宋" w:hAnsi="仿宋" w:eastAsia="仿宋"/>
          <w:szCs w:val="24"/>
        </w:rPr>
        <w:t>2-1 2020年天星镇人民政府</w:t>
      </w:r>
      <w:r>
        <w:rPr>
          <w:rFonts w:ascii="仿宋" w:hAnsi="仿宋" w:eastAsia="仿宋"/>
          <w:szCs w:val="24"/>
        </w:rPr>
        <w:t>部门整体支出绩效得分情况表</w:t>
      </w:r>
    </w:p>
    <w:tbl>
      <w:tblPr>
        <w:tblStyle w:val="12"/>
        <w:tblW w:w="9202" w:type="dxa"/>
        <w:tblInd w:w="0" w:type="dxa"/>
        <w:tblLayout w:type="fixed"/>
        <w:tblCellMar>
          <w:top w:w="15" w:type="dxa"/>
          <w:left w:w="15" w:type="dxa"/>
          <w:bottom w:w="15" w:type="dxa"/>
          <w:right w:w="15" w:type="dxa"/>
        </w:tblCellMar>
      </w:tblPr>
      <w:tblGrid>
        <w:gridCol w:w="2176"/>
        <w:gridCol w:w="1111"/>
        <w:gridCol w:w="1733"/>
        <w:gridCol w:w="1229"/>
        <w:gridCol w:w="1059"/>
        <w:gridCol w:w="1059"/>
        <w:gridCol w:w="835"/>
      </w:tblGrid>
      <w:tr>
        <w:tblPrEx>
          <w:tblCellMar>
            <w:top w:w="15" w:type="dxa"/>
            <w:left w:w="15" w:type="dxa"/>
            <w:bottom w:w="15" w:type="dxa"/>
            <w:right w:w="15" w:type="dxa"/>
          </w:tblCellMar>
        </w:tblPrEx>
        <w:trPr>
          <w:trHeight w:val="490" w:hRule="atLeast"/>
        </w:trPr>
        <w:tc>
          <w:tcPr>
            <w:tcW w:w="5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绩效指标</w:t>
            </w:r>
          </w:p>
        </w:tc>
        <w:tc>
          <w:tcPr>
            <w:tcW w:w="12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指标分值</w:t>
            </w:r>
          </w:p>
        </w:tc>
        <w:tc>
          <w:tcPr>
            <w:tcW w:w="105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kern w:val="0"/>
                <w:sz w:val="20"/>
                <w:szCs w:val="20"/>
              </w:rPr>
            </w:pPr>
            <w:r>
              <w:rPr>
                <w:rFonts w:hint="eastAsia" w:ascii="仿宋" w:hAnsi="仿宋" w:eastAsia="仿宋" w:cs="仿宋"/>
                <w:b/>
                <w:color w:val="000000"/>
                <w:kern w:val="0"/>
                <w:sz w:val="20"/>
                <w:szCs w:val="20"/>
              </w:rPr>
              <w:t>自评得分</w:t>
            </w:r>
          </w:p>
        </w:tc>
        <w:tc>
          <w:tcPr>
            <w:tcW w:w="10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评价得分</w:t>
            </w:r>
          </w:p>
        </w:tc>
        <w:tc>
          <w:tcPr>
            <w:tcW w:w="83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kern w:val="0"/>
                <w:sz w:val="20"/>
                <w:szCs w:val="20"/>
              </w:rPr>
            </w:pPr>
            <w:r>
              <w:rPr>
                <w:rFonts w:hint="eastAsia" w:ascii="仿宋" w:hAnsi="仿宋" w:eastAsia="仿宋" w:cs="仿宋"/>
                <w:b/>
                <w:color w:val="000000"/>
                <w:kern w:val="0"/>
                <w:sz w:val="20"/>
                <w:szCs w:val="20"/>
              </w:rPr>
              <w:t>备注</w:t>
            </w:r>
          </w:p>
        </w:tc>
      </w:tr>
      <w:tr>
        <w:tblPrEx>
          <w:tblCellMar>
            <w:top w:w="15" w:type="dxa"/>
            <w:left w:w="15" w:type="dxa"/>
            <w:bottom w:w="15" w:type="dxa"/>
            <w:right w:w="15" w:type="dxa"/>
          </w:tblCellMar>
        </w:tblPrEx>
        <w:trPr>
          <w:trHeight w:val="490" w:hRule="atLeast"/>
        </w:trPr>
        <w:tc>
          <w:tcPr>
            <w:tcW w:w="21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一级指标</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二级指标</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三级指标</w:t>
            </w:r>
          </w:p>
        </w:tc>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0"/>
                <w:szCs w:val="20"/>
              </w:rPr>
            </w:pPr>
          </w:p>
        </w:tc>
        <w:tc>
          <w:tcPr>
            <w:tcW w:w="1059" w:type="dxa"/>
            <w:vMerge w:val="continue"/>
            <w:tcBorders>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0"/>
                <w:szCs w:val="20"/>
              </w:rPr>
            </w:pPr>
          </w:p>
        </w:tc>
        <w:tc>
          <w:tcPr>
            <w:tcW w:w="10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0"/>
                <w:szCs w:val="20"/>
              </w:rPr>
            </w:pPr>
          </w:p>
        </w:tc>
        <w:tc>
          <w:tcPr>
            <w:tcW w:w="835" w:type="dxa"/>
            <w:vMerge w:val="continue"/>
            <w:tcBorders>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0"/>
                <w:szCs w:val="20"/>
              </w:rPr>
            </w:pPr>
          </w:p>
        </w:tc>
      </w:tr>
      <w:tr>
        <w:tblPrEx>
          <w:tblCellMar>
            <w:top w:w="15" w:type="dxa"/>
            <w:left w:w="15" w:type="dxa"/>
            <w:bottom w:w="15" w:type="dxa"/>
            <w:right w:w="15" w:type="dxa"/>
          </w:tblCellMar>
        </w:tblPrEx>
        <w:trPr>
          <w:trHeight w:val="486" w:hRule="atLeast"/>
        </w:trPr>
        <w:tc>
          <w:tcPr>
            <w:tcW w:w="21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部门预算管理</w:t>
            </w:r>
          </w:p>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（80分）</w:t>
            </w:r>
          </w:p>
        </w:tc>
        <w:tc>
          <w:tcPr>
            <w:tcW w:w="111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textAlignment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预算</w:t>
            </w:r>
          </w:p>
          <w:p>
            <w:pPr>
              <w:widowControl/>
              <w:spacing w:line="200" w:lineRule="exact"/>
              <w:jc w:val="center"/>
              <w:textAlignment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编制</w:t>
            </w:r>
          </w:p>
          <w:p>
            <w:pPr>
              <w:spacing w:line="200" w:lineRule="exact"/>
              <w:jc w:val="center"/>
              <w:rPr>
                <w:rFonts w:ascii="仿宋" w:hAnsi="仿宋" w:eastAsia="仿宋" w:cs="宋体"/>
                <w:color w:val="000000"/>
                <w:sz w:val="20"/>
                <w:szCs w:val="20"/>
              </w:rPr>
            </w:pPr>
            <w:r>
              <w:rPr>
                <w:rFonts w:hint="eastAsia" w:ascii="仿宋" w:hAnsi="仿宋" w:eastAsia="仿宋" w:cs="宋体"/>
                <w:color w:val="000000"/>
                <w:kern w:val="0"/>
                <w:sz w:val="20"/>
                <w:szCs w:val="20"/>
              </w:rPr>
              <w:t>（30分）</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目标制定</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10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10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9</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r>
      <w:tr>
        <w:tblPrEx>
          <w:tblCellMar>
            <w:top w:w="15" w:type="dxa"/>
            <w:left w:w="15" w:type="dxa"/>
            <w:bottom w:w="15" w:type="dxa"/>
            <w:right w:w="15" w:type="dxa"/>
          </w:tblCellMar>
        </w:tblPrEx>
        <w:trPr>
          <w:trHeight w:val="380" w:hRule="atLeast"/>
        </w:trPr>
        <w:tc>
          <w:tcPr>
            <w:tcW w:w="21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目标完成</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10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10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9</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r>
      <w:tr>
        <w:tblPrEx>
          <w:tblCellMar>
            <w:top w:w="15" w:type="dxa"/>
            <w:left w:w="15" w:type="dxa"/>
            <w:bottom w:w="15" w:type="dxa"/>
            <w:right w:w="15" w:type="dxa"/>
          </w:tblCellMar>
        </w:tblPrEx>
        <w:trPr>
          <w:trHeight w:val="528" w:hRule="atLeast"/>
        </w:trPr>
        <w:tc>
          <w:tcPr>
            <w:tcW w:w="21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编制准确</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10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10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10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r>
      <w:tr>
        <w:tblPrEx>
          <w:tblCellMar>
            <w:top w:w="15" w:type="dxa"/>
            <w:left w:w="15" w:type="dxa"/>
            <w:bottom w:w="15" w:type="dxa"/>
            <w:right w:w="15" w:type="dxa"/>
          </w:tblCellMar>
        </w:tblPrEx>
        <w:trPr>
          <w:trHeight w:val="438" w:hRule="atLeast"/>
        </w:trPr>
        <w:tc>
          <w:tcPr>
            <w:tcW w:w="21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11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textAlignment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预算</w:t>
            </w:r>
          </w:p>
          <w:p>
            <w:pPr>
              <w:widowControl/>
              <w:spacing w:line="200" w:lineRule="exact"/>
              <w:jc w:val="center"/>
              <w:textAlignment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执行</w:t>
            </w:r>
          </w:p>
          <w:p>
            <w:pPr>
              <w:widowControl/>
              <w:spacing w:line="200" w:lineRule="exact"/>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（30分）</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支出控制</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10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10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r>
      <w:tr>
        <w:tblPrEx>
          <w:tblCellMar>
            <w:top w:w="15" w:type="dxa"/>
            <w:left w:w="15" w:type="dxa"/>
            <w:bottom w:w="15" w:type="dxa"/>
            <w:right w:w="15" w:type="dxa"/>
          </w:tblCellMar>
        </w:tblPrEx>
        <w:trPr>
          <w:trHeight w:val="502" w:hRule="atLeast"/>
        </w:trPr>
        <w:tc>
          <w:tcPr>
            <w:tcW w:w="21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动态调整</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10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10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10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r>
      <w:tr>
        <w:tblPrEx>
          <w:tblCellMar>
            <w:top w:w="15" w:type="dxa"/>
            <w:left w:w="15" w:type="dxa"/>
            <w:bottom w:w="15" w:type="dxa"/>
            <w:right w:w="15" w:type="dxa"/>
          </w:tblCellMar>
        </w:tblPrEx>
        <w:trPr>
          <w:trHeight w:val="118" w:hRule="atLeast"/>
        </w:trPr>
        <w:tc>
          <w:tcPr>
            <w:tcW w:w="21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执行进度</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10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10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7.69</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r>
      <w:tr>
        <w:tblPrEx>
          <w:tblCellMar>
            <w:top w:w="15" w:type="dxa"/>
            <w:left w:w="15" w:type="dxa"/>
            <w:bottom w:w="15" w:type="dxa"/>
            <w:right w:w="15" w:type="dxa"/>
          </w:tblCellMar>
        </w:tblPrEx>
        <w:trPr>
          <w:trHeight w:val="404" w:hRule="atLeast"/>
        </w:trPr>
        <w:tc>
          <w:tcPr>
            <w:tcW w:w="21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11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textAlignment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完成</w:t>
            </w:r>
          </w:p>
          <w:p>
            <w:pPr>
              <w:widowControl/>
              <w:spacing w:line="200" w:lineRule="exact"/>
              <w:jc w:val="center"/>
              <w:textAlignment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结果</w:t>
            </w:r>
          </w:p>
          <w:p>
            <w:pPr>
              <w:widowControl/>
              <w:spacing w:line="200" w:lineRule="exact"/>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（20分）</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预算完成</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10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 xml:space="preserve">9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8.58</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r>
      <w:tr>
        <w:tblPrEx>
          <w:tblCellMar>
            <w:top w:w="15" w:type="dxa"/>
            <w:left w:w="15" w:type="dxa"/>
            <w:bottom w:w="15" w:type="dxa"/>
            <w:right w:w="15" w:type="dxa"/>
          </w:tblCellMar>
        </w:tblPrEx>
        <w:trPr>
          <w:trHeight w:val="506" w:hRule="atLeast"/>
        </w:trPr>
        <w:tc>
          <w:tcPr>
            <w:tcW w:w="21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违规记录</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10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 xml:space="preserve"> 10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8.5</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r>
      <w:tr>
        <w:tblPrEx>
          <w:tblCellMar>
            <w:top w:w="15" w:type="dxa"/>
            <w:left w:w="15" w:type="dxa"/>
            <w:bottom w:w="15" w:type="dxa"/>
            <w:right w:w="15" w:type="dxa"/>
          </w:tblCellMar>
        </w:tblPrEx>
        <w:trPr>
          <w:trHeight w:val="880" w:hRule="atLeast"/>
        </w:trPr>
        <w:tc>
          <w:tcPr>
            <w:tcW w:w="21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绩效结果应用</w:t>
            </w:r>
          </w:p>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（20分）</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textAlignment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自评</w:t>
            </w:r>
          </w:p>
          <w:p>
            <w:pPr>
              <w:widowControl/>
              <w:spacing w:line="200" w:lineRule="exact"/>
              <w:jc w:val="center"/>
              <w:textAlignment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质量</w:t>
            </w:r>
          </w:p>
          <w:p>
            <w:pPr>
              <w:widowControl/>
              <w:spacing w:line="200" w:lineRule="exact"/>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（4分）</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自评准确</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 xml:space="preserve"> 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2</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r>
      <w:tr>
        <w:tblPrEx>
          <w:tblCellMar>
            <w:top w:w="15" w:type="dxa"/>
            <w:left w:w="15" w:type="dxa"/>
            <w:bottom w:w="15" w:type="dxa"/>
            <w:right w:w="15" w:type="dxa"/>
          </w:tblCellMar>
        </w:tblPrEx>
        <w:trPr>
          <w:trHeight w:val="628" w:hRule="atLeast"/>
        </w:trPr>
        <w:tc>
          <w:tcPr>
            <w:tcW w:w="21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11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textAlignment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信息</w:t>
            </w:r>
          </w:p>
          <w:p>
            <w:pPr>
              <w:widowControl/>
              <w:spacing w:line="200" w:lineRule="exact"/>
              <w:jc w:val="center"/>
              <w:textAlignment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公开</w:t>
            </w:r>
          </w:p>
          <w:p>
            <w:pPr>
              <w:widowControl/>
              <w:spacing w:line="200" w:lineRule="exact"/>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（8分）</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目标公开</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 xml:space="preserve"> 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4</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r>
      <w:tr>
        <w:tblPrEx>
          <w:tblCellMar>
            <w:top w:w="15" w:type="dxa"/>
            <w:left w:w="15" w:type="dxa"/>
            <w:bottom w:w="15" w:type="dxa"/>
            <w:right w:w="15" w:type="dxa"/>
          </w:tblCellMar>
        </w:tblPrEx>
        <w:trPr>
          <w:trHeight w:val="152" w:hRule="atLeast"/>
        </w:trPr>
        <w:tc>
          <w:tcPr>
            <w:tcW w:w="21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自评公开</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 xml:space="preserve"> 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4</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r>
      <w:tr>
        <w:tblPrEx>
          <w:tblCellMar>
            <w:top w:w="15" w:type="dxa"/>
            <w:left w:w="15" w:type="dxa"/>
            <w:bottom w:w="15" w:type="dxa"/>
            <w:right w:w="15" w:type="dxa"/>
          </w:tblCellMar>
        </w:tblPrEx>
        <w:trPr>
          <w:trHeight w:val="471" w:hRule="atLeast"/>
        </w:trPr>
        <w:tc>
          <w:tcPr>
            <w:tcW w:w="21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11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center"/>
              <w:textAlignment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整改</w:t>
            </w:r>
          </w:p>
          <w:p>
            <w:pPr>
              <w:widowControl/>
              <w:spacing w:line="200" w:lineRule="exact"/>
              <w:jc w:val="center"/>
              <w:textAlignment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反馈</w:t>
            </w:r>
          </w:p>
          <w:p>
            <w:pPr>
              <w:widowControl/>
              <w:spacing w:line="200" w:lineRule="exact"/>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（8分）</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结果整改</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 xml:space="preserve"> 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4</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r>
      <w:tr>
        <w:tblPrEx>
          <w:tblCellMar>
            <w:top w:w="15" w:type="dxa"/>
            <w:left w:w="15" w:type="dxa"/>
            <w:bottom w:w="15" w:type="dxa"/>
            <w:right w:w="15" w:type="dxa"/>
          </w:tblCellMar>
        </w:tblPrEx>
        <w:trPr>
          <w:trHeight w:val="496" w:hRule="atLeast"/>
        </w:trPr>
        <w:tc>
          <w:tcPr>
            <w:tcW w:w="21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应用反馈</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 xml:space="preserve"> 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4</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r>
      <w:tr>
        <w:tblPrEx>
          <w:tblCellMar>
            <w:top w:w="15" w:type="dxa"/>
            <w:left w:w="15" w:type="dxa"/>
            <w:bottom w:w="15" w:type="dxa"/>
            <w:right w:w="15" w:type="dxa"/>
          </w:tblCellMar>
        </w:tblPrEx>
        <w:trPr>
          <w:trHeight w:val="450" w:hRule="atLeast"/>
        </w:trPr>
        <w:tc>
          <w:tcPr>
            <w:tcW w:w="5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宋体"/>
                <w:color w:val="000000"/>
                <w:sz w:val="20"/>
                <w:szCs w:val="20"/>
              </w:rPr>
            </w:pPr>
            <w:r>
              <w:rPr>
                <w:rFonts w:hint="eastAsia" w:ascii="仿宋" w:hAnsi="仿宋" w:eastAsia="仿宋" w:cs="宋体"/>
                <w:color w:val="000000"/>
                <w:kern w:val="0"/>
                <w:sz w:val="20"/>
                <w:szCs w:val="20"/>
              </w:rPr>
              <w:t>总分合计</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100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99</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r>
              <w:rPr>
                <w:rFonts w:hint="eastAsia" w:ascii="仿宋" w:hAnsi="仿宋" w:eastAsia="仿宋" w:cs="宋体"/>
                <w:color w:val="000000"/>
                <w:sz w:val="20"/>
                <w:szCs w:val="20"/>
              </w:rPr>
              <w:t>80.77</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000000"/>
                <w:sz w:val="20"/>
                <w:szCs w:val="20"/>
              </w:rPr>
            </w:pPr>
          </w:p>
        </w:tc>
      </w:tr>
    </w:tbl>
    <w:p>
      <w:pPr>
        <w:spacing w:line="560" w:lineRule="exact"/>
        <w:ind w:firstLine="482" w:firstLineChars="150"/>
        <w:rPr>
          <w:rFonts w:hint="eastAsia" w:ascii="楷体_GB2312" w:hAnsi="仿宋" w:eastAsia="楷体_GB2312" w:cs="楷体"/>
          <w:b/>
          <w:sz w:val="32"/>
          <w:szCs w:val="32"/>
        </w:rPr>
      </w:pPr>
    </w:p>
    <w:p>
      <w:pPr>
        <w:spacing w:line="560" w:lineRule="exact"/>
        <w:ind w:firstLine="482" w:firstLineChars="150"/>
        <w:rPr>
          <w:rFonts w:hint="eastAsia" w:ascii="楷体_GB2312" w:hAnsi="仿宋" w:eastAsia="楷体_GB2312" w:cs="楷体"/>
          <w:b/>
          <w:sz w:val="32"/>
          <w:szCs w:val="32"/>
        </w:rPr>
      </w:pPr>
      <w:r>
        <w:rPr>
          <w:rFonts w:hint="eastAsia" w:ascii="楷体_GB2312" w:hAnsi="仿宋" w:eastAsia="楷体_GB2312" w:cs="楷体"/>
          <w:b/>
          <w:sz w:val="32"/>
          <w:szCs w:val="32"/>
        </w:rPr>
        <w:t>（二）部门预算管理情况分析</w:t>
      </w:r>
    </w:p>
    <w:p>
      <w:pPr>
        <w:spacing w:line="560" w:lineRule="exact"/>
        <w:ind w:firstLine="643" w:firstLineChars="200"/>
        <w:rPr>
          <w:rFonts w:hint="eastAsia" w:ascii="仿宋_GB2312" w:hAnsi="仿宋" w:eastAsia="仿宋_GB2312" w:cs="楷体"/>
          <w:b/>
          <w:sz w:val="32"/>
          <w:szCs w:val="32"/>
        </w:rPr>
      </w:pPr>
      <w:r>
        <w:rPr>
          <w:rFonts w:hint="eastAsia" w:ascii="仿宋_GB2312" w:hAnsi="仿宋" w:eastAsia="仿宋_GB2312" w:cs="楷体"/>
          <w:b/>
          <w:sz w:val="32"/>
          <w:szCs w:val="32"/>
        </w:rPr>
        <w:t>1.预算编制情况</w:t>
      </w:r>
    </w:p>
    <w:p>
      <w:pPr>
        <w:spacing w:line="560" w:lineRule="exact"/>
        <w:ind w:firstLine="640" w:firstLineChars="200"/>
        <w:rPr>
          <w:rFonts w:hint="eastAsia" w:ascii="仿宋_GB2312" w:hAnsi="仿宋" w:eastAsia="仿宋_GB2312" w:cs="楷体"/>
          <w:sz w:val="32"/>
          <w:szCs w:val="32"/>
        </w:rPr>
      </w:pPr>
      <w:r>
        <w:rPr>
          <w:rFonts w:hint="eastAsia" w:ascii="仿宋_GB2312" w:hAnsi="仿宋" w:eastAsia="仿宋_GB2312" w:cs="楷体"/>
          <w:sz w:val="32"/>
          <w:szCs w:val="32"/>
        </w:rPr>
        <w:t>（1）目标制定</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sz w:val="32"/>
          <w:szCs w:val="32"/>
        </w:rPr>
        <w:t>天星镇人民政府（含原天星乡人民政府及福庆乡人民政府）</w:t>
      </w:r>
      <w:r>
        <w:rPr>
          <w:rFonts w:hint="eastAsia" w:ascii="仿宋_GB2312" w:hAnsi="仿宋" w:eastAsia="仿宋_GB2312" w:cs="仿宋_GB2312"/>
          <w:sz w:val="32"/>
          <w:szCs w:val="32"/>
        </w:rPr>
        <w:t>按照2020年部门预算编制要求，积极开展预算编报工作，在规定时间内完成了部门预算编制任务。部门预算编制准确、规范、完整无漏项，基础信息和科目使用准确，项目名称、绩效指标、项目内容等说明符合规定，单位编制、人员情况与供养人员系统数据一致。但部门整体支出绩效目标表申报表填报存在整体绩效目标编制不完整情况。例如：成本指标未明细到具体成本；质量指标、时效指标未对应年度任务、未细化。</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该指标满分10分，</w:t>
      </w:r>
      <w:r>
        <w:rPr>
          <w:rFonts w:hint="eastAsia" w:ascii="仿宋_GB2312" w:hAnsi="仿宋" w:eastAsia="仿宋_GB2312"/>
          <w:sz w:val="32"/>
          <w:szCs w:val="32"/>
        </w:rPr>
        <w:t>根据指标评价标准和公式计算，</w:t>
      </w:r>
      <w:r>
        <w:rPr>
          <w:rFonts w:hint="eastAsia" w:ascii="仿宋_GB2312" w:hAnsi="仿宋" w:eastAsia="仿宋_GB2312" w:cs="仿宋_GB2312"/>
          <w:sz w:val="32"/>
          <w:szCs w:val="32"/>
        </w:rPr>
        <w:t>得分9分。</w:t>
      </w:r>
    </w:p>
    <w:p>
      <w:pPr>
        <w:pStyle w:val="2"/>
        <w:spacing w:beforeLines="0" w:line="560" w:lineRule="exact"/>
        <w:ind w:firstLine="640" w:firstLineChars="200"/>
        <w:rPr>
          <w:rFonts w:hint="eastAsia" w:hAnsi="仿宋" w:cs="楷体"/>
          <w:sz w:val="32"/>
          <w:szCs w:val="32"/>
        </w:rPr>
      </w:pPr>
      <w:r>
        <w:rPr>
          <w:rFonts w:hint="eastAsia" w:hAnsi="仿宋" w:cs="楷体"/>
          <w:sz w:val="32"/>
          <w:szCs w:val="32"/>
        </w:rPr>
        <w:t>（2）目标完成</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2020年天星镇人民政府（含原天星乡人民政府及福庆乡人民政府）分别设置部门项目绩效目标2个，均全部完成。数量指标的完成情况详见表3-1：</w:t>
      </w:r>
    </w:p>
    <w:p>
      <w:pPr>
        <w:pStyle w:val="2"/>
        <w:spacing w:before="93"/>
        <w:jc w:val="center"/>
        <w:rPr>
          <w:rFonts w:hint="eastAsia" w:ascii="仿宋" w:hAnsi="仿宋" w:eastAsia="仿宋"/>
          <w:b/>
          <w:bCs/>
          <w:sz w:val="24"/>
        </w:rPr>
      </w:pPr>
      <w:r>
        <w:rPr>
          <w:rFonts w:ascii="仿宋" w:hAnsi="仿宋" w:eastAsia="仿宋"/>
          <w:b/>
          <w:bCs/>
          <w:sz w:val="24"/>
        </w:rPr>
        <w:t>表</w:t>
      </w:r>
      <w:r>
        <w:rPr>
          <w:rFonts w:hint="eastAsia" w:ascii="仿宋" w:hAnsi="仿宋" w:eastAsia="仿宋"/>
          <w:b/>
          <w:bCs/>
          <w:sz w:val="24"/>
        </w:rPr>
        <w:t>3-1 2020年原天星乡人民政府绩效目标完成情况</w:t>
      </w:r>
    </w:p>
    <w:p>
      <w:pPr>
        <w:pStyle w:val="2"/>
        <w:spacing w:before="93"/>
        <w:jc w:val="center"/>
        <w:rPr>
          <w:rFonts w:ascii="仿宋" w:hAnsi="仿宋" w:eastAsia="仿宋"/>
          <w:b/>
          <w:bCs/>
          <w:sz w:val="24"/>
        </w:rPr>
      </w:pP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668"/>
        <w:gridCol w:w="1316"/>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093" w:type="dxa"/>
            <w:noWrap w:val="0"/>
            <w:vAlign w:val="top"/>
          </w:tcPr>
          <w:p>
            <w:pPr>
              <w:pStyle w:val="2"/>
              <w:spacing w:before="93"/>
              <w:jc w:val="center"/>
              <w:rPr>
                <w:rFonts w:ascii="宋体" w:hAnsi="宋体" w:eastAsia="宋体"/>
                <w:b/>
                <w:bCs/>
                <w:sz w:val="21"/>
                <w:szCs w:val="21"/>
              </w:rPr>
            </w:pPr>
            <w:r>
              <w:rPr>
                <w:rFonts w:hint="eastAsia" w:ascii="宋体" w:hAnsi="宋体" w:eastAsia="宋体"/>
                <w:b/>
                <w:bCs/>
                <w:sz w:val="21"/>
                <w:szCs w:val="21"/>
              </w:rPr>
              <w:t>项目名称</w:t>
            </w:r>
          </w:p>
        </w:tc>
        <w:tc>
          <w:tcPr>
            <w:tcW w:w="4668" w:type="dxa"/>
            <w:noWrap w:val="0"/>
            <w:vAlign w:val="top"/>
          </w:tcPr>
          <w:p>
            <w:pPr>
              <w:pStyle w:val="2"/>
              <w:spacing w:before="93"/>
              <w:jc w:val="center"/>
              <w:rPr>
                <w:rFonts w:ascii="宋体" w:hAnsi="宋体" w:eastAsia="宋体"/>
                <w:b/>
                <w:bCs/>
                <w:sz w:val="21"/>
                <w:szCs w:val="21"/>
              </w:rPr>
            </w:pPr>
            <w:r>
              <w:rPr>
                <w:rFonts w:hint="eastAsia" w:ascii="宋体" w:hAnsi="宋体" w:eastAsia="宋体"/>
                <w:b/>
                <w:bCs/>
                <w:sz w:val="21"/>
                <w:szCs w:val="21"/>
              </w:rPr>
              <w:t>项目完成指标</w:t>
            </w:r>
          </w:p>
        </w:tc>
        <w:tc>
          <w:tcPr>
            <w:tcW w:w="1316" w:type="dxa"/>
            <w:noWrap w:val="0"/>
            <w:vAlign w:val="top"/>
          </w:tcPr>
          <w:p>
            <w:pPr>
              <w:pStyle w:val="2"/>
              <w:spacing w:before="93"/>
              <w:jc w:val="center"/>
              <w:rPr>
                <w:rFonts w:ascii="宋体" w:hAnsi="宋体" w:eastAsia="宋体"/>
                <w:b/>
                <w:bCs/>
                <w:sz w:val="21"/>
                <w:szCs w:val="21"/>
              </w:rPr>
            </w:pPr>
            <w:r>
              <w:rPr>
                <w:rFonts w:hint="eastAsia" w:ascii="宋体" w:hAnsi="宋体" w:eastAsia="宋体"/>
                <w:b/>
                <w:bCs/>
                <w:sz w:val="21"/>
                <w:szCs w:val="21"/>
              </w:rPr>
              <w:t>实际完成情况</w:t>
            </w:r>
          </w:p>
        </w:tc>
        <w:tc>
          <w:tcPr>
            <w:tcW w:w="983" w:type="dxa"/>
            <w:noWrap w:val="0"/>
            <w:vAlign w:val="top"/>
          </w:tcPr>
          <w:p>
            <w:pPr>
              <w:pStyle w:val="2"/>
              <w:spacing w:before="93"/>
              <w:jc w:val="center"/>
              <w:rPr>
                <w:rFonts w:ascii="宋体" w:hAnsi="宋体" w:eastAsia="宋体"/>
                <w:b/>
                <w:bCs/>
                <w:sz w:val="21"/>
                <w:szCs w:val="21"/>
              </w:rPr>
            </w:pPr>
            <w:r>
              <w:rPr>
                <w:rFonts w:hint="eastAsia" w:ascii="宋体" w:hAnsi="宋体" w:eastAsia="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093" w:type="dxa"/>
            <w:noWrap w:val="0"/>
            <w:vAlign w:val="center"/>
          </w:tcPr>
          <w:p>
            <w:pPr>
              <w:pStyle w:val="2"/>
              <w:spacing w:before="93"/>
              <w:jc w:val="center"/>
              <w:rPr>
                <w:rFonts w:ascii="宋体" w:hAnsi="宋体" w:eastAsia="宋体"/>
                <w:sz w:val="21"/>
                <w:szCs w:val="21"/>
              </w:rPr>
            </w:pPr>
            <w:r>
              <w:rPr>
                <w:rFonts w:hint="eastAsia" w:ascii="宋体" w:hAnsi="宋体" w:eastAsia="宋体"/>
                <w:b/>
                <w:bCs/>
                <w:sz w:val="21"/>
                <w:szCs w:val="21"/>
              </w:rPr>
              <w:t>党组织活动经费</w:t>
            </w:r>
          </w:p>
        </w:tc>
        <w:tc>
          <w:tcPr>
            <w:tcW w:w="4668" w:type="dxa"/>
            <w:noWrap w:val="0"/>
            <w:vAlign w:val="top"/>
          </w:tcPr>
          <w:p>
            <w:pPr>
              <w:pStyle w:val="2"/>
              <w:spacing w:before="93"/>
              <w:rPr>
                <w:rFonts w:ascii="宋体" w:hAnsi="宋体" w:eastAsia="宋体"/>
                <w:sz w:val="21"/>
                <w:szCs w:val="21"/>
              </w:rPr>
            </w:pPr>
            <w:r>
              <w:rPr>
                <w:rFonts w:hint="eastAsia" w:ascii="宋体" w:hAnsi="宋体" w:eastAsia="宋体"/>
                <w:sz w:val="21"/>
                <w:szCs w:val="21"/>
              </w:rPr>
              <w:t>开展丰富多样的主题教育和党日活动≥12次；加强纪检监察工作领导。</w:t>
            </w:r>
          </w:p>
        </w:tc>
        <w:tc>
          <w:tcPr>
            <w:tcW w:w="1316" w:type="dxa"/>
            <w:noWrap w:val="0"/>
            <w:vAlign w:val="top"/>
          </w:tcPr>
          <w:p>
            <w:pPr>
              <w:pStyle w:val="2"/>
              <w:spacing w:before="93"/>
              <w:jc w:val="center"/>
              <w:rPr>
                <w:rFonts w:ascii="宋体" w:hAnsi="宋体" w:eastAsia="宋体"/>
                <w:sz w:val="21"/>
                <w:szCs w:val="21"/>
              </w:rPr>
            </w:pPr>
            <w:r>
              <w:rPr>
                <w:rFonts w:hint="eastAsia" w:ascii="宋体" w:hAnsi="宋体" w:eastAsia="宋体"/>
                <w:sz w:val="21"/>
                <w:szCs w:val="21"/>
              </w:rPr>
              <w:t>完成</w:t>
            </w:r>
          </w:p>
        </w:tc>
        <w:tc>
          <w:tcPr>
            <w:tcW w:w="983" w:type="dxa"/>
            <w:noWrap w:val="0"/>
            <w:vAlign w:val="top"/>
          </w:tcPr>
          <w:p>
            <w:pPr>
              <w:pStyle w:val="2"/>
              <w:spacing w:before="93"/>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93" w:type="dxa"/>
            <w:vMerge w:val="restart"/>
            <w:noWrap w:val="0"/>
            <w:vAlign w:val="center"/>
          </w:tcPr>
          <w:p>
            <w:pPr>
              <w:pStyle w:val="2"/>
              <w:spacing w:before="93"/>
              <w:jc w:val="center"/>
              <w:rPr>
                <w:rFonts w:ascii="宋体" w:hAnsi="宋体" w:eastAsia="宋体"/>
                <w:sz w:val="21"/>
                <w:szCs w:val="21"/>
              </w:rPr>
            </w:pPr>
            <w:r>
              <w:rPr>
                <w:rFonts w:hint="eastAsia" w:ascii="宋体" w:hAnsi="宋体" w:eastAsia="宋体"/>
                <w:b/>
                <w:bCs/>
                <w:sz w:val="21"/>
                <w:szCs w:val="21"/>
              </w:rPr>
              <w:t>扫黑除恶工作经费</w:t>
            </w:r>
          </w:p>
        </w:tc>
        <w:tc>
          <w:tcPr>
            <w:tcW w:w="4668" w:type="dxa"/>
            <w:noWrap w:val="0"/>
            <w:vAlign w:val="top"/>
          </w:tcPr>
          <w:p>
            <w:pPr>
              <w:pStyle w:val="2"/>
              <w:spacing w:before="93"/>
              <w:rPr>
                <w:rFonts w:ascii="宋体" w:hAnsi="宋体" w:eastAsia="宋体"/>
                <w:sz w:val="21"/>
                <w:szCs w:val="21"/>
              </w:rPr>
            </w:pPr>
            <w:r>
              <w:rPr>
                <w:rFonts w:hint="eastAsia" w:ascii="宋体" w:hAnsi="宋体" w:eastAsia="宋体"/>
                <w:sz w:val="21"/>
                <w:szCs w:val="21"/>
              </w:rPr>
              <w:t>开展扫黑除恶宣传活动≥4次</w:t>
            </w:r>
          </w:p>
        </w:tc>
        <w:tc>
          <w:tcPr>
            <w:tcW w:w="1316" w:type="dxa"/>
            <w:noWrap w:val="0"/>
            <w:vAlign w:val="top"/>
          </w:tcPr>
          <w:p>
            <w:pPr>
              <w:pStyle w:val="2"/>
              <w:spacing w:before="93"/>
              <w:jc w:val="center"/>
              <w:rPr>
                <w:rFonts w:ascii="宋体" w:hAnsi="宋体" w:eastAsia="宋体"/>
                <w:sz w:val="21"/>
                <w:szCs w:val="21"/>
              </w:rPr>
            </w:pPr>
            <w:r>
              <w:rPr>
                <w:rFonts w:hint="eastAsia" w:ascii="宋体" w:hAnsi="宋体" w:eastAsia="宋体"/>
                <w:sz w:val="21"/>
                <w:szCs w:val="21"/>
              </w:rPr>
              <w:t>完成</w:t>
            </w:r>
          </w:p>
        </w:tc>
        <w:tc>
          <w:tcPr>
            <w:tcW w:w="983" w:type="dxa"/>
            <w:noWrap w:val="0"/>
            <w:vAlign w:val="top"/>
          </w:tcPr>
          <w:p>
            <w:pPr>
              <w:pStyle w:val="2"/>
              <w:spacing w:before="93"/>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093" w:type="dxa"/>
            <w:vMerge w:val="continue"/>
            <w:noWrap w:val="0"/>
            <w:vAlign w:val="top"/>
          </w:tcPr>
          <w:p>
            <w:pPr>
              <w:pStyle w:val="2"/>
              <w:spacing w:before="93"/>
              <w:rPr>
                <w:rFonts w:ascii="宋体" w:hAnsi="宋体" w:eastAsia="宋体"/>
                <w:sz w:val="21"/>
                <w:szCs w:val="21"/>
              </w:rPr>
            </w:pPr>
          </w:p>
        </w:tc>
        <w:tc>
          <w:tcPr>
            <w:tcW w:w="4668" w:type="dxa"/>
            <w:noWrap w:val="0"/>
            <w:vAlign w:val="top"/>
          </w:tcPr>
          <w:p>
            <w:pPr>
              <w:pStyle w:val="2"/>
              <w:spacing w:before="93"/>
              <w:rPr>
                <w:rFonts w:ascii="宋体" w:hAnsi="宋体" w:eastAsia="宋体"/>
                <w:sz w:val="21"/>
                <w:szCs w:val="21"/>
              </w:rPr>
            </w:pPr>
            <w:r>
              <w:rPr>
                <w:rFonts w:hint="eastAsia" w:ascii="宋体" w:hAnsi="宋体" w:eastAsia="宋体"/>
                <w:sz w:val="21"/>
                <w:szCs w:val="21"/>
              </w:rPr>
              <w:t>辖区内涉黑涉恶问题清查≥12次</w:t>
            </w:r>
          </w:p>
        </w:tc>
        <w:tc>
          <w:tcPr>
            <w:tcW w:w="1316" w:type="dxa"/>
            <w:noWrap w:val="0"/>
            <w:vAlign w:val="top"/>
          </w:tcPr>
          <w:p>
            <w:pPr>
              <w:pStyle w:val="2"/>
              <w:spacing w:before="93"/>
              <w:jc w:val="center"/>
              <w:rPr>
                <w:rFonts w:ascii="宋体" w:hAnsi="宋体" w:eastAsia="宋体"/>
                <w:sz w:val="21"/>
                <w:szCs w:val="21"/>
              </w:rPr>
            </w:pPr>
            <w:r>
              <w:rPr>
                <w:rFonts w:hint="eastAsia" w:ascii="宋体" w:hAnsi="宋体" w:eastAsia="宋体"/>
                <w:sz w:val="21"/>
                <w:szCs w:val="21"/>
              </w:rPr>
              <w:t>完成</w:t>
            </w:r>
          </w:p>
        </w:tc>
        <w:tc>
          <w:tcPr>
            <w:tcW w:w="983" w:type="dxa"/>
            <w:noWrap w:val="0"/>
            <w:vAlign w:val="top"/>
          </w:tcPr>
          <w:p>
            <w:pPr>
              <w:pStyle w:val="2"/>
              <w:spacing w:before="93"/>
              <w:rPr>
                <w:rFonts w:ascii="宋体" w:hAnsi="宋体" w:eastAsia="宋体"/>
                <w:sz w:val="21"/>
                <w:szCs w:val="21"/>
              </w:rPr>
            </w:pPr>
          </w:p>
        </w:tc>
      </w:tr>
    </w:tbl>
    <w:p>
      <w:pPr>
        <w:pStyle w:val="2"/>
        <w:spacing w:before="93"/>
        <w:jc w:val="center"/>
        <w:rPr>
          <w:rFonts w:ascii="仿宋" w:hAnsi="仿宋" w:eastAsia="仿宋"/>
          <w:b/>
          <w:bCs/>
          <w:sz w:val="24"/>
        </w:rPr>
      </w:pPr>
      <w:r>
        <w:rPr>
          <w:rFonts w:ascii="仿宋" w:hAnsi="仿宋" w:eastAsia="仿宋"/>
          <w:b/>
          <w:bCs/>
          <w:sz w:val="24"/>
        </w:rPr>
        <w:t>表</w:t>
      </w:r>
      <w:r>
        <w:rPr>
          <w:rFonts w:hint="eastAsia" w:ascii="仿宋" w:hAnsi="仿宋" w:eastAsia="仿宋"/>
          <w:b/>
          <w:bCs/>
          <w:sz w:val="24"/>
        </w:rPr>
        <w:t>3-1 2020年原福庆乡人民政府绩效目标完成情况</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4610"/>
        <w:gridCol w:w="1590"/>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877" w:type="dxa"/>
            <w:noWrap w:val="0"/>
            <w:vAlign w:val="top"/>
          </w:tcPr>
          <w:p>
            <w:pPr>
              <w:pStyle w:val="2"/>
              <w:spacing w:before="93"/>
              <w:jc w:val="center"/>
              <w:rPr>
                <w:rFonts w:ascii="宋体" w:hAnsi="宋体" w:eastAsia="宋体"/>
                <w:b/>
                <w:bCs/>
                <w:sz w:val="21"/>
                <w:szCs w:val="21"/>
              </w:rPr>
            </w:pPr>
            <w:r>
              <w:rPr>
                <w:rFonts w:hint="eastAsia" w:ascii="宋体" w:hAnsi="宋体" w:eastAsia="宋体"/>
                <w:b/>
                <w:bCs/>
                <w:sz w:val="21"/>
                <w:szCs w:val="21"/>
              </w:rPr>
              <w:t>项目名称</w:t>
            </w:r>
          </w:p>
        </w:tc>
        <w:tc>
          <w:tcPr>
            <w:tcW w:w="4610" w:type="dxa"/>
            <w:noWrap w:val="0"/>
            <w:vAlign w:val="top"/>
          </w:tcPr>
          <w:p>
            <w:pPr>
              <w:pStyle w:val="2"/>
              <w:spacing w:before="93"/>
              <w:jc w:val="center"/>
              <w:rPr>
                <w:rFonts w:ascii="宋体" w:hAnsi="宋体" w:eastAsia="宋体"/>
                <w:b/>
                <w:bCs/>
                <w:sz w:val="21"/>
                <w:szCs w:val="21"/>
              </w:rPr>
            </w:pPr>
            <w:r>
              <w:rPr>
                <w:rFonts w:hint="eastAsia" w:ascii="宋体" w:hAnsi="宋体" w:eastAsia="宋体"/>
                <w:b/>
                <w:bCs/>
                <w:sz w:val="21"/>
                <w:szCs w:val="21"/>
              </w:rPr>
              <w:t>项目完成指标</w:t>
            </w:r>
          </w:p>
        </w:tc>
        <w:tc>
          <w:tcPr>
            <w:tcW w:w="1590" w:type="dxa"/>
            <w:noWrap w:val="0"/>
            <w:vAlign w:val="top"/>
          </w:tcPr>
          <w:p>
            <w:pPr>
              <w:pStyle w:val="2"/>
              <w:spacing w:before="93"/>
              <w:jc w:val="center"/>
              <w:rPr>
                <w:rFonts w:ascii="宋体" w:hAnsi="宋体" w:eastAsia="宋体"/>
                <w:b/>
                <w:bCs/>
                <w:sz w:val="21"/>
                <w:szCs w:val="21"/>
              </w:rPr>
            </w:pPr>
            <w:r>
              <w:rPr>
                <w:rFonts w:hint="eastAsia" w:ascii="宋体" w:hAnsi="宋体" w:eastAsia="宋体"/>
                <w:b/>
                <w:bCs/>
                <w:sz w:val="21"/>
                <w:szCs w:val="21"/>
              </w:rPr>
              <w:t>实际完成情况</w:t>
            </w:r>
          </w:p>
        </w:tc>
        <w:tc>
          <w:tcPr>
            <w:tcW w:w="983" w:type="dxa"/>
            <w:noWrap w:val="0"/>
            <w:vAlign w:val="top"/>
          </w:tcPr>
          <w:p>
            <w:pPr>
              <w:pStyle w:val="2"/>
              <w:spacing w:before="93"/>
              <w:jc w:val="center"/>
              <w:rPr>
                <w:rFonts w:ascii="宋体" w:hAnsi="宋体" w:eastAsia="宋体"/>
                <w:b/>
                <w:bCs/>
                <w:sz w:val="21"/>
                <w:szCs w:val="21"/>
              </w:rPr>
            </w:pPr>
            <w:r>
              <w:rPr>
                <w:rFonts w:hint="eastAsia" w:ascii="宋体" w:hAnsi="宋体" w:eastAsia="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877" w:type="dxa"/>
            <w:vMerge w:val="restart"/>
            <w:noWrap w:val="0"/>
            <w:vAlign w:val="center"/>
          </w:tcPr>
          <w:p>
            <w:pPr>
              <w:pStyle w:val="2"/>
              <w:spacing w:before="93"/>
              <w:jc w:val="center"/>
              <w:rPr>
                <w:rFonts w:ascii="宋体" w:hAnsi="宋体" w:eastAsia="宋体"/>
                <w:sz w:val="21"/>
                <w:szCs w:val="21"/>
              </w:rPr>
            </w:pPr>
            <w:r>
              <w:rPr>
                <w:rFonts w:hint="eastAsia" w:ascii="宋体" w:hAnsi="宋体" w:eastAsia="宋体"/>
                <w:b/>
                <w:bCs/>
                <w:sz w:val="21"/>
                <w:szCs w:val="21"/>
              </w:rPr>
              <w:t>党组织活动经费</w:t>
            </w:r>
          </w:p>
        </w:tc>
        <w:tc>
          <w:tcPr>
            <w:tcW w:w="4610" w:type="dxa"/>
            <w:noWrap w:val="0"/>
            <w:vAlign w:val="top"/>
          </w:tcPr>
          <w:p>
            <w:pPr>
              <w:pStyle w:val="2"/>
              <w:spacing w:before="93"/>
              <w:rPr>
                <w:rFonts w:ascii="宋体" w:hAnsi="宋体" w:eastAsia="宋体"/>
                <w:sz w:val="21"/>
                <w:szCs w:val="21"/>
              </w:rPr>
            </w:pPr>
            <w:r>
              <w:rPr>
                <w:rFonts w:hint="eastAsia" w:ascii="宋体" w:hAnsi="宋体" w:eastAsia="宋体"/>
                <w:sz w:val="21"/>
                <w:szCs w:val="21"/>
              </w:rPr>
              <w:t>建设活动阵地1个</w:t>
            </w:r>
          </w:p>
        </w:tc>
        <w:tc>
          <w:tcPr>
            <w:tcW w:w="1590" w:type="dxa"/>
            <w:noWrap w:val="0"/>
            <w:vAlign w:val="top"/>
          </w:tcPr>
          <w:p>
            <w:pPr>
              <w:pStyle w:val="2"/>
              <w:spacing w:before="93"/>
              <w:jc w:val="center"/>
              <w:rPr>
                <w:rFonts w:ascii="宋体" w:hAnsi="宋体" w:eastAsia="宋体"/>
                <w:sz w:val="21"/>
                <w:szCs w:val="21"/>
              </w:rPr>
            </w:pPr>
            <w:r>
              <w:rPr>
                <w:rFonts w:hint="eastAsia" w:ascii="宋体" w:hAnsi="宋体" w:eastAsia="宋体"/>
                <w:sz w:val="21"/>
                <w:szCs w:val="21"/>
              </w:rPr>
              <w:t>完成</w:t>
            </w:r>
          </w:p>
        </w:tc>
        <w:tc>
          <w:tcPr>
            <w:tcW w:w="983" w:type="dxa"/>
            <w:noWrap w:val="0"/>
            <w:vAlign w:val="top"/>
          </w:tcPr>
          <w:p>
            <w:pPr>
              <w:pStyle w:val="2"/>
              <w:spacing w:before="93"/>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77" w:type="dxa"/>
            <w:vMerge w:val="continue"/>
            <w:noWrap w:val="0"/>
            <w:vAlign w:val="center"/>
          </w:tcPr>
          <w:p>
            <w:pPr>
              <w:pStyle w:val="2"/>
              <w:spacing w:before="93"/>
              <w:jc w:val="center"/>
              <w:rPr>
                <w:rFonts w:hint="eastAsia" w:ascii="宋体" w:hAnsi="宋体" w:eastAsia="宋体"/>
                <w:b/>
                <w:bCs/>
                <w:sz w:val="21"/>
                <w:szCs w:val="21"/>
              </w:rPr>
            </w:pPr>
          </w:p>
        </w:tc>
        <w:tc>
          <w:tcPr>
            <w:tcW w:w="4610" w:type="dxa"/>
            <w:noWrap w:val="0"/>
            <w:vAlign w:val="top"/>
          </w:tcPr>
          <w:p>
            <w:pPr>
              <w:pStyle w:val="2"/>
              <w:spacing w:before="93"/>
              <w:rPr>
                <w:rFonts w:hint="eastAsia" w:ascii="宋体" w:hAnsi="宋体" w:eastAsia="宋体"/>
                <w:sz w:val="21"/>
                <w:szCs w:val="21"/>
              </w:rPr>
            </w:pPr>
            <w:r>
              <w:rPr>
                <w:rFonts w:hint="eastAsia" w:ascii="宋体" w:hAnsi="宋体" w:eastAsia="宋体"/>
                <w:sz w:val="21"/>
                <w:szCs w:val="21"/>
              </w:rPr>
              <w:t>开展三会一课大比武活动每两月一次活动</w:t>
            </w:r>
          </w:p>
        </w:tc>
        <w:tc>
          <w:tcPr>
            <w:tcW w:w="1590" w:type="dxa"/>
            <w:noWrap w:val="0"/>
            <w:vAlign w:val="top"/>
          </w:tcPr>
          <w:p>
            <w:pPr>
              <w:pStyle w:val="2"/>
              <w:spacing w:before="93"/>
              <w:jc w:val="center"/>
              <w:rPr>
                <w:rFonts w:hint="eastAsia" w:ascii="宋体" w:hAnsi="宋体" w:eastAsia="宋体"/>
                <w:sz w:val="21"/>
                <w:szCs w:val="21"/>
              </w:rPr>
            </w:pPr>
            <w:r>
              <w:rPr>
                <w:rFonts w:hint="eastAsia" w:ascii="宋体" w:hAnsi="宋体" w:eastAsia="宋体"/>
                <w:sz w:val="21"/>
                <w:szCs w:val="21"/>
              </w:rPr>
              <w:t>完成</w:t>
            </w:r>
          </w:p>
        </w:tc>
        <w:tc>
          <w:tcPr>
            <w:tcW w:w="983" w:type="dxa"/>
            <w:noWrap w:val="0"/>
            <w:vAlign w:val="top"/>
          </w:tcPr>
          <w:p>
            <w:pPr>
              <w:pStyle w:val="2"/>
              <w:spacing w:before="93"/>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77" w:type="dxa"/>
            <w:vMerge w:val="continue"/>
            <w:noWrap w:val="0"/>
            <w:vAlign w:val="center"/>
          </w:tcPr>
          <w:p>
            <w:pPr>
              <w:pStyle w:val="2"/>
              <w:spacing w:before="93"/>
              <w:jc w:val="center"/>
              <w:rPr>
                <w:rFonts w:hint="eastAsia" w:ascii="宋体" w:hAnsi="宋体" w:eastAsia="宋体"/>
                <w:b/>
                <w:bCs/>
                <w:sz w:val="21"/>
                <w:szCs w:val="21"/>
              </w:rPr>
            </w:pPr>
          </w:p>
        </w:tc>
        <w:tc>
          <w:tcPr>
            <w:tcW w:w="4610" w:type="dxa"/>
            <w:noWrap w:val="0"/>
            <w:vAlign w:val="top"/>
          </w:tcPr>
          <w:p>
            <w:pPr>
              <w:pStyle w:val="2"/>
              <w:spacing w:before="93"/>
              <w:rPr>
                <w:rFonts w:hint="eastAsia" w:ascii="宋体" w:hAnsi="宋体" w:eastAsia="宋体"/>
                <w:sz w:val="21"/>
                <w:szCs w:val="21"/>
              </w:rPr>
            </w:pPr>
            <w:r>
              <w:rPr>
                <w:rFonts w:hint="eastAsia" w:ascii="宋体" w:hAnsi="宋体" w:eastAsia="宋体"/>
                <w:sz w:val="21"/>
                <w:szCs w:val="21"/>
              </w:rPr>
              <w:t>开展党员教育培训，每季度一次党课</w:t>
            </w:r>
          </w:p>
        </w:tc>
        <w:tc>
          <w:tcPr>
            <w:tcW w:w="1590" w:type="dxa"/>
            <w:noWrap w:val="0"/>
            <w:vAlign w:val="top"/>
          </w:tcPr>
          <w:p>
            <w:pPr>
              <w:pStyle w:val="2"/>
              <w:spacing w:before="93"/>
              <w:jc w:val="center"/>
              <w:rPr>
                <w:rFonts w:hint="eastAsia" w:ascii="宋体" w:hAnsi="宋体" w:eastAsia="宋体"/>
                <w:sz w:val="21"/>
                <w:szCs w:val="21"/>
              </w:rPr>
            </w:pPr>
            <w:r>
              <w:rPr>
                <w:rFonts w:hint="eastAsia" w:ascii="宋体" w:hAnsi="宋体" w:eastAsia="宋体"/>
                <w:sz w:val="21"/>
                <w:szCs w:val="21"/>
              </w:rPr>
              <w:t>完成</w:t>
            </w:r>
          </w:p>
        </w:tc>
        <w:tc>
          <w:tcPr>
            <w:tcW w:w="983" w:type="dxa"/>
            <w:noWrap w:val="0"/>
            <w:vAlign w:val="top"/>
          </w:tcPr>
          <w:p>
            <w:pPr>
              <w:pStyle w:val="2"/>
              <w:spacing w:before="93"/>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77" w:type="dxa"/>
            <w:vMerge w:val="continue"/>
            <w:noWrap w:val="0"/>
            <w:vAlign w:val="center"/>
          </w:tcPr>
          <w:p>
            <w:pPr>
              <w:pStyle w:val="2"/>
              <w:spacing w:before="93"/>
              <w:jc w:val="center"/>
              <w:rPr>
                <w:rFonts w:hint="eastAsia" w:ascii="宋体" w:hAnsi="宋体" w:eastAsia="宋体"/>
                <w:b/>
                <w:bCs/>
                <w:sz w:val="21"/>
                <w:szCs w:val="21"/>
              </w:rPr>
            </w:pPr>
          </w:p>
        </w:tc>
        <w:tc>
          <w:tcPr>
            <w:tcW w:w="4610" w:type="dxa"/>
            <w:noWrap w:val="0"/>
            <w:vAlign w:val="top"/>
          </w:tcPr>
          <w:p>
            <w:pPr>
              <w:pStyle w:val="2"/>
              <w:spacing w:before="93"/>
              <w:rPr>
                <w:rFonts w:hint="eastAsia" w:ascii="宋体" w:hAnsi="宋体" w:eastAsia="宋体"/>
                <w:sz w:val="21"/>
                <w:szCs w:val="21"/>
              </w:rPr>
            </w:pPr>
            <w:r>
              <w:rPr>
                <w:rFonts w:hint="eastAsia" w:ascii="宋体" w:hAnsi="宋体" w:eastAsia="宋体"/>
                <w:sz w:val="21"/>
                <w:szCs w:val="21"/>
              </w:rPr>
              <w:t>开展主题单日活动，每月第三周星期五开展</w:t>
            </w:r>
          </w:p>
        </w:tc>
        <w:tc>
          <w:tcPr>
            <w:tcW w:w="1590" w:type="dxa"/>
            <w:noWrap w:val="0"/>
            <w:vAlign w:val="top"/>
          </w:tcPr>
          <w:p>
            <w:pPr>
              <w:pStyle w:val="2"/>
              <w:spacing w:before="93"/>
              <w:jc w:val="center"/>
              <w:rPr>
                <w:rFonts w:hint="eastAsia" w:ascii="宋体" w:hAnsi="宋体" w:eastAsia="宋体"/>
                <w:sz w:val="21"/>
                <w:szCs w:val="21"/>
              </w:rPr>
            </w:pPr>
            <w:r>
              <w:rPr>
                <w:rFonts w:hint="eastAsia" w:ascii="宋体" w:hAnsi="宋体" w:eastAsia="宋体"/>
                <w:sz w:val="21"/>
                <w:szCs w:val="21"/>
              </w:rPr>
              <w:t>完成</w:t>
            </w:r>
          </w:p>
        </w:tc>
        <w:tc>
          <w:tcPr>
            <w:tcW w:w="983" w:type="dxa"/>
            <w:noWrap w:val="0"/>
            <w:vAlign w:val="top"/>
          </w:tcPr>
          <w:p>
            <w:pPr>
              <w:pStyle w:val="2"/>
              <w:spacing w:before="93"/>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77" w:type="dxa"/>
            <w:vMerge w:val="continue"/>
            <w:noWrap w:val="0"/>
            <w:vAlign w:val="center"/>
          </w:tcPr>
          <w:p>
            <w:pPr>
              <w:pStyle w:val="2"/>
              <w:spacing w:before="93"/>
              <w:jc w:val="center"/>
              <w:rPr>
                <w:rFonts w:hint="eastAsia" w:ascii="宋体" w:hAnsi="宋体" w:eastAsia="宋体"/>
                <w:b/>
                <w:bCs/>
                <w:sz w:val="21"/>
                <w:szCs w:val="21"/>
              </w:rPr>
            </w:pPr>
          </w:p>
        </w:tc>
        <w:tc>
          <w:tcPr>
            <w:tcW w:w="4610" w:type="dxa"/>
            <w:noWrap w:val="0"/>
            <w:vAlign w:val="top"/>
          </w:tcPr>
          <w:p>
            <w:pPr>
              <w:pStyle w:val="2"/>
              <w:spacing w:before="93"/>
              <w:rPr>
                <w:rFonts w:hint="eastAsia" w:ascii="宋体" w:hAnsi="宋体" w:eastAsia="宋体"/>
                <w:sz w:val="21"/>
                <w:szCs w:val="21"/>
              </w:rPr>
            </w:pPr>
            <w:r>
              <w:rPr>
                <w:rFonts w:hint="eastAsia" w:ascii="宋体" w:hAnsi="宋体" w:eastAsia="宋体"/>
                <w:sz w:val="21"/>
                <w:szCs w:val="21"/>
              </w:rPr>
              <w:t>党员外出学习调研1次</w:t>
            </w:r>
          </w:p>
        </w:tc>
        <w:tc>
          <w:tcPr>
            <w:tcW w:w="1590" w:type="dxa"/>
            <w:noWrap w:val="0"/>
            <w:vAlign w:val="top"/>
          </w:tcPr>
          <w:p>
            <w:pPr>
              <w:pStyle w:val="2"/>
              <w:spacing w:before="93"/>
              <w:jc w:val="center"/>
              <w:rPr>
                <w:rFonts w:hint="eastAsia" w:ascii="宋体" w:hAnsi="宋体" w:eastAsia="宋体"/>
                <w:sz w:val="21"/>
                <w:szCs w:val="21"/>
              </w:rPr>
            </w:pPr>
            <w:r>
              <w:rPr>
                <w:rFonts w:hint="eastAsia" w:ascii="宋体" w:hAnsi="宋体" w:eastAsia="宋体"/>
                <w:sz w:val="21"/>
                <w:szCs w:val="21"/>
              </w:rPr>
              <w:t>完成</w:t>
            </w:r>
          </w:p>
        </w:tc>
        <w:tc>
          <w:tcPr>
            <w:tcW w:w="983" w:type="dxa"/>
            <w:noWrap w:val="0"/>
            <w:vAlign w:val="top"/>
          </w:tcPr>
          <w:p>
            <w:pPr>
              <w:pStyle w:val="2"/>
              <w:spacing w:before="93"/>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877" w:type="dxa"/>
            <w:vMerge w:val="continue"/>
            <w:noWrap w:val="0"/>
            <w:vAlign w:val="center"/>
          </w:tcPr>
          <w:p>
            <w:pPr>
              <w:pStyle w:val="2"/>
              <w:spacing w:before="93"/>
              <w:jc w:val="center"/>
              <w:rPr>
                <w:rFonts w:ascii="宋体" w:hAnsi="宋体" w:eastAsia="宋体"/>
                <w:sz w:val="21"/>
                <w:szCs w:val="21"/>
              </w:rPr>
            </w:pPr>
          </w:p>
        </w:tc>
        <w:tc>
          <w:tcPr>
            <w:tcW w:w="4610" w:type="dxa"/>
            <w:noWrap w:val="0"/>
            <w:vAlign w:val="top"/>
          </w:tcPr>
          <w:p>
            <w:pPr>
              <w:pStyle w:val="2"/>
              <w:spacing w:before="93"/>
              <w:rPr>
                <w:rFonts w:ascii="宋体" w:hAnsi="宋体" w:eastAsia="宋体"/>
                <w:sz w:val="21"/>
                <w:szCs w:val="21"/>
              </w:rPr>
            </w:pPr>
            <w:r>
              <w:rPr>
                <w:rFonts w:hint="eastAsia" w:ascii="宋体" w:hAnsi="宋体" w:eastAsia="宋体"/>
                <w:sz w:val="21"/>
                <w:szCs w:val="21"/>
              </w:rPr>
              <w:t>订阅购买党建资料合计10份</w:t>
            </w:r>
          </w:p>
        </w:tc>
        <w:tc>
          <w:tcPr>
            <w:tcW w:w="1590" w:type="dxa"/>
            <w:noWrap w:val="0"/>
            <w:vAlign w:val="top"/>
          </w:tcPr>
          <w:p>
            <w:pPr>
              <w:pStyle w:val="2"/>
              <w:spacing w:before="93"/>
              <w:jc w:val="center"/>
              <w:rPr>
                <w:rFonts w:ascii="宋体" w:hAnsi="宋体" w:eastAsia="宋体"/>
                <w:sz w:val="21"/>
                <w:szCs w:val="21"/>
              </w:rPr>
            </w:pPr>
            <w:r>
              <w:rPr>
                <w:rFonts w:hint="eastAsia" w:ascii="宋体" w:hAnsi="宋体" w:eastAsia="宋体"/>
                <w:sz w:val="21"/>
                <w:szCs w:val="21"/>
              </w:rPr>
              <w:t>完成</w:t>
            </w:r>
          </w:p>
        </w:tc>
        <w:tc>
          <w:tcPr>
            <w:tcW w:w="983" w:type="dxa"/>
            <w:noWrap w:val="0"/>
            <w:vAlign w:val="top"/>
          </w:tcPr>
          <w:p>
            <w:pPr>
              <w:pStyle w:val="2"/>
              <w:spacing w:before="93"/>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77" w:type="dxa"/>
            <w:vMerge w:val="continue"/>
            <w:noWrap w:val="0"/>
            <w:vAlign w:val="center"/>
          </w:tcPr>
          <w:p>
            <w:pPr>
              <w:pStyle w:val="2"/>
              <w:spacing w:before="93"/>
              <w:jc w:val="center"/>
              <w:rPr>
                <w:rFonts w:ascii="宋体" w:hAnsi="宋体" w:eastAsia="宋体"/>
                <w:sz w:val="21"/>
                <w:szCs w:val="21"/>
              </w:rPr>
            </w:pPr>
          </w:p>
        </w:tc>
        <w:tc>
          <w:tcPr>
            <w:tcW w:w="4610" w:type="dxa"/>
            <w:noWrap w:val="0"/>
            <w:vAlign w:val="top"/>
          </w:tcPr>
          <w:p>
            <w:pPr>
              <w:pStyle w:val="2"/>
              <w:spacing w:before="93"/>
              <w:rPr>
                <w:rFonts w:ascii="宋体" w:hAnsi="宋体" w:eastAsia="宋体"/>
                <w:sz w:val="21"/>
                <w:szCs w:val="21"/>
              </w:rPr>
            </w:pPr>
            <w:r>
              <w:rPr>
                <w:rFonts w:hint="eastAsia" w:ascii="宋体" w:hAnsi="宋体" w:eastAsia="宋体"/>
                <w:sz w:val="21"/>
                <w:szCs w:val="21"/>
              </w:rPr>
              <w:t>党员慰问5人</w:t>
            </w:r>
          </w:p>
        </w:tc>
        <w:tc>
          <w:tcPr>
            <w:tcW w:w="1590" w:type="dxa"/>
            <w:noWrap w:val="0"/>
            <w:vAlign w:val="top"/>
          </w:tcPr>
          <w:p>
            <w:pPr>
              <w:pStyle w:val="2"/>
              <w:spacing w:before="93"/>
              <w:jc w:val="center"/>
              <w:rPr>
                <w:rFonts w:ascii="宋体" w:hAnsi="宋体" w:eastAsia="宋体"/>
                <w:sz w:val="21"/>
                <w:szCs w:val="21"/>
              </w:rPr>
            </w:pPr>
            <w:r>
              <w:rPr>
                <w:rFonts w:hint="eastAsia" w:ascii="宋体" w:hAnsi="宋体" w:eastAsia="宋体"/>
                <w:sz w:val="21"/>
                <w:szCs w:val="21"/>
              </w:rPr>
              <w:t>完成</w:t>
            </w:r>
          </w:p>
        </w:tc>
        <w:tc>
          <w:tcPr>
            <w:tcW w:w="983" w:type="dxa"/>
            <w:noWrap w:val="0"/>
            <w:vAlign w:val="top"/>
          </w:tcPr>
          <w:p>
            <w:pPr>
              <w:pStyle w:val="2"/>
              <w:spacing w:before="93"/>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77" w:type="dxa"/>
            <w:vMerge w:val="restart"/>
            <w:noWrap w:val="0"/>
            <w:vAlign w:val="center"/>
          </w:tcPr>
          <w:p>
            <w:pPr>
              <w:pStyle w:val="2"/>
              <w:spacing w:before="93"/>
              <w:jc w:val="center"/>
              <w:rPr>
                <w:rFonts w:ascii="宋体" w:hAnsi="宋体" w:eastAsia="宋体"/>
                <w:sz w:val="21"/>
                <w:szCs w:val="21"/>
              </w:rPr>
            </w:pPr>
            <w:r>
              <w:rPr>
                <w:rFonts w:hint="eastAsia" w:ascii="宋体" w:hAnsi="宋体" w:eastAsia="宋体"/>
                <w:b/>
                <w:bCs/>
                <w:sz w:val="21"/>
                <w:szCs w:val="21"/>
              </w:rPr>
              <w:t>扫黑除恶工作经费</w:t>
            </w:r>
          </w:p>
        </w:tc>
        <w:tc>
          <w:tcPr>
            <w:tcW w:w="4610" w:type="dxa"/>
            <w:noWrap w:val="0"/>
            <w:vAlign w:val="top"/>
          </w:tcPr>
          <w:p>
            <w:pPr>
              <w:pStyle w:val="2"/>
              <w:spacing w:before="93"/>
              <w:rPr>
                <w:rFonts w:ascii="宋体" w:hAnsi="宋体" w:eastAsia="宋体"/>
                <w:sz w:val="21"/>
                <w:szCs w:val="21"/>
              </w:rPr>
            </w:pPr>
            <w:r>
              <w:rPr>
                <w:rFonts w:hint="eastAsia" w:ascii="宋体" w:hAnsi="宋体" w:eastAsia="宋体"/>
                <w:sz w:val="21"/>
                <w:szCs w:val="21"/>
              </w:rPr>
              <w:t>开展督查活动每半年一次</w:t>
            </w:r>
          </w:p>
        </w:tc>
        <w:tc>
          <w:tcPr>
            <w:tcW w:w="1590" w:type="dxa"/>
            <w:noWrap w:val="0"/>
            <w:vAlign w:val="top"/>
          </w:tcPr>
          <w:p>
            <w:pPr>
              <w:pStyle w:val="2"/>
              <w:spacing w:before="93"/>
              <w:jc w:val="center"/>
              <w:rPr>
                <w:rFonts w:ascii="宋体" w:hAnsi="宋体" w:eastAsia="宋体"/>
                <w:sz w:val="21"/>
                <w:szCs w:val="21"/>
              </w:rPr>
            </w:pPr>
            <w:r>
              <w:rPr>
                <w:rFonts w:hint="eastAsia" w:ascii="宋体" w:hAnsi="宋体" w:eastAsia="宋体"/>
                <w:sz w:val="21"/>
                <w:szCs w:val="21"/>
              </w:rPr>
              <w:t>完成</w:t>
            </w:r>
          </w:p>
        </w:tc>
        <w:tc>
          <w:tcPr>
            <w:tcW w:w="983" w:type="dxa"/>
            <w:noWrap w:val="0"/>
            <w:vAlign w:val="top"/>
          </w:tcPr>
          <w:p>
            <w:pPr>
              <w:pStyle w:val="2"/>
              <w:spacing w:before="93"/>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77" w:type="dxa"/>
            <w:vMerge w:val="continue"/>
            <w:noWrap w:val="0"/>
            <w:vAlign w:val="center"/>
          </w:tcPr>
          <w:p>
            <w:pPr>
              <w:pStyle w:val="2"/>
              <w:spacing w:before="93"/>
              <w:jc w:val="center"/>
              <w:rPr>
                <w:rFonts w:hint="eastAsia" w:ascii="宋体" w:hAnsi="宋体" w:eastAsia="宋体"/>
                <w:b/>
                <w:bCs/>
                <w:sz w:val="21"/>
                <w:szCs w:val="21"/>
              </w:rPr>
            </w:pPr>
          </w:p>
        </w:tc>
        <w:tc>
          <w:tcPr>
            <w:tcW w:w="4610" w:type="dxa"/>
            <w:noWrap w:val="0"/>
            <w:vAlign w:val="top"/>
          </w:tcPr>
          <w:p>
            <w:pPr>
              <w:pStyle w:val="2"/>
              <w:spacing w:before="93"/>
              <w:rPr>
                <w:rFonts w:hint="eastAsia" w:ascii="宋体" w:hAnsi="宋体" w:eastAsia="宋体"/>
                <w:sz w:val="21"/>
                <w:szCs w:val="21"/>
              </w:rPr>
            </w:pPr>
            <w:r>
              <w:rPr>
                <w:rFonts w:hint="eastAsia" w:ascii="宋体" w:hAnsi="宋体" w:eastAsia="宋体"/>
                <w:sz w:val="21"/>
                <w:szCs w:val="21"/>
              </w:rPr>
              <w:t>组织专题宣讲活动每季度一次</w:t>
            </w:r>
          </w:p>
        </w:tc>
        <w:tc>
          <w:tcPr>
            <w:tcW w:w="1590" w:type="dxa"/>
            <w:noWrap w:val="0"/>
            <w:vAlign w:val="top"/>
          </w:tcPr>
          <w:p>
            <w:pPr>
              <w:pStyle w:val="2"/>
              <w:spacing w:before="93"/>
              <w:jc w:val="center"/>
              <w:rPr>
                <w:rFonts w:hint="eastAsia" w:ascii="宋体" w:hAnsi="宋体" w:eastAsia="宋体"/>
                <w:sz w:val="21"/>
                <w:szCs w:val="21"/>
              </w:rPr>
            </w:pPr>
            <w:r>
              <w:rPr>
                <w:rFonts w:hint="eastAsia" w:ascii="宋体" w:hAnsi="宋体" w:eastAsia="宋体"/>
                <w:sz w:val="21"/>
                <w:szCs w:val="21"/>
              </w:rPr>
              <w:t>完成</w:t>
            </w:r>
          </w:p>
        </w:tc>
        <w:tc>
          <w:tcPr>
            <w:tcW w:w="983" w:type="dxa"/>
            <w:noWrap w:val="0"/>
            <w:vAlign w:val="top"/>
          </w:tcPr>
          <w:p>
            <w:pPr>
              <w:pStyle w:val="2"/>
              <w:spacing w:before="93"/>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877" w:type="dxa"/>
            <w:vMerge w:val="continue"/>
            <w:noWrap w:val="0"/>
            <w:vAlign w:val="center"/>
          </w:tcPr>
          <w:p>
            <w:pPr>
              <w:pStyle w:val="2"/>
              <w:spacing w:before="93"/>
              <w:jc w:val="center"/>
              <w:rPr>
                <w:rFonts w:hint="eastAsia" w:ascii="宋体" w:hAnsi="宋体" w:eastAsia="宋体"/>
                <w:b/>
                <w:bCs/>
                <w:sz w:val="21"/>
                <w:szCs w:val="21"/>
              </w:rPr>
            </w:pPr>
          </w:p>
        </w:tc>
        <w:tc>
          <w:tcPr>
            <w:tcW w:w="4610" w:type="dxa"/>
            <w:noWrap w:val="0"/>
            <w:vAlign w:val="top"/>
          </w:tcPr>
          <w:p>
            <w:pPr>
              <w:pStyle w:val="2"/>
              <w:spacing w:before="93"/>
              <w:rPr>
                <w:rFonts w:hint="eastAsia" w:ascii="宋体" w:hAnsi="宋体" w:eastAsia="宋体"/>
                <w:sz w:val="21"/>
                <w:szCs w:val="21"/>
              </w:rPr>
            </w:pPr>
            <w:r>
              <w:rPr>
                <w:rFonts w:hint="eastAsia" w:ascii="宋体" w:hAnsi="宋体" w:eastAsia="宋体"/>
                <w:sz w:val="21"/>
                <w:szCs w:val="21"/>
              </w:rPr>
              <w:t>观看警示教育片每季度一次</w:t>
            </w:r>
          </w:p>
        </w:tc>
        <w:tc>
          <w:tcPr>
            <w:tcW w:w="1590" w:type="dxa"/>
            <w:noWrap w:val="0"/>
            <w:vAlign w:val="top"/>
          </w:tcPr>
          <w:p>
            <w:pPr>
              <w:pStyle w:val="2"/>
              <w:spacing w:before="93"/>
              <w:jc w:val="center"/>
              <w:rPr>
                <w:rFonts w:hint="eastAsia" w:ascii="宋体" w:hAnsi="宋体" w:eastAsia="宋体"/>
                <w:sz w:val="21"/>
                <w:szCs w:val="21"/>
              </w:rPr>
            </w:pPr>
            <w:r>
              <w:rPr>
                <w:rFonts w:hint="eastAsia" w:ascii="宋体" w:hAnsi="宋体" w:eastAsia="宋体"/>
                <w:sz w:val="21"/>
                <w:szCs w:val="21"/>
              </w:rPr>
              <w:t>完成</w:t>
            </w:r>
          </w:p>
        </w:tc>
        <w:tc>
          <w:tcPr>
            <w:tcW w:w="983" w:type="dxa"/>
            <w:noWrap w:val="0"/>
            <w:vAlign w:val="top"/>
          </w:tcPr>
          <w:p>
            <w:pPr>
              <w:pStyle w:val="2"/>
              <w:spacing w:before="93"/>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877" w:type="dxa"/>
            <w:vMerge w:val="continue"/>
            <w:noWrap w:val="0"/>
            <w:vAlign w:val="top"/>
          </w:tcPr>
          <w:p>
            <w:pPr>
              <w:pStyle w:val="2"/>
              <w:spacing w:before="93"/>
              <w:rPr>
                <w:rFonts w:ascii="宋体" w:hAnsi="宋体" w:eastAsia="宋体"/>
                <w:sz w:val="21"/>
                <w:szCs w:val="21"/>
              </w:rPr>
            </w:pPr>
          </w:p>
        </w:tc>
        <w:tc>
          <w:tcPr>
            <w:tcW w:w="4610" w:type="dxa"/>
            <w:noWrap w:val="0"/>
            <w:vAlign w:val="top"/>
          </w:tcPr>
          <w:p>
            <w:pPr>
              <w:pStyle w:val="2"/>
              <w:spacing w:before="93"/>
              <w:rPr>
                <w:rFonts w:ascii="宋体" w:hAnsi="宋体" w:eastAsia="宋体"/>
                <w:sz w:val="21"/>
                <w:szCs w:val="21"/>
              </w:rPr>
            </w:pPr>
            <w:r>
              <w:rPr>
                <w:rFonts w:hint="eastAsia" w:ascii="宋体" w:hAnsi="宋体" w:eastAsia="宋体"/>
                <w:sz w:val="21"/>
                <w:szCs w:val="21"/>
              </w:rPr>
              <w:t>开展联合整治1次</w:t>
            </w:r>
          </w:p>
        </w:tc>
        <w:tc>
          <w:tcPr>
            <w:tcW w:w="1590" w:type="dxa"/>
            <w:noWrap w:val="0"/>
            <w:vAlign w:val="top"/>
          </w:tcPr>
          <w:p>
            <w:pPr>
              <w:pStyle w:val="2"/>
              <w:spacing w:before="93"/>
              <w:jc w:val="center"/>
              <w:rPr>
                <w:rFonts w:ascii="宋体" w:hAnsi="宋体" w:eastAsia="宋体"/>
                <w:sz w:val="21"/>
                <w:szCs w:val="21"/>
              </w:rPr>
            </w:pPr>
            <w:r>
              <w:rPr>
                <w:rFonts w:hint="eastAsia" w:ascii="宋体" w:hAnsi="宋体" w:eastAsia="宋体"/>
                <w:sz w:val="21"/>
                <w:szCs w:val="21"/>
              </w:rPr>
              <w:t>完成</w:t>
            </w:r>
          </w:p>
        </w:tc>
        <w:tc>
          <w:tcPr>
            <w:tcW w:w="983" w:type="dxa"/>
            <w:noWrap w:val="0"/>
            <w:vAlign w:val="top"/>
          </w:tcPr>
          <w:p>
            <w:pPr>
              <w:pStyle w:val="2"/>
              <w:spacing w:before="93"/>
              <w:rPr>
                <w:rFonts w:ascii="宋体" w:hAnsi="宋体" w:eastAsia="宋体"/>
                <w:sz w:val="21"/>
                <w:szCs w:val="21"/>
              </w:rPr>
            </w:pPr>
          </w:p>
        </w:tc>
      </w:tr>
    </w:tbl>
    <w:p>
      <w:pPr>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该指标分值标准10分，根据指标评价标准和公式计算，综合参考2020年综合目标绩效考评结果，得分9分。</w:t>
      </w:r>
    </w:p>
    <w:p>
      <w:pPr>
        <w:pStyle w:val="2"/>
        <w:spacing w:beforeLines="0" w:line="576" w:lineRule="exact"/>
        <w:ind w:firstLine="640" w:firstLineChars="200"/>
        <w:rPr>
          <w:rFonts w:hint="eastAsia" w:hAnsi="仿宋" w:cs="楷体"/>
          <w:sz w:val="32"/>
          <w:szCs w:val="32"/>
        </w:rPr>
      </w:pPr>
      <w:r>
        <w:rPr>
          <w:rFonts w:hint="eastAsia" w:hAnsi="仿宋" w:cs="楷体"/>
          <w:sz w:val="32"/>
          <w:szCs w:val="32"/>
        </w:rPr>
        <w:t>（3）编制准确</w:t>
      </w:r>
    </w:p>
    <w:p>
      <w:pPr>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天星镇人民政府部门年初预算数为916.02万元，预算调整数为974万元，依据指标体系计分标准：指标得分=1-年初预算数（一上）/（财政下达数（一下）+预算调整数）基本支出资金，预决算偏差程度为2.43%。</w:t>
      </w:r>
    </w:p>
    <w:p>
      <w:pPr>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该指标分值标准10分，根据指标评价标准和公式计算，预决算偏差程度在10%以内的，得10分。参考全县预决算偏差程度，根据指标评价标准和公式计算。</w:t>
      </w:r>
    </w:p>
    <w:p>
      <w:pPr>
        <w:tabs>
          <w:tab w:val="left" w:pos="268"/>
          <w:tab w:val="left" w:pos="312"/>
        </w:tabs>
        <w:spacing w:line="576" w:lineRule="exact"/>
        <w:ind w:firstLine="630" w:firstLineChars="196"/>
        <w:rPr>
          <w:rFonts w:hint="eastAsia" w:ascii="仿宋_GB2312" w:hAnsi="仿宋" w:eastAsia="仿宋_GB2312" w:cs="楷体"/>
          <w:b/>
          <w:sz w:val="32"/>
          <w:szCs w:val="32"/>
        </w:rPr>
      </w:pPr>
      <w:r>
        <w:rPr>
          <w:rFonts w:hint="eastAsia" w:ascii="仿宋_GB2312" w:hAnsi="仿宋" w:eastAsia="仿宋_GB2312" w:cs="楷体"/>
          <w:b/>
          <w:sz w:val="32"/>
          <w:szCs w:val="32"/>
        </w:rPr>
        <w:t>2.预算执行情况</w:t>
      </w:r>
    </w:p>
    <w:p>
      <w:pPr>
        <w:tabs>
          <w:tab w:val="left" w:pos="268"/>
        </w:tabs>
        <w:spacing w:line="576" w:lineRule="exact"/>
        <w:ind w:firstLine="640" w:firstLineChars="200"/>
        <w:rPr>
          <w:rFonts w:hint="eastAsia" w:ascii="仿宋_GB2312" w:hAnsi="仿宋" w:eastAsia="仿宋_GB2312"/>
          <w:sz w:val="32"/>
          <w:szCs w:val="32"/>
        </w:rPr>
      </w:pPr>
      <w:r>
        <w:rPr>
          <w:rFonts w:hint="eastAsia" w:ascii="仿宋_GB2312" w:hAnsi="仿宋" w:eastAsia="仿宋_GB2312" w:cs="楷体"/>
          <w:sz w:val="32"/>
          <w:szCs w:val="32"/>
        </w:rPr>
        <w:t>（1）支出控制</w:t>
      </w:r>
    </w:p>
    <w:p>
      <w:pPr>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2020年，天星镇人民政府部门公用经费及非定额公用支出预算金额为219.38万元，其中：日常公用经费预算数219.38万元，项目支出中办公费、印刷费、水费、电费、物业管理费预算数分别为0万元、0万元、0万元、0万元、0万元。决算金额为275.14万元，其中：日常公用经费决算数252.04万元，项目支出中办公费、印刷费、水费、电费、物业管理费预算数分别为18.23万元、0万元、0万元、4.87万元、0万元。部门公用经费及非定额公用支出决算数与预算数的偏差程度为25.42%。</w:t>
      </w:r>
    </w:p>
    <w:p>
      <w:pPr>
        <w:pStyle w:val="2"/>
        <w:spacing w:before="93"/>
        <w:rPr>
          <w:rFonts w:hint="eastAsia"/>
        </w:rPr>
      </w:pPr>
    </w:p>
    <w:p>
      <w:pPr>
        <w:pStyle w:val="19"/>
        <w:rPr>
          <w:rFonts w:hint="eastAsia" w:ascii="仿宋" w:hAnsi="仿宋" w:eastAsia="仿宋"/>
          <w:szCs w:val="24"/>
        </w:rPr>
      </w:pPr>
    </w:p>
    <w:p>
      <w:pPr>
        <w:pStyle w:val="19"/>
        <w:rPr>
          <w:rFonts w:hint="eastAsia" w:ascii="仿宋" w:hAnsi="仿宋" w:eastAsia="仿宋"/>
          <w:szCs w:val="24"/>
        </w:rPr>
      </w:pPr>
      <w:r>
        <w:rPr>
          <w:rFonts w:hint="eastAsia" w:ascii="仿宋" w:hAnsi="仿宋" w:eastAsia="仿宋"/>
          <w:szCs w:val="24"/>
        </w:rPr>
        <w:t>表4-12020</w:t>
      </w:r>
      <w:r>
        <w:rPr>
          <w:rFonts w:ascii="仿宋" w:hAnsi="仿宋" w:eastAsia="仿宋"/>
          <w:szCs w:val="24"/>
        </w:rPr>
        <w:t>年</w:t>
      </w:r>
      <w:r>
        <w:rPr>
          <w:rFonts w:hint="eastAsia" w:ascii="仿宋" w:hAnsi="仿宋" w:eastAsia="仿宋"/>
          <w:szCs w:val="24"/>
        </w:rPr>
        <w:t>天星镇人民政府部门公用经费及非定额公用支出预决算情况表</w:t>
      </w:r>
    </w:p>
    <w:p>
      <w:pPr>
        <w:pStyle w:val="19"/>
        <w:jc w:val="right"/>
        <w:rPr>
          <w:rFonts w:ascii="仿宋" w:hAnsi="仿宋" w:eastAsia="仿宋"/>
          <w:b w:val="0"/>
          <w:sz w:val="21"/>
          <w:szCs w:val="21"/>
        </w:rPr>
      </w:pPr>
      <w:r>
        <w:rPr>
          <w:rFonts w:hint="eastAsia" w:ascii="仿宋" w:hAnsi="仿宋" w:eastAsia="仿宋"/>
          <w:b w:val="0"/>
          <w:sz w:val="21"/>
          <w:szCs w:val="21"/>
        </w:rPr>
        <w:t>单位</w:t>
      </w:r>
      <w:r>
        <w:rPr>
          <w:rFonts w:ascii="仿宋" w:hAnsi="仿宋" w:eastAsia="仿宋"/>
          <w:b w:val="0"/>
          <w:sz w:val="21"/>
          <w:szCs w:val="21"/>
        </w:rPr>
        <w:t>：万元</w:t>
      </w:r>
    </w:p>
    <w:tbl>
      <w:tblPr>
        <w:tblStyle w:val="12"/>
        <w:tblpPr w:leftFromText="180" w:rightFromText="180" w:vertAnchor="text" w:horzAnchor="margin" w:tblpY="109"/>
        <w:tblOverlap w:val="never"/>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241"/>
        <w:gridCol w:w="1119"/>
        <w:gridCol w:w="1119"/>
        <w:gridCol w:w="1119"/>
        <w:gridCol w:w="1119"/>
        <w:gridCol w:w="1122"/>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blHeader/>
        </w:trPr>
        <w:tc>
          <w:tcPr>
            <w:tcW w:w="985" w:type="dxa"/>
            <w:vMerge w:val="restart"/>
            <w:noWrap w:val="0"/>
            <w:vAlign w:val="center"/>
          </w:tcPr>
          <w:p>
            <w:pPr>
              <w:pStyle w:val="20"/>
              <w:rPr>
                <w:rFonts w:ascii="宋体" w:hAnsi="宋体" w:eastAsia="宋体"/>
                <w:color w:val="auto"/>
                <w:sz w:val="21"/>
                <w:szCs w:val="21"/>
              </w:rPr>
            </w:pPr>
          </w:p>
        </w:tc>
        <w:tc>
          <w:tcPr>
            <w:tcW w:w="1241" w:type="dxa"/>
            <w:vMerge w:val="restart"/>
            <w:noWrap w:val="0"/>
            <w:vAlign w:val="center"/>
          </w:tcPr>
          <w:p>
            <w:pPr>
              <w:pStyle w:val="20"/>
              <w:rPr>
                <w:rFonts w:ascii="宋体" w:hAnsi="宋体" w:eastAsia="宋体"/>
                <w:b/>
                <w:color w:val="auto"/>
                <w:sz w:val="21"/>
                <w:szCs w:val="21"/>
                <w:lang w:val="en-US"/>
              </w:rPr>
            </w:pPr>
            <w:r>
              <w:rPr>
                <w:rFonts w:hint="eastAsia" w:ascii="宋体" w:hAnsi="宋体" w:eastAsia="宋体"/>
                <w:b/>
                <w:color w:val="auto"/>
                <w:sz w:val="21"/>
                <w:szCs w:val="21"/>
                <w:lang w:val="en-US"/>
              </w:rPr>
              <w:t>日常公用经费</w:t>
            </w:r>
          </w:p>
        </w:tc>
        <w:tc>
          <w:tcPr>
            <w:tcW w:w="5598" w:type="dxa"/>
            <w:gridSpan w:val="5"/>
            <w:noWrap w:val="0"/>
            <w:vAlign w:val="center"/>
          </w:tcPr>
          <w:p>
            <w:pPr>
              <w:pStyle w:val="20"/>
              <w:rPr>
                <w:rFonts w:ascii="宋体" w:hAnsi="宋体" w:eastAsia="宋体"/>
                <w:b/>
                <w:color w:val="auto"/>
                <w:sz w:val="21"/>
                <w:szCs w:val="21"/>
                <w:lang w:val="en-US"/>
              </w:rPr>
            </w:pPr>
            <w:r>
              <w:rPr>
                <w:rFonts w:hint="eastAsia" w:ascii="宋体" w:hAnsi="宋体" w:eastAsia="宋体"/>
                <w:b/>
                <w:color w:val="auto"/>
                <w:sz w:val="21"/>
                <w:szCs w:val="21"/>
                <w:lang w:val="en-US"/>
              </w:rPr>
              <w:t>非定额公用支出</w:t>
            </w:r>
          </w:p>
        </w:tc>
        <w:tc>
          <w:tcPr>
            <w:tcW w:w="1179" w:type="dxa"/>
            <w:vMerge w:val="restart"/>
            <w:noWrap w:val="0"/>
            <w:vAlign w:val="center"/>
          </w:tcPr>
          <w:p>
            <w:pPr>
              <w:pStyle w:val="20"/>
              <w:rPr>
                <w:rFonts w:ascii="宋体" w:hAnsi="宋体" w:eastAsia="宋体"/>
                <w:b/>
                <w:color w:val="auto"/>
                <w:sz w:val="21"/>
                <w:szCs w:val="21"/>
                <w:lang w:val="en-US"/>
              </w:rPr>
            </w:pPr>
            <w:r>
              <w:rPr>
                <w:rFonts w:hint="eastAsia" w:ascii="宋体" w:hAnsi="宋体" w:eastAsia="宋体"/>
                <w:b/>
                <w:color w:val="auto"/>
                <w:sz w:val="21"/>
                <w:szCs w:val="21"/>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85" w:type="dxa"/>
            <w:vMerge w:val="continue"/>
            <w:noWrap w:val="0"/>
            <w:vAlign w:val="center"/>
          </w:tcPr>
          <w:p>
            <w:pPr>
              <w:pStyle w:val="20"/>
              <w:rPr>
                <w:rFonts w:ascii="宋体" w:hAnsi="宋体" w:eastAsia="宋体"/>
                <w:color w:val="auto"/>
                <w:sz w:val="21"/>
                <w:szCs w:val="21"/>
              </w:rPr>
            </w:pPr>
          </w:p>
        </w:tc>
        <w:tc>
          <w:tcPr>
            <w:tcW w:w="1241" w:type="dxa"/>
            <w:vMerge w:val="continue"/>
            <w:noWrap w:val="0"/>
            <w:vAlign w:val="center"/>
          </w:tcPr>
          <w:p>
            <w:pPr>
              <w:pStyle w:val="20"/>
              <w:rPr>
                <w:rFonts w:ascii="宋体" w:hAnsi="宋体" w:eastAsia="宋体"/>
                <w:color w:val="auto"/>
                <w:sz w:val="21"/>
                <w:szCs w:val="21"/>
                <w:lang w:val="en-US"/>
              </w:rPr>
            </w:pPr>
          </w:p>
        </w:tc>
        <w:tc>
          <w:tcPr>
            <w:tcW w:w="1119" w:type="dxa"/>
            <w:noWrap w:val="0"/>
            <w:vAlign w:val="center"/>
          </w:tcPr>
          <w:p>
            <w:pPr>
              <w:pStyle w:val="20"/>
              <w:rPr>
                <w:rFonts w:ascii="宋体" w:hAnsi="宋体" w:eastAsia="宋体"/>
                <w:b/>
                <w:color w:val="auto"/>
                <w:sz w:val="21"/>
                <w:szCs w:val="21"/>
                <w:lang w:val="en-US"/>
              </w:rPr>
            </w:pPr>
            <w:r>
              <w:rPr>
                <w:rFonts w:hint="eastAsia" w:ascii="宋体" w:hAnsi="宋体" w:eastAsia="宋体"/>
                <w:b/>
                <w:color w:val="auto"/>
                <w:sz w:val="21"/>
                <w:szCs w:val="21"/>
                <w:lang w:val="en-US"/>
              </w:rPr>
              <w:t>办公费</w:t>
            </w:r>
          </w:p>
        </w:tc>
        <w:tc>
          <w:tcPr>
            <w:tcW w:w="1119" w:type="dxa"/>
            <w:noWrap w:val="0"/>
            <w:vAlign w:val="center"/>
          </w:tcPr>
          <w:p>
            <w:pPr>
              <w:pStyle w:val="20"/>
              <w:rPr>
                <w:rFonts w:ascii="宋体" w:hAnsi="宋体" w:eastAsia="宋体"/>
                <w:b/>
                <w:color w:val="auto"/>
                <w:sz w:val="21"/>
                <w:szCs w:val="21"/>
                <w:lang w:val="en-US"/>
              </w:rPr>
            </w:pPr>
            <w:r>
              <w:rPr>
                <w:rFonts w:hint="eastAsia" w:ascii="宋体" w:hAnsi="宋体" w:eastAsia="宋体"/>
                <w:b/>
                <w:color w:val="auto"/>
                <w:sz w:val="21"/>
                <w:szCs w:val="21"/>
                <w:lang w:val="en-US"/>
              </w:rPr>
              <w:t>印刷费</w:t>
            </w:r>
          </w:p>
        </w:tc>
        <w:tc>
          <w:tcPr>
            <w:tcW w:w="1119" w:type="dxa"/>
            <w:noWrap w:val="0"/>
            <w:vAlign w:val="center"/>
          </w:tcPr>
          <w:p>
            <w:pPr>
              <w:pStyle w:val="20"/>
              <w:rPr>
                <w:rFonts w:ascii="宋体" w:hAnsi="宋体" w:eastAsia="宋体"/>
                <w:b/>
                <w:color w:val="auto"/>
                <w:sz w:val="21"/>
                <w:szCs w:val="21"/>
                <w:lang w:val="en-US"/>
              </w:rPr>
            </w:pPr>
            <w:r>
              <w:rPr>
                <w:rFonts w:hint="eastAsia" w:ascii="宋体" w:hAnsi="宋体" w:eastAsia="宋体"/>
                <w:b/>
                <w:color w:val="auto"/>
                <w:sz w:val="21"/>
                <w:szCs w:val="21"/>
                <w:lang w:val="en-US"/>
              </w:rPr>
              <w:t>水费</w:t>
            </w:r>
          </w:p>
        </w:tc>
        <w:tc>
          <w:tcPr>
            <w:tcW w:w="1119" w:type="dxa"/>
            <w:noWrap w:val="0"/>
            <w:vAlign w:val="center"/>
          </w:tcPr>
          <w:p>
            <w:pPr>
              <w:pStyle w:val="20"/>
              <w:rPr>
                <w:rFonts w:ascii="宋体" w:hAnsi="宋体" w:eastAsia="宋体"/>
                <w:b/>
                <w:color w:val="auto"/>
                <w:sz w:val="21"/>
                <w:szCs w:val="21"/>
                <w:lang w:val="en-US"/>
              </w:rPr>
            </w:pPr>
            <w:r>
              <w:rPr>
                <w:rFonts w:hint="eastAsia" w:ascii="宋体" w:hAnsi="宋体" w:eastAsia="宋体"/>
                <w:b/>
                <w:color w:val="auto"/>
                <w:sz w:val="21"/>
                <w:szCs w:val="21"/>
                <w:lang w:val="en-US"/>
              </w:rPr>
              <w:t>电费</w:t>
            </w:r>
          </w:p>
        </w:tc>
        <w:tc>
          <w:tcPr>
            <w:tcW w:w="1122" w:type="dxa"/>
            <w:noWrap w:val="0"/>
            <w:vAlign w:val="center"/>
          </w:tcPr>
          <w:p>
            <w:pPr>
              <w:pStyle w:val="20"/>
              <w:rPr>
                <w:rFonts w:ascii="宋体" w:hAnsi="宋体" w:eastAsia="宋体"/>
                <w:b/>
                <w:color w:val="auto"/>
                <w:sz w:val="21"/>
                <w:szCs w:val="21"/>
                <w:lang w:val="en-US"/>
              </w:rPr>
            </w:pPr>
            <w:r>
              <w:rPr>
                <w:rFonts w:hint="eastAsia" w:ascii="宋体" w:hAnsi="宋体" w:eastAsia="宋体"/>
                <w:b/>
                <w:color w:val="auto"/>
                <w:sz w:val="21"/>
                <w:szCs w:val="21"/>
                <w:lang w:val="en-US"/>
              </w:rPr>
              <w:t>物业管理费</w:t>
            </w:r>
          </w:p>
        </w:tc>
        <w:tc>
          <w:tcPr>
            <w:tcW w:w="1179" w:type="dxa"/>
            <w:vMerge w:val="continue"/>
            <w:noWrap w:val="0"/>
            <w:vAlign w:val="center"/>
          </w:tcPr>
          <w:p>
            <w:pPr>
              <w:pStyle w:val="20"/>
              <w:rPr>
                <w:rFonts w:ascii="宋体" w:hAnsi="宋体" w:eastAsia="宋体"/>
                <w:b/>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85" w:type="dxa"/>
            <w:noWrap w:val="0"/>
            <w:vAlign w:val="center"/>
          </w:tcPr>
          <w:p>
            <w:pPr>
              <w:pStyle w:val="20"/>
              <w:rPr>
                <w:rFonts w:ascii="宋体" w:hAnsi="宋体" w:eastAsia="宋体"/>
                <w:color w:val="auto"/>
                <w:sz w:val="21"/>
                <w:szCs w:val="21"/>
                <w:lang w:val="en-US"/>
              </w:rPr>
            </w:pPr>
            <w:r>
              <w:rPr>
                <w:rFonts w:hint="eastAsia" w:ascii="宋体" w:hAnsi="宋体" w:eastAsia="宋体"/>
                <w:b/>
                <w:bCs w:val="0"/>
                <w:color w:val="auto"/>
                <w:sz w:val="21"/>
                <w:szCs w:val="21"/>
                <w:lang w:val="en-US"/>
              </w:rPr>
              <w:t>预算数</w:t>
            </w:r>
          </w:p>
        </w:tc>
        <w:tc>
          <w:tcPr>
            <w:tcW w:w="1241" w:type="dxa"/>
            <w:noWrap w:val="0"/>
            <w:vAlign w:val="center"/>
          </w:tcPr>
          <w:p>
            <w:pPr>
              <w:pStyle w:val="20"/>
              <w:rPr>
                <w:rFonts w:ascii="宋体" w:hAnsi="宋体" w:eastAsia="宋体"/>
                <w:color w:val="auto"/>
                <w:sz w:val="21"/>
                <w:szCs w:val="21"/>
                <w:lang w:val="en-US"/>
              </w:rPr>
            </w:pPr>
            <w:r>
              <w:rPr>
                <w:rFonts w:hint="eastAsia" w:ascii="宋体" w:hAnsi="宋体" w:eastAsia="宋体"/>
                <w:color w:val="auto"/>
                <w:sz w:val="21"/>
                <w:szCs w:val="21"/>
                <w:lang w:val="en-US"/>
              </w:rPr>
              <w:t>219.38</w:t>
            </w:r>
          </w:p>
        </w:tc>
        <w:tc>
          <w:tcPr>
            <w:tcW w:w="1119" w:type="dxa"/>
            <w:noWrap w:val="0"/>
            <w:vAlign w:val="center"/>
          </w:tcPr>
          <w:p>
            <w:pPr>
              <w:pStyle w:val="20"/>
              <w:rPr>
                <w:rFonts w:ascii="宋体" w:hAnsi="宋体" w:eastAsia="宋体"/>
                <w:color w:val="auto"/>
                <w:sz w:val="21"/>
                <w:szCs w:val="21"/>
                <w:lang w:val="en-US"/>
              </w:rPr>
            </w:pPr>
            <w:r>
              <w:rPr>
                <w:rFonts w:hint="eastAsia" w:ascii="宋体" w:hAnsi="宋体" w:eastAsia="宋体"/>
                <w:color w:val="auto"/>
                <w:sz w:val="21"/>
                <w:szCs w:val="21"/>
                <w:lang w:val="en-US"/>
              </w:rPr>
              <w:t>0</w:t>
            </w:r>
          </w:p>
        </w:tc>
        <w:tc>
          <w:tcPr>
            <w:tcW w:w="1119" w:type="dxa"/>
            <w:noWrap w:val="0"/>
            <w:vAlign w:val="center"/>
          </w:tcPr>
          <w:p>
            <w:pPr>
              <w:pStyle w:val="20"/>
              <w:rPr>
                <w:rFonts w:ascii="宋体" w:hAnsi="宋体" w:eastAsia="宋体"/>
                <w:color w:val="auto"/>
                <w:sz w:val="21"/>
                <w:szCs w:val="21"/>
                <w:lang w:val="en-US"/>
              </w:rPr>
            </w:pPr>
            <w:r>
              <w:rPr>
                <w:rFonts w:hint="eastAsia" w:ascii="宋体" w:hAnsi="宋体" w:eastAsia="宋体"/>
                <w:color w:val="auto"/>
                <w:sz w:val="21"/>
                <w:szCs w:val="21"/>
                <w:lang w:val="en-US"/>
              </w:rPr>
              <w:t>0</w:t>
            </w:r>
          </w:p>
        </w:tc>
        <w:tc>
          <w:tcPr>
            <w:tcW w:w="1119" w:type="dxa"/>
            <w:noWrap w:val="0"/>
            <w:vAlign w:val="center"/>
          </w:tcPr>
          <w:p>
            <w:pPr>
              <w:pStyle w:val="20"/>
              <w:rPr>
                <w:rFonts w:ascii="宋体" w:hAnsi="宋体" w:eastAsia="宋体"/>
                <w:color w:val="auto"/>
                <w:sz w:val="21"/>
                <w:szCs w:val="21"/>
                <w:lang w:val="en-US"/>
              </w:rPr>
            </w:pPr>
            <w:r>
              <w:rPr>
                <w:rFonts w:hint="eastAsia" w:ascii="宋体" w:hAnsi="宋体" w:eastAsia="宋体"/>
                <w:color w:val="auto"/>
                <w:sz w:val="21"/>
                <w:szCs w:val="21"/>
                <w:lang w:val="en-US"/>
              </w:rPr>
              <w:t>0</w:t>
            </w:r>
          </w:p>
        </w:tc>
        <w:tc>
          <w:tcPr>
            <w:tcW w:w="1119" w:type="dxa"/>
            <w:noWrap w:val="0"/>
            <w:vAlign w:val="center"/>
          </w:tcPr>
          <w:p>
            <w:pPr>
              <w:pStyle w:val="20"/>
              <w:rPr>
                <w:rFonts w:ascii="宋体" w:hAnsi="宋体" w:eastAsia="宋体"/>
                <w:color w:val="auto"/>
                <w:sz w:val="21"/>
                <w:szCs w:val="21"/>
                <w:lang w:val="en-US"/>
              </w:rPr>
            </w:pPr>
            <w:r>
              <w:rPr>
                <w:rFonts w:hint="eastAsia" w:ascii="宋体" w:hAnsi="宋体" w:eastAsia="宋体"/>
                <w:color w:val="auto"/>
                <w:sz w:val="21"/>
                <w:szCs w:val="21"/>
                <w:lang w:val="en-US"/>
              </w:rPr>
              <w:t>0</w:t>
            </w:r>
          </w:p>
        </w:tc>
        <w:tc>
          <w:tcPr>
            <w:tcW w:w="1122" w:type="dxa"/>
            <w:noWrap w:val="0"/>
            <w:vAlign w:val="center"/>
          </w:tcPr>
          <w:p>
            <w:pPr>
              <w:pStyle w:val="20"/>
              <w:rPr>
                <w:rFonts w:ascii="宋体" w:hAnsi="宋体" w:eastAsia="宋体"/>
                <w:color w:val="auto"/>
                <w:sz w:val="21"/>
                <w:szCs w:val="21"/>
                <w:lang w:val="en-US"/>
              </w:rPr>
            </w:pPr>
            <w:r>
              <w:rPr>
                <w:rFonts w:hint="eastAsia" w:ascii="宋体" w:hAnsi="宋体" w:eastAsia="宋体"/>
                <w:color w:val="auto"/>
                <w:sz w:val="21"/>
                <w:szCs w:val="21"/>
                <w:lang w:val="en-US"/>
              </w:rPr>
              <w:t>0</w:t>
            </w:r>
          </w:p>
        </w:tc>
        <w:tc>
          <w:tcPr>
            <w:tcW w:w="1179" w:type="dxa"/>
            <w:noWrap w:val="0"/>
            <w:vAlign w:val="center"/>
          </w:tcPr>
          <w:p>
            <w:pPr>
              <w:pStyle w:val="20"/>
              <w:rPr>
                <w:rFonts w:ascii="宋体" w:hAnsi="宋体" w:eastAsia="宋体"/>
                <w:color w:val="auto"/>
                <w:sz w:val="21"/>
                <w:szCs w:val="21"/>
                <w:lang w:val="en-US"/>
              </w:rPr>
            </w:pPr>
            <w:r>
              <w:rPr>
                <w:rFonts w:hint="eastAsia" w:ascii="宋体" w:hAnsi="宋体" w:eastAsia="宋体"/>
                <w:color w:val="auto"/>
                <w:sz w:val="21"/>
                <w:szCs w:val="21"/>
                <w:lang w:val="en-US"/>
              </w:rPr>
              <w:t>219.38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85" w:type="dxa"/>
            <w:noWrap w:val="0"/>
            <w:vAlign w:val="center"/>
          </w:tcPr>
          <w:p>
            <w:pPr>
              <w:pStyle w:val="20"/>
              <w:rPr>
                <w:rFonts w:ascii="宋体" w:hAnsi="宋体" w:eastAsia="宋体"/>
                <w:b/>
                <w:color w:val="auto"/>
                <w:sz w:val="21"/>
                <w:szCs w:val="21"/>
                <w:lang w:val="en-US"/>
              </w:rPr>
            </w:pPr>
            <w:r>
              <w:rPr>
                <w:rFonts w:hint="eastAsia" w:ascii="宋体" w:hAnsi="宋体" w:eastAsia="宋体"/>
                <w:b/>
                <w:color w:val="auto"/>
                <w:sz w:val="21"/>
                <w:szCs w:val="21"/>
                <w:lang w:val="en-US"/>
              </w:rPr>
              <w:t>决算数</w:t>
            </w:r>
          </w:p>
        </w:tc>
        <w:tc>
          <w:tcPr>
            <w:tcW w:w="1241" w:type="dxa"/>
            <w:noWrap w:val="0"/>
            <w:vAlign w:val="center"/>
          </w:tcPr>
          <w:p>
            <w:pPr>
              <w:pStyle w:val="20"/>
              <w:rPr>
                <w:rFonts w:ascii="宋体" w:hAnsi="宋体" w:eastAsia="宋体"/>
                <w:color w:val="auto"/>
                <w:sz w:val="21"/>
                <w:szCs w:val="21"/>
                <w:lang w:val="en-US"/>
              </w:rPr>
            </w:pPr>
            <w:r>
              <w:rPr>
                <w:rFonts w:hint="eastAsia" w:ascii="宋体" w:hAnsi="宋体" w:eastAsia="宋体"/>
                <w:color w:val="auto"/>
                <w:sz w:val="21"/>
                <w:szCs w:val="21"/>
                <w:lang w:val="en-US"/>
              </w:rPr>
              <w:t>252.04</w:t>
            </w:r>
          </w:p>
        </w:tc>
        <w:tc>
          <w:tcPr>
            <w:tcW w:w="1119" w:type="dxa"/>
            <w:noWrap w:val="0"/>
            <w:vAlign w:val="center"/>
          </w:tcPr>
          <w:p>
            <w:pPr>
              <w:pStyle w:val="20"/>
              <w:rPr>
                <w:rFonts w:ascii="宋体" w:hAnsi="宋体" w:eastAsia="宋体"/>
                <w:bCs w:val="0"/>
                <w:color w:val="auto"/>
                <w:sz w:val="21"/>
                <w:szCs w:val="21"/>
                <w:lang w:val="en-US"/>
              </w:rPr>
            </w:pPr>
            <w:r>
              <w:rPr>
                <w:rFonts w:hint="eastAsia" w:ascii="宋体" w:hAnsi="宋体" w:eastAsia="宋体"/>
                <w:bCs w:val="0"/>
                <w:color w:val="auto"/>
                <w:sz w:val="21"/>
                <w:szCs w:val="21"/>
                <w:lang w:val="en-US"/>
              </w:rPr>
              <w:t>18.23</w:t>
            </w:r>
          </w:p>
        </w:tc>
        <w:tc>
          <w:tcPr>
            <w:tcW w:w="1119" w:type="dxa"/>
            <w:noWrap w:val="0"/>
            <w:vAlign w:val="center"/>
          </w:tcPr>
          <w:p>
            <w:pPr>
              <w:pStyle w:val="20"/>
              <w:rPr>
                <w:rFonts w:ascii="宋体" w:hAnsi="宋体" w:eastAsia="宋体"/>
                <w:bCs w:val="0"/>
                <w:color w:val="auto"/>
                <w:sz w:val="21"/>
                <w:szCs w:val="21"/>
                <w:lang w:val="en-US"/>
              </w:rPr>
            </w:pPr>
            <w:r>
              <w:rPr>
                <w:rFonts w:hint="eastAsia" w:ascii="宋体" w:hAnsi="宋体" w:eastAsia="宋体"/>
                <w:bCs w:val="0"/>
                <w:color w:val="auto"/>
                <w:sz w:val="21"/>
                <w:szCs w:val="21"/>
                <w:lang w:val="en-US"/>
              </w:rPr>
              <w:t>0</w:t>
            </w:r>
          </w:p>
        </w:tc>
        <w:tc>
          <w:tcPr>
            <w:tcW w:w="1119" w:type="dxa"/>
            <w:noWrap w:val="0"/>
            <w:vAlign w:val="center"/>
          </w:tcPr>
          <w:p>
            <w:pPr>
              <w:pStyle w:val="20"/>
              <w:rPr>
                <w:rFonts w:ascii="宋体" w:hAnsi="宋体" w:eastAsia="宋体"/>
                <w:bCs w:val="0"/>
                <w:color w:val="auto"/>
                <w:sz w:val="21"/>
                <w:szCs w:val="21"/>
                <w:lang w:val="en-US"/>
              </w:rPr>
            </w:pPr>
            <w:r>
              <w:rPr>
                <w:rFonts w:hint="eastAsia" w:ascii="宋体" w:hAnsi="宋体" w:eastAsia="宋体"/>
                <w:bCs w:val="0"/>
                <w:color w:val="auto"/>
                <w:sz w:val="21"/>
                <w:szCs w:val="21"/>
                <w:lang w:val="en-US"/>
              </w:rPr>
              <w:t>0</w:t>
            </w:r>
          </w:p>
        </w:tc>
        <w:tc>
          <w:tcPr>
            <w:tcW w:w="1119" w:type="dxa"/>
            <w:noWrap w:val="0"/>
            <w:vAlign w:val="center"/>
          </w:tcPr>
          <w:p>
            <w:pPr>
              <w:pStyle w:val="20"/>
              <w:rPr>
                <w:rFonts w:ascii="宋体" w:hAnsi="宋体" w:eastAsia="宋体"/>
                <w:bCs w:val="0"/>
                <w:color w:val="auto"/>
                <w:sz w:val="21"/>
                <w:szCs w:val="21"/>
                <w:lang w:val="en-US"/>
              </w:rPr>
            </w:pPr>
            <w:r>
              <w:rPr>
                <w:rFonts w:hint="eastAsia" w:ascii="宋体" w:hAnsi="宋体" w:eastAsia="宋体"/>
                <w:bCs w:val="0"/>
                <w:color w:val="auto"/>
                <w:sz w:val="21"/>
                <w:szCs w:val="21"/>
                <w:lang w:val="en-US"/>
              </w:rPr>
              <w:t>4.87</w:t>
            </w:r>
          </w:p>
        </w:tc>
        <w:tc>
          <w:tcPr>
            <w:tcW w:w="1122" w:type="dxa"/>
            <w:noWrap w:val="0"/>
            <w:vAlign w:val="center"/>
          </w:tcPr>
          <w:p>
            <w:pPr>
              <w:pStyle w:val="20"/>
              <w:rPr>
                <w:rFonts w:ascii="宋体" w:hAnsi="宋体" w:eastAsia="宋体"/>
                <w:bCs w:val="0"/>
                <w:color w:val="auto"/>
                <w:sz w:val="21"/>
                <w:szCs w:val="21"/>
                <w:lang w:val="en-US"/>
              </w:rPr>
            </w:pPr>
            <w:r>
              <w:rPr>
                <w:rFonts w:hint="eastAsia" w:ascii="宋体" w:hAnsi="宋体" w:eastAsia="宋体"/>
                <w:bCs w:val="0"/>
                <w:color w:val="auto"/>
                <w:sz w:val="21"/>
                <w:szCs w:val="21"/>
                <w:lang w:val="en-US"/>
              </w:rPr>
              <w:t>0</w:t>
            </w:r>
          </w:p>
        </w:tc>
        <w:tc>
          <w:tcPr>
            <w:tcW w:w="1179" w:type="dxa"/>
            <w:noWrap w:val="0"/>
            <w:vAlign w:val="center"/>
          </w:tcPr>
          <w:p>
            <w:pPr>
              <w:pStyle w:val="20"/>
              <w:rPr>
                <w:rFonts w:ascii="宋体" w:hAnsi="宋体" w:eastAsia="宋体"/>
                <w:color w:val="auto"/>
                <w:sz w:val="21"/>
                <w:szCs w:val="21"/>
                <w:lang w:val="en-US"/>
              </w:rPr>
            </w:pPr>
            <w:r>
              <w:rPr>
                <w:rFonts w:hint="eastAsia" w:ascii="宋体" w:hAnsi="宋体" w:eastAsia="宋体"/>
                <w:color w:val="auto"/>
                <w:sz w:val="21"/>
                <w:szCs w:val="21"/>
                <w:lang w:val="en-US"/>
              </w:rPr>
              <w:t>275.14</w:t>
            </w:r>
          </w:p>
        </w:tc>
      </w:tr>
    </w:tbl>
    <w:p>
      <w:pPr>
        <w:spacing w:line="560" w:lineRule="exact"/>
        <w:ind w:firstLine="640" w:firstLineChars="200"/>
        <w:rPr>
          <w:rFonts w:hint="eastAsia" w:ascii="仿宋_GB2312" w:hAnsi="仿宋" w:eastAsia="仿宋_GB2312"/>
          <w:sz w:val="32"/>
          <w:szCs w:val="32"/>
        </w:rPr>
      </w:pPr>
    </w:p>
    <w:p>
      <w:pPr>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该指标分值标准10分，根据指标评价标准和公式计算，预决算偏差程度超过20%，不得分。</w:t>
      </w:r>
    </w:p>
    <w:p>
      <w:pPr>
        <w:spacing w:line="576" w:lineRule="exact"/>
        <w:ind w:left="420" w:leftChars="200" w:firstLine="156" w:firstLineChars="49"/>
        <w:rPr>
          <w:rFonts w:hint="eastAsia" w:ascii="仿宋_GB2312" w:hAnsi="仿宋" w:eastAsia="仿宋_GB2312" w:cs="楷体"/>
          <w:sz w:val="32"/>
          <w:szCs w:val="32"/>
        </w:rPr>
      </w:pPr>
      <w:r>
        <w:rPr>
          <w:rFonts w:hint="eastAsia" w:ascii="仿宋_GB2312" w:hAnsi="仿宋" w:eastAsia="仿宋_GB2312" w:cs="楷体"/>
          <w:sz w:val="32"/>
          <w:szCs w:val="32"/>
        </w:rPr>
        <w:t>（2）动态调整</w:t>
      </w:r>
    </w:p>
    <w:p>
      <w:pPr>
        <w:pStyle w:val="2"/>
        <w:spacing w:beforeLines="0" w:line="576" w:lineRule="exact"/>
        <w:ind w:firstLine="640" w:firstLineChars="200"/>
        <w:rPr>
          <w:rFonts w:hint="eastAsia" w:hAnsi="仿宋"/>
          <w:sz w:val="32"/>
          <w:szCs w:val="32"/>
        </w:rPr>
      </w:pPr>
      <w:r>
        <w:rPr>
          <w:rFonts w:hint="eastAsia" w:hAnsi="仿宋"/>
          <w:sz w:val="32"/>
          <w:szCs w:val="32"/>
        </w:rPr>
        <w:t>2020年，天星镇人民政府绩效监控调整取消额为0元，预算结余注销额为0万元。</w:t>
      </w:r>
    </w:p>
    <w:p>
      <w:pPr>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该指标分值标准10分，根据指标评价标准和公式计算，得分10分。</w:t>
      </w:r>
    </w:p>
    <w:p>
      <w:pPr>
        <w:pStyle w:val="2"/>
        <w:spacing w:beforeLines="0" w:line="576" w:lineRule="exact"/>
        <w:ind w:firstLine="640" w:firstLineChars="200"/>
        <w:rPr>
          <w:rFonts w:hint="eastAsia" w:hAnsi="仿宋" w:cs="楷体"/>
          <w:sz w:val="32"/>
          <w:szCs w:val="32"/>
        </w:rPr>
      </w:pPr>
      <w:r>
        <w:rPr>
          <w:rFonts w:hint="eastAsia" w:hAnsi="仿宋" w:cs="楷体"/>
          <w:sz w:val="32"/>
          <w:szCs w:val="32"/>
        </w:rPr>
        <w:t>（3）执行进度</w:t>
      </w:r>
    </w:p>
    <w:p>
      <w:pPr>
        <w:spacing w:line="576" w:lineRule="exact"/>
        <w:ind w:firstLine="640" w:firstLineChars="200"/>
        <w:rPr>
          <w:rFonts w:hint="eastAsia" w:ascii="仿宋_GB2312" w:hAnsi="仿宋" w:eastAsia="仿宋_GB2312"/>
          <w:color w:val="0000FF"/>
          <w:sz w:val="32"/>
          <w:szCs w:val="32"/>
        </w:rPr>
      </w:pPr>
      <w:r>
        <w:rPr>
          <w:rFonts w:hint="eastAsia" w:ascii="仿宋_GB2312" w:hAnsi="仿宋" w:eastAsia="仿宋_GB2312"/>
          <w:sz w:val="32"/>
          <w:szCs w:val="32"/>
        </w:rPr>
        <w:t>根据《旺苍县2021年度部门整体支出绩效评价指标体系》，部门预算执行进度在6、9、11月应达到序时进度的80%、90%、90%，即实际支出进度分别达到40%、67.5%、82.5%。天星镇人民政府2020年1-6月预算数923.65万元，执行数288.17万元，执行进度31.2%；1-9月预算数974.17万元，执行数530.91万元，执行进度54.5%；1-11月预算数984.17万元，执行数572.7万元，执行进度58.19%。各阶段预算执行进度均未达到目标要求。</w:t>
      </w:r>
    </w:p>
    <w:p>
      <w:pPr>
        <w:pStyle w:val="19"/>
        <w:rPr>
          <w:rFonts w:ascii="仿宋" w:hAnsi="仿宋" w:eastAsia="仿宋"/>
          <w:sz w:val="28"/>
        </w:rPr>
      </w:pPr>
      <w:r>
        <w:rPr>
          <w:rFonts w:hint="eastAsia" w:ascii="仿宋" w:hAnsi="仿宋" w:eastAsia="仿宋"/>
          <w:sz w:val="28"/>
        </w:rPr>
        <w:t>表4-22020</w:t>
      </w:r>
      <w:r>
        <w:rPr>
          <w:rFonts w:ascii="仿宋" w:hAnsi="仿宋" w:eastAsia="仿宋"/>
          <w:sz w:val="28"/>
        </w:rPr>
        <w:t>年</w:t>
      </w:r>
      <w:r>
        <w:rPr>
          <w:rFonts w:hint="eastAsia" w:ascii="仿宋" w:hAnsi="仿宋" w:eastAsia="仿宋"/>
          <w:sz w:val="28"/>
        </w:rPr>
        <w:t>天星镇人民政府部门预算执行进度表</w:t>
      </w:r>
    </w:p>
    <w:p>
      <w:pPr>
        <w:pStyle w:val="19"/>
        <w:jc w:val="right"/>
        <w:rPr>
          <w:rFonts w:ascii="仿宋" w:hAnsi="仿宋" w:eastAsia="仿宋"/>
          <w:b w:val="0"/>
          <w:szCs w:val="24"/>
        </w:rPr>
      </w:pPr>
      <w:r>
        <w:rPr>
          <w:rFonts w:hint="eastAsia" w:ascii="仿宋" w:hAnsi="仿宋" w:eastAsia="仿宋"/>
          <w:b w:val="0"/>
          <w:szCs w:val="24"/>
        </w:rPr>
        <w:t>单位</w:t>
      </w:r>
      <w:r>
        <w:rPr>
          <w:rFonts w:ascii="仿宋" w:hAnsi="仿宋" w:eastAsia="仿宋"/>
          <w:b w:val="0"/>
          <w:szCs w:val="24"/>
        </w:rPr>
        <w:t>：万元</w:t>
      </w:r>
    </w:p>
    <w:tbl>
      <w:tblPr>
        <w:tblStyle w:val="12"/>
        <w:tblpPr w:leftFromText="180" w:rightFromText="180" w:vertAnchor="text" w:horzAnchor="page" w:tblpX="2136" w:tblpY="213"/>
        <w:tblOverlap w:val="never"/>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193"/>
        <w:gridCol w:w="2193"/>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931" w:type="dxa"/>
            <w:noWrap w:val="0"/>
            <w:vAlign w:val="center"/>
          </w:tcPr>
          <w:p>
            <w:pPr>
              <w:pStyle w:val="20"/>
              <w:rPr>
                <w:rFonts w:ascii="仿宋" w:hAnsi="仿宋" w:eastAsia="仿宋"/>
                <w:color w:val="auto"/>
                <w:sz w:val="24"/>
                <w:szCs w:val="24"/>
                <w:lang w:val="en-US"/>
              </w:rPr>
            </w:pPr>
            <w:r>
              <w:rPr>
                <w:rFonts w:hint="eastAsia" w:ascii="仿宋" w:hAnsi="仿宋" w:eastAsia="仿宋"/>
                <w:b/>
                <w:bCs w:val="0"/>
                <w:color w:val="auto"/>
                <w:sz w:val="24"/>
                <w:szCs w:val="24"/>
                <w:lang w:val="en-US"/>
              </w:rPr>
              <w:t>月份</w:t>
            </w:r>
          </w:p>
        </w:tc>
        <w:tc>
          <w:tcPr>
            <w:tcW w:w="2193" w:type="dxa"/>
            <w:noWrap w:val="0"/>
            <w:vAlign w:val="center"/>
          </w:tcPr>
          <w:p>
            <w:pPr>
              <w:pStyle w:val="20"/>
              <w:rPr>
                <w:rFonts w:ascii="仿宋" w:hAnsi="仿宋" w:eastAsia="仿宋"/>
                <w:color w:val="auto"/>
                <w:sz w:val="24"/>
                <w:szCs w:val="24"/>
                <w:lang w:val="en-US"/>
              </w:rPr>
            </w:pPr>
            <w:r>
              <w:rPr>
                <w:rFonts w:hint="eastAsia" w:ascii="仿宋" w:hAnsi="仿宋" w:eastAsia="仿宋"/>
                <w:color w:val="auto"/>
                <w:sz w:val="24"/>
                <w:szCs w:val="24"/>
                <w:lang w:val="en-US"/>
              </w:rPr>
              <w:t>预算数</w:t>
            </w:r>
          </w:p>
        </w:tc>
        <w:tc>
          <w:tcPr>
            <w:tcW w:w="2193" w:type="dxa"/>
            <w:noWrap w:val="0"/>
            <w:vAlign w:val="center"/>
          </w:tcPr>
          <w:p>
            <w:pPr>
              <w:pStyle w:val="20"/>
              <w:rPr>
                <w:rFonts w:ascii="仿宋" w:hAnsi="仿宋" w:eastAsia="仿宋"/>
                <w:color w:val="auto"/>
                <w:sz w:val="24"/>
                <w:szCs w:val="24"/>
                <w:lang w:val="en-US"/>
              </w:rPr>
            </w:pPr>
            <w:r>
              <w:rPr>
                <w:rFonts w:hint="eastAsia" w:ascii="仿宋" w:hAnsi="仿宋" w:eastAsia="仿宋"/>
                <w:color w:val="auto"/>
                <w:sz w:val="24"/>
                <w:szCs w:val="24"/>
                <w:lang w:val="en-US"/>
              </w:rPr>
              <w:t>执行数</w:t>
            </w:r>
          </w:p>
        </w:tc>
        <w:tc>
          <w:tcPr>
            <w:tcW w:w="2193" w:type="dxa"/>
            <w:noWrap w:val="0"/>
            <w:vAlign w:val="center"/>
          </w:tcPr>
          <w:p>
            <w:pPr>
              <w:pStyle w:val="20"/>
              <w:rPr>
                <w:rFonts w:ascii="仿宋" w:hAnsi="仿宋" w:eastAsia="仿宋"/>
                <w:color w:val="auto"/>
                <w:sz w:val="24"/>
                <w:szCs w:val="24"/>
                <w:lang w:val="en-US"/>
              </w:rPr>
            </w:pPr>
            <w:r>
              <w:rPr>
                <w:rFonts w:hint="eastAsia" w:ascii="仿宋" w:hAnsi="仿宋" w:eastAsia="仿宋"/>
                <w:color w:val="auto"/>
                <w:sz w:val="24"/>
                <w:szCs w:val="24"/>
                <w:lang w:val="en-US"/>
              </w:rPr>
              <w:t>实际支付进度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931" w:type="dxa"/>
            <w:noWrap w:val="0"/>
            <w:vAlign w:val="center"/>
          </w:tcPr>
          <w:p>
            <w:pPr>
              <w:pStyle w:val="20"/>
              <w:rPr>
                <w:rFonts w:ascii="仿宋" w:hAnsi="仿宋" w:eastAsia="仿宋"/>
                <w:b/>
                <w:color w:val="auto"/>
                <w:sz w:val="24"/>
                <w:szCs w:val="24"/>
                <w:lang w:val="en-US"/>
              </w:rPr>
            </w:pPr>
            <w:r>
              <w:rPr>
                <w:rFonts w:hint="eastAsia" w:ascii="仿宋" w:hAnsi="仿宋" w:eastAsia="仿宋"/>
                <w:b/>
                <w:color w:val="auto"/>
                <w:sz w:val="24"/>
                <w:szCs w:val="24"/>
                <w:lang w:val="en-US"/>
              </w:rPr>
              <w:t>1-6月</w:t>
            </w:r>
          </w:p>
        </w:tc>
        <w:tc>
          <w:tcPr>
            <w:tcW w:w="2193" w:type="dxa"/>
            <w:noWrap w:val="0"/>
            <w:vAlign w:val="center"/>
          </w:tcPr>
          <w:p>
            <w:pPr>
              <w:pStyle w:val="20"/>
              <w:rPr>
                <w:rFonts w:ascii="仿宋" w:hAnsi="仿宋" w:eastAsia="仿宋"/>
                <w:bCs w:val="0"/>
                <w:color w:val="auto"/>
                <w:sz w:val="24"/>
                <w:szCs w:val="24"/>
                <w:lang w:val="en-US"/>
              </w:rPr>
            </w:pPr>
            <w:r>
              <w:rPr>
                <w:rFonts w:hint="eastAsia" w:ascii="仿宋" w:hAnsi="仿宋" w:eastAsia="仿宋"/>
                <w:bCs w:val="0"/>
                <w:color w:val="auto"/>
                <w:sz w:val="24"/>
                <w:szCs w:val="24"/>
                <w:lang w:val="en-US"/>
              </w:rPr>
              <w:t>923.65</w:t>
            </w:r>
          </w:p>
        </w:tc>
        <w:tc>
          <w:tcPr>
            <w:tcW w:w="2193" w:type="dxa"/>
            <w:noWrap w:val="0"/>
            <w:vAlign w:val="center"/>
          </w:tcPr>
          <w:p>
            <w:pPr>
              <w:pStyle w:val="20"/>
              <w:rPr>
                <w:rFonts w:ascii="仿宋" w:hAnsi="仿宋" w:eastAsia="仿宋"/>
                <w:bCs w:val="0"/>
                <w:color w:val="auto"/>
                <w:sz w:val="24"/>
                <w:szCs w:val="24"/>
                <w:lang w:val="en-US"/>
              </w:rPr>
            </w:pPr>
            <w:r>
              <w:rPr>
                <w:rFonts w:hint="eastAsia" w:ascii="仿宋" w:hAnsi="仿宋" w:eastAsia="仿宋"/>
                <w:bCs w:val="0"/>
                <w:color w:val="auto"/>
                <w:sz w:val="24"/>
                <w:szCs w:val="24"/>
                <w:lang w:val="en-US"/>
              </w:rPr>
              <w:t>288.17</w:t>
            </w:r>
          </w:p>
        </w:tc>
        <w:tc>
          <w:tcPr>
            <w:tcW w:w="2193" w:type="dxa"/>
            <w:noWrap w:val="0"/>
            <w:vAlign w:val="center"/>
          </w:tcPr>
          <w:p>
            <w:pPr>
              <w:pStyle w:val="20"/>
              <w:rPr>
                <w:rFonts w:ascii="仿宋" w:hAnsi="仿宋" w:eastAsia="仿宋"/>
                <w:bCs w:val="0"/>
                <w:color w:val="auto"/>
                <w:sz w:val="24"/>
                <w:szCs w:val="24"/>
                <w:lang w:val="en-US"/>
              </w:rPr>
            </w:pPr>
            <w:r>
              <w:rPr>
                <w:rFonts w:hint="eastAsia" w:ascii="仿宋" w:hAnsi="仿宋" w:eastAsia="仿宋"/>
                <w:bCs w:val="0"/>
                <w:color w:val="auto"/>
                <w:sz w:val="24"/>
                <w:szCs w:val="24"/>
                <w:lang w:val="en-US"/>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931" w:type="dxa"/>
            <w:noWrap w:val="0"/>
            <w:vAlign w:val="center"/>
          </w:tcPr>
          <w:p>
            <w:pPr>
              <w:pStyle w:val="20"/>
              <w:rPr>
                <w:rFonts w:ascii="仿宋" w:hAnsi="仿宋" w:eastAsia="仿宋"/>
                <w:b/>
                <w:color w:val="auto"/>
                <w:sz w:val="24"/>
                <w:szCs w:val="24"/>
                <w:lang w:val="en-US"/>
              </w:rPr>
            </w:pPr>
            <w:r>
              <w:rPr>
                <w:rFonts w:hint="eastAsia" w:ascii="仿宋" w:hAnsi="仿宋" w:eastAsia="仿宋"/>
                <w:b/>
                <w:color w:val="auto"/>
                <w:sz w:val="24"/>
                <w:szCs w:val="24"/>
                <w:lang w:val="en-US"/>
              </w:rPr>
              <w:t>1-9月</w:t>
            </w:r>
          </w:p>
        </w:tc>
        <w:tc>
          <w:tcPr>
            <w:tcW w:w="2193" w:type="dxa"/>
            <w:noWrap w:val="0"/>
            <w:vAlign w:val="center"/>
          </w:tcPr>
          <w:p>
            <w:pPr>
              <w:pStyle w:val="20"/>
              <w:rPr>
                <w:rFonts w:ascii="仿宋" w:hAnsi="仿宋" w:eastAsia="仿宋"/>
                <w:bCs w:val="0"/>
                <w:color w:val="auto"/>
                <w:sz w:val="24"/>
                <w:szCs w:val="24"/>
                <w:lang w:val="en-US"/>
              </w:rPr>
            </w:pPr>
            <w:r>
              <w:rPr>
                <w:rFonts w:hint="eastAsia" w:ascii="仿宋" w:hAnsi="仿宋" w:eastAsia="仿宋"/>
                <w:bCs w:val="0"/>
                <w:color w:val="auto"/>
                <w:sz w:val="24"/>
                <w:szCs w:val="24"/>
                <w:lang w:val="en-US"/>
              </w:rPr>
              <w:t>941.17</w:t>
            </w:r>
          </w:p>
        </w:tc>
        <w:tc>
          <w:tcPr>
            <w:tcW w:w="2193" w:type="dxa"/>
            <w:noWrap w:val="0"/>
            <w:vAlign w:val="center"/>
          </w:tcPr>
          <w:p>
            <w:pPr>
              <w:pStyle w:val="20"/>
              <w:rPr>
                <w:rFonts w:ascii="仿宋" w:hAnsi="仿宋" w:eastAsia="仿宋"/>
                <w:bCs w:val="0"/>
                <w:color w:val="auto"/>
                <w:sz w:val="24"/>
                <w:szCs w:val="24"/>
                <w:lang w:val="en-US"/>
              </w:rPr>
            </w:pPr>
            <w:r>
              <w:rPr>
                <w:rFonts w:hint="eastAsia" w:ascii="仿宋" w:hAnsi="仿宋" w:eastAsia="仿宋"/>
                <w:bCs w:val="0"/>
                <w:color w:val="auto"/>
                <w:sz w:val="24"/>
                <w:szCs w:val="24"/>
                <w:lang w:val="en-US"/>
              </w:rPr>
              <w:t>530.91</w:t>
            </w:r>
          </w:p>
        </w:tc>
        <w:tc>
          <w:tcPr>
            <w:tcW w:w="2193" w:type="dxa"/>
            <w:noWrap w:val="0"/>
            <w:vAlign w:val="center"/>
          </w:tcPr>
          <w:p>
            <w:pPr>
              <w:pStyle w:val="20"/>
              <w:rPr>
                <w:rFonts w:ascii="仿宋" w:hAnsi="仿宋" w:eastAsia="仿宋"/>
                <w:bCs w:val="0"/>
                <w:color w:val="auto"/>
                <w:sz w:val="24"/>
                <w:szCs w:val="24"/>
                <w:lang w:val="en-US"/>
              </w:rPr>
            </w:pPr>
            <w:r>
              <w:rPr>
                <w:rFonts w:hint="eastAsia" w:ascii="仿宋" w:hAnsi="仿宋" w:eastAsia="仿宋"/>
                <w:bCs w:val="0"/>
                <w:color w:val="auto"/>
                <w:sz w:val="24"/>
                <w:szCs w:val="24"/>
                <w:lang w:val="en-US"/>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931" w:type="dxa"/>
            <w:noWrap w:val="0"/>
            <w:vAlign w:val="center"/>
          </w:tcPr>
          <w:p>
            <w:pPr>
              <w:pStyle w:val="20"/>
              <w:rPr>
                <w:rFonts w:ascii="仿宋" w:hAnsi="仿宋" w:eastAsia="仿宋"/>
                <w:b/>
                <w:color w:val="auto"/>
                <w:sz w:val="24"/>
                <w:szCs w:val="24"/>
                <w:lang w:val="en-US"/>
              </w:rPr>
            </w:pPr>
            <w:r>
              <w:rPr>
                <w:rFonts w:hint="eastAsia" w:ascii="仿宋" w:hAnsi="仿宋" w:eastAsia="仿宋"/>
                <w:b/>
                <w:color w:val="auto"/>
                <w:sz w:val="24"/>
                <w:szCs w:val="24"/>
                <w:lang w:val="en-US"/>
              </w:rPr>
              <w:t>1-11月</w:t>
            </w:r>
          </w:p>
        </w:tc>
        <w:tc>
          <w:tcPr>
            <w:tcW w:w="2193" w:type="dxa"/>
            <w:noWrap w:val="0"/>
            <w:vAlign w:val="center"/>
          </w:tcPr>
          <w:p>
            <w:pPr>
              <w:pStyle w:val="20"/>
              <w:rPr>
                <w:rFonts w:ascii="仿宋" w:hAnsi="仿宋" w:eastAsia="仿宋"/>
                <w:bCs w:val="0"/>
                <w:color w:val="auto"/>
                <w:sz w:val="24"/>
                <w:szCs w:val="24"/>
                <w:lang w:val="en-US"/>
              </w:rPr>
            </w:pPr>
            <w:r>
              <w:rPr>
                <w:rFonts w:hint="eastAsia" w:ascii="仿宋" w:hAnsi="仿宋" w:eastAsia="仿宋"/>
                <w:bCs w:val="0"/>
                <w:color w:val="auto"/>
                <w:sz w:val="24"/>
                <w:szCs w:val="24"/>
                <w:lang w:val="en-US"/>
              </w:rPr>
              <w:t>984.17</w:t>
            </w:r>
          </w:p>
        </w:tc>
        <w:tc>
          <w:tcPr>
            <w:tcW w:w="2193" w:type="dxa"/>
            <w:noWrap w:val="0"/>
            <w:vAlign w:val="center"/>
          </w:tcPr>
          <w:p>
            <w:pPr>
              <w:pStyle w:val="20"/>
              <w:rPr>
                <w:rFonts w:ascii="仿宋" w:hAnsi="仿宋" w:eastAsia="仿宋"/>
                <w:bCs w:val="0"/>
                <w:color w:val="auto"/>
                <w:sz w:val="24"/>
                <w:szCs w:val="24"/>
                <w:lang w:val="en-US"/>
              </w:rPr>
            </w:pPr>
            <w:r>
              <w:rPr>
                <w:rFonts w:hint="eastAsia" w:ascii="仿宋" w:hAnsi="仿宋" w:eastAsia="仿宋"/>
                <w:bCs w:val="0"/>
                <w:color w:val="auto"/>
                <w:sz w:val="24"/>
                <w:szCs w:val="24"/>
                <w:lang w:val="en-US"/>
              </w:rPr>
              <w:t>572.7</w:t>
            </w:r>
          </w:p>
        </w:tc>
        <w:tc>
          <w:tcPr>
            <w:tcW w:w="2193" w:type="dxa"/>
            <w:noWrap w:val="0"/>
            <w:vAlign w:val="center"/>
          </w:tcPr>
          <w:p>
            <w:pPr>
              <w:pStyle w:val="20"/>
              <w:rPr>
                <w:rFonts w:ascii="仿宋" w:hAnsi="仿宋" w:eastAsia="仿宋"/>
                <w:bCs w:val="0"/>
                <w:color w:val="auto"/>
                <w:sz w:val="24"/>
                <w:szCs w:val="24"/>
                <w:lang w:val="en-US"/>
              </w:rPr>
            </w:pPr>
            <w:r>
              <w:rPr>
                <w:rFonts w:hint="eastAsia" w:ascii="仿宋" w:hAnsi="仿宋" w:eastAsia="仿宋"/>
                <w:bCs w:val="0"/>
                <w:color w:val="auto"/>
                <w:sz w:val="24"/>
                <w:szCs w:val="24"/>
                <w:lang w:val="en-US"/>
              </w:rPr>
              <w:t>58.19%</w:t>
            </w:r>
          </w:p>
        </w:tc>
      </w:tr>
    </w:tbl>
    <w:p>
      <w:pPr>
        <w:spacing w:line="576" w:lineRule="exact"/>
        <w:ind w:firstLine="640" w:firstLineChars="200"/>
        <w:rPr>
          <w:rFonts w:hint="eastAsia" w:ascii="仿宋_GB2312" w:hAnsi="仿宋" w:eastAsia="仿宋_GB2312"/>
          <w:sz w:val="32"/>
          <w:szCs w:val="32"/>
        </w:rPr>
      </w:pPr>
    </w:p>
    <w:p>
      <w:pPr>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该指标分值标准10分，根据指标评价标准和公式计算，得7.69分。</w:t>
      </w:r>
    </w:p>
    <w:p>
      <w:pPr>
        <w:spacing w:line="576" w:lineRule="exact"/>
        <w:ind w:firstLine="643" w:firstLineChars="200"/>
        <w:rPr>
          <w:rFonts w:hint="eastAsia" w:ascii="仿宋_GB2312" w:hAnsi="仿宋" w:eastAsia="仿宋_GB2312" w:cs="楷体"/>
          <w:b/>
          <w:sz w:val="32"/>
          <w:szCs w:val="32"/>
        </w:rPr>
      </w:pPr>
      <w:r>
        <w:rPr>
          <w:rFonts w:hint="eastAsia" w:ascii="仿宋_GB2312" w:hAnsi="仿宋" w:eastAsia="仿宋_GB2312" w:cs="楷体"/>
          <w:b/>
          <w:sz w:val="32"/>
          <w:szCs w:val="32"/>
        </w:rPr>
        <w:t>3.完成结果</w:t>
      </w:r>
    </w:p>
    <w:p>
      <w:pPr>
        <w:spacing w:line="576" w:lineRule="exact"/>
        <w:ind w:firstLine="640" w:firstLineChars="200"/>
        <w:rPr>
          <w:rFonts w:hint="eastAsia" w:ascii="仿宋_GB2312" w:hAnsi="仿宋" w:eastAsia="仿宋_GB2312" w:cs="楷体"/>
          <w:sz w:val="32"/>
          <w:szCs w:val="32"/>
        </w:rPr>
      </w:pPr>
      <w:r>
        <w:rPr>
          <w:rFonts w:hint="eastAsia" w:ascii="仿宋_GB2312" w:hAnsi="仿宋" w:eastAsia="仿宋_GB2312" w:cs="楷体"/>
          <w:sz w:val="32"/>
          <w:szCs w:val="32"/>
        </w:rPr>
        <w:t>（1）预算完成</w:t>
      </w:r>
    </w:p>
    <w:p>
      <w:pPr>
        <w:pStyle w:val="2"/>
        <w:spacing w:beforeLines="0" w:line="576" w:lineRule="exact"/>
        <w:ind w:firstLine="640" w:firstLineChars="200"/>
        <w:rPr>
          <w:rFonts w:hint="eastAsia" w:hAnsi="仿宋"/>
          <w:sz w:val="32"/>
          <w:szCs w:val="32"/>
        </w:rPr>
      </w:pPr>
      <w:r>
        <w:rPr>
          <w:rFonts w:hint="eastAsia" w:hAnsi="仿宋"/>
          <w:sz w:val="32"/>
          <w:szCs w:val="32"/>
        </w:rPr>
        <w:t>天星镇人民政府2020年部门财政收入预算1241.47万元，全年实际执行1065.19万元，执行进度85.8%。</w:t>
      </w:r>
    </w:p>
    <w:p>
      <w:pPr>
        <w:pStyle w:val="2"/>
        <w:spacing w:beforeLines="0" w:line="576" w:lineRule="exact"/>
        <w:ind w:firstLine="640" w:firstLineChars="200"/>
        <w:rPr>
          <w:rFonts w:hint="eastAsia" w:hAnsi="仿宋"/>
          <w:color w:val="0000FF"/>
          <w:sz w:val="32"/>
          <w:szCs w:val="32"/>
        </w:rPr>
      </w:pPr>
      <w:r>
        <w:rPr>
          <w:rFonts w:hint="eastAsia" w:hAnsi="仿宋"/>
          <w:sz w:val="32"/>
          <w:szCs w:val="32"/>
        </w:rPr>
        <w:t>该指标分值标准10分，根据指标评价标准和公式计算，得分8.58分。</w:t>
      </w:r>
    </w:p>
    <w:p>
      <w:pPr>
        <w:pStyle w:val="2"/>
        <w:spacing w:beforeLines="0" w:line="576" w:lineRule="exact"/>
        <w:ind w:firstLine="640" w:firstLineChars="200"/>
        <w:rPr>
          <w:rFonts w:hint="eastAsia" w:hAnsi="仿宋" w:cs="楷体"/>
          <w:sz w:val="32"/>
          <w:szCs w:val="32"/>
        </w:rPr>
      </w:pPr>
      <w:r>
        <w:rPr>
          <w:rFonts w:hint="eastAsia" w:hAnsi="仿宋" w:cs="楷体"/>
          <w:sz w:val="32"/>
          <w:szCs w:val="32"/>
        </w:rPr>
        <w:t xml:space="preserve">（2）违规记录 </w:t>
      </w:r>
    </w:p>
    <w:p>
      <w:pPr>
        <w:pStyle w:val="2"/>
        <w:spacing w:beforeLines="0" w:line="576" w:lineRule="exact"/>
        <w:ind w:firstLine="640" w:firstLineChars="200"/>
        <w:rPr>
          <w:rFonts w:hint="eastAsia" w:hAnsi="仿宋"/>
          <w:sz w:val="32"/>
          <w:szCs w:val="32"/>
        </w:rPr>
      </w:pPr>
      <w:r>
        <w:rPr>
          <w:rFonts w:hint="eastAsia" w:hAnsi="仿宋"/>
          <w:sz w:val="32"/>
          <w:szCs w:val="32"/>
        </w:rPr>
        <w:t>依据《旺苍县财政局关于开展“三公”经费、违纪违规乱发钱物等专项检查的通知》（旺财办〔2020〕23号）文件要求，旺苍县财政局对天星镇人民政府开展检查时发现存在以下问题：公务接待方面存在“三单”不全、超范围、超标准接待现象，差旅费报销方面存在超标准报销、附件依据不全，公务用车违规使用车辆等情况。</w:t>
      </w:r>
    </w:p>
    <w:p>
      <w:pPr>
        <w:pStyle w:val="2"/>
        <w:spacing w:beforeLines="0" w:line="576" w:lineRule="exact"/>
        <w:ind w:firstLine="640" w:firstLineChars="200"/>
        <w:rPr>
          <w:rFonts w:hint="eastAsia" w:hAnsi="仿宋"/>
          <w:sz w:val="32"/>
          <w:szCs w:val="32"/>
        </w:rPr>
      </w:pPr>
      <w:r>
        <w:rPr>
          <w:rFonts w:hint="eastAsia" w:hAnsi="仿宋"/>
          <w:sz w:val="32"/>
          <w:szCs w:val="32"/>
        </w:rPr>
        <w:t>该指标分值标准10分，根据指标评价标准和公式计算，得分8分。扣1.5分。</w:t>
      </w:r>
    </w:p>
    <w:p>
      <w:pPr>
        <w:spacing w:line="576" w:lineRule="exact"/>
        <w:ind w:firstLine="643" w:firstLineChars="200"/>
        <w:rPr>
          <w:rFonts w:hint="eastAsia" w:ascii="楷体_GB2312" w:hAnsi="仿宋" w:eastAsia="楷体_GB2312"/>
          <w:sz w:val="32"/>
          <w:szCs w:val="32"/>
        </w:rPr>
      </w:pPr>
      <w:r>
        <w:rPr>
          <w:rFonts w:hint="eastAsia" w:ascii="楷体_GB2312" w:hAnsi="仿宋" w:eastAsia="楷体_GB2312"/>
          <w:b/>
          <w:sz w:val="32"/>
          <w:szCs w:val="32"/>
        </w:rPr>
        <w:t>（二）绩效结果应用分析</w:t>
      </w:r>
    </w:p>
    <w:p>
      <w:pPr>
        <w:tabs>
          <w:tab w:val="left" w:pos="5696"/>
        </w:tabs>
        <w:spacing w:line="576" w:lineRule="exact"/>
        <w:ind w:firstLine="643" w:firstLineChars="200"/>
        <w:rPr>
          <w:rFonts w:hint="eastAsia" w:ascii="仿宋_GB2312" w:hAnsi="仿宋" w:eastAsia="仿宋_GB2312" w:cs="楷体"/>
          <w:b/>
          <w:sz w:val="32"/>
          <w:szCs w:val="32"/>
        </w:rPr>
      </w:pPr>
      <w:r>
        <w:rPr>
          <w:rFonts w:hint="eastAsia" w:ascii="仿宋_GB2312" w:hAnsi="仿宋" w:eastAsia="仿宋_GB2312" w:cs="楷体"/>
          <w:b/>
          <w:sz w:val="32"/>
          <w:szCs w:val="32"/>
        </w:rPr>
        <w:t>1.自评质量</w:t>
      </w:r>
    </w:p>
    <w:p>
      <w:pPr>
        <w:pStyle w:val="2"/>
        <w:spacing w:beforeLines="0" w:line="576" w:lineRule="exact"/>
        <w:ind w:firstLine="640" w:firstLineChars="200"/>
        <w:rPr>
          <w:rFonts w:hint="eastAsia" w:hAnsi="仿宋"/>
          <w:color w:val="C00000"/>
          <w:sz w:val="32"/>
          <w:szCs w:val="32"/>
        </w:rPr>
      </w:pPr>
      <w:r>
        <w:rPr>
          <w:rFonts w:hint="eastAsia" w:hAnsi="仿宋"/>
          <w:sz w:val="32"/>
          <w:szCs w:val="32"/>
        </w:rPr>
        <w:t>天星镇人民政府2020年部门整体支出绩效自评得分95分（除自评质量指标外，满分96分）。根据现场评价情况，评价组对天星镇人民政府的考评得分为78.77分（除自评质量指标外，满分96分）。天星镇人民政府自评得分与评价组考评分的差异为16.23%。</w:t>
      </w:r>
    </w:p>
    <w:p>
      <w:pPr>
        <w:pStyle w:val="2"/>
        <w:spacing w:beforeLines="0" w:line="576" w:lineRule="exact"/>
        <w:ind w:firstLine="640" w:firstLineChars="200"/>
        <w:rPr>
          <w:rFonts w:hint="eastAsia" w:hAnsi="仿宋"/>
          <w:color w:val="0000FF"/>
          <w:sz w:val="32"/>
          <w:szCs w:val="32"/>
        </w:rPr>
      </w:pPr>
      <w:r>
        <w:rPr>
          <w:rFonts w:hint="eastAsia" w:hAnsi="仿宋"/>
          <w:sz w:val="32"/>
          <w:szCs w:val="32"/>
        </w:rPr>
        <w:t>该指标分值标准4分，根据评价指标体系计分标准，部门整体支出自评得分与评价组抽查得分差异在10%-20%的，得2分。</w:t>
      </w:r>
    </w:p>
    <w:p>
      <w:pPr>
        <w:spacing w:line="576" w:lineRule="exact"/>
        <w:ind w:firstLine="643" w:firstLineChars="200"/>
        <w:rPr>
          <w:rFonts w:hint="eastAsia" w:ascii="仿宋_GB2312" w:hAnsi="仿宋" w:eastAsia="仿宋_GB2312" w:cs="楷体"/>
          <w:b/>
          <w:sz w:val="32"/>
          <w:szCs w:val="32"/>
        </w:rPr>
      </w:pPr>
      <w:r>
        <w:rPr>
          <w:rFonts w:hint="eastAsia" w:ascii="仿宋_GB2312" w:hAnsi="仿宋" w:eastAsia="仿宋_GB2312" w:cs="楷体"/>
          <w:b/>
          <w:sz w:val="32"/>
          <w:szCs w:val="32"/>
        </w:rPr>
        <w:t>2.信息公开</w:t>
      </w:r>
    </w:p>
    <w:p>
      <w:pPr>
        <w:pStyle w:val="2"/>
        <w:tabs>
          <w:tab w:val="left" w:pos="362"/>
        </w:tabs>
        <w:spacing w:beforeLines="0" w:line="576" w:lineRule="exact"/>
        <w:ind w:firstLine="640" w:firstLineChars="200"/>
        <w:rPr>
          <w:rFonts w:hint="eastAsia" w:hAnsi="仿宋" w:cs="楷体"/>
          <w:sz w:val="32"/>
          <w:szCs w:val="32"/>
        </w:rPr>
      </w:pPr>
      <w:r>
        <w:rPr>
          <w:rFonts w:hint="eastAsia" w:hAnsi="仿宋" w:cs="楷体"/>
          <w:sz w:val="32"/>
          <w:szCs w:val="32"/>
        </w:rPr>
        <w:t>（1）目标公开</w:t>
      </w:r>
    </w:p>
    <w:p>
      <w:pPr>
        <w:pStyle w:val="2"/>
        <w:spacing w:beforeLines="0" w:line="576" w:lineRule="exact"/>
        <w:ind w:firstLine="640" w:firstLineChars="200"/>
        <w:rPr>
          <w:rFonts w:hint="eastAsia" w:hAnsi="仿宋"/>
          <w:sz w:val="32"/>
          <w:szCs w:val="32"/>
        </w:rPr>
      </w:pPr>
      <w:r>
        <w:rPr>
          <w:rFonts w:hint="eastAsia" w:hAnsi="仿宋"/>
          <w:sz w:val="32"/>
          <w:szCs w:val="32"/>
        </w:rPr>
        <w:t>按照财政局要求，天星镇人民政府绩效目标说明已按要求随部门预算在政府网站向社会公开。</w:t>
      </w:r>
    </w:p>
    <w:p>
      <w:pPr>
        <w:pStyle w:val="2"/>
        <w:spacing w:beforeLines="0" w:line="576" w:lineRule="exact"/>
        <w:ind w:firstLine="640" w:firstLineChars="200"/>
        <w:rPr>
          <w:rFonts w:hint="eastAsia" w:hAnsi="仿宋"/>
          <w:color w:val="0000FF"/>
          <w:sz w:val="32"/>
          <w:szCs w:val="32"/>
        </w:rPr>
      </w:pPr>
      <w:r>
        <w:rPr>
          <w:rFonts w:hint="eastAsia" w:hAnsi="仿宋"/>
          <w:sz w:val="32"/>
          <w:szCs w:val="32"/>
        </w:rPr>
        <w:t>该指标分值标准4分，根据指标评价标准和公式计算，得分4分。</w:t>
      </w:r>
    </w:p>
    <w:p>
      <w:pPr>
        <w:pStyle w:val="2"/>
        <w:spacing w:beforeLines="0" w:line="576" w:lineRule="exact"/>
        <w:ind w:firstLine="640" w:firstLineChars="200"/>
        <w:rPr>
          <w:rFonts w:hint="eastAsia" w:hAnsi="仿宋"/>
          <w:sz w:val="32"/>
          <w:szCs w:val="32"/>
        </w:rPr>
      </w:pPr>
      <w:r>
        <w:rPr>
          <w:rFonts w:hint="eastAsia" w:hAnsi="仿宋" w:cs="楷体"/>
          <w:sz w:val="32"/>
          <w:szCs w:val="32"/>
        </w:rPr>
        <w:t>（2）自评公开</w:t>
      </w:r>
    </w:p>
    <w:p>
      <w:pPr>
        <w:pStyle w:val="2"/>
        <w:spacing w:beforeLines="0" w:line="576" w:lineRule="exact"/>
        <w:ind w:firstLine="640" w:firstLineChars="200"/>
        <w:rPr>
          <w:rFonts w:hint="eastAsia" w:hAnsi="仿宋"/>
          <w:sz w:val="32"/>
          <w:szCs w:val="32"/>
        </w:rPr>
      </w:pPr>
      <w:r>
        <w:rPr>
          <w:rFonts w:hint="eastAsia" w:hAnsi="仿宋"/>
          <w:sz w:val="32"/>
          <w:szCs w:val="32"/>
        </w:rPr>
        <w:t xml:space="preserve">按照财政局要求，天星镇人民政府并将部门整体绩效自评情况和自行组织的评价情况随同决算公开。 </w:t>
      </w:r>
    </w:p>
    <w:p>
      <w:pPr>
        <w:pStyle w:val="2"/>
        <w:spacing w:beforeLines="0" w:line="576" w:lineRule="exact"/>
        <w:ind w:firstLine="640" w:firstLineChars="200"/>
        <w:rPr>
          <w:rFonts w:hint="eastAsia" w:hAnsi="仿宋"/>
          <w:color w:val="0000FF"/>
          <w:sz w:val="32"/>
          <w:szCs w:val="32"/>
        </w:rPr>
      </w:pPr>
      <w:r>
        <w:rPr>
          <w:rFonts w:hint="eastAsia" w:hAnsi="仿宋"/>
          <w:sz w:val="32"/>
          <w:szCs w:val="32"/>
        </w:rPr>
        <w:t>该指标分值标准4分，根据指标评价标准和公式计算，得分4分。</w:t>
      </w:r>
    </w:p>
    <w:p>
      <w:pPr>
        <w:spacing w:line="576" w:lineRule="exact"/>
        <w:ind w:firstLine="643" w:firstLineChars="200"/>
        <w:rPr>
          <w:rFonts w:hint="eastAsia" w:ascii="仿宋_GB2312" w:hAnsi="仿宋" w:eastAsia="仿宋_GB2312" w:cs="楷体"/>
          <w:b/>
          <w:sz w:val="32"/>
          <w:szCs w:val="32"/>
        </w:rPr>
      </w:pPr>
      <w:r>
        <w:rPr>
          <w:rFonts w:hint="eastAsia" w:ascii="仿宋_GB2312" w:hAnsi="仿宋" w:eastAsia="仿宋_GB2312" w:cs="楷体"/>
          <w:b/>
          <w:sz w:val="32"/>
          <w:szCs w:val="32"/>
        </w:rPr>
        <w:t>3.整改反馈</w:t>
      </w:r>
    </w:p>
    <w:p>
      <w:pPr>
        <w:pStyle w:val="2"/>
        <w:spacing w:beforeLines="0" w:line="576" w:lineRule="exact"/>
        <w:ind w:firstLine="640" w:firstLineChars="200"/>
        <w:rPr>
          <w:rFonts w:hint="eastAsia" w:hAnsi="仿宋"/>
          <w:sz w:val="32"/>
          <w:szCs w:val="32"/>
        </w:rPr>
      </w:pPr>
      <w:r>
        <w:rPr>
          <w:rFonts w:hint="eastAsia" w:hAnsi="仿宋"/>
          <w:sz w:val="32"/>
          <w:szCs w:val="32"/>
        </w:rPr>
        <w:t>天星镇人民政府按照《旺苍县财政局关于“三公”经费、违纪违规乱发钱物等专项检查发现问题的整改通知》（旺财办〔2020〕46号）要求按时将整改报告报送财政局，并整改到位，不扣分。做到了按时向财政部门报送相应绩效自评报告，不扣分。</w:t>
      </w:r>
    </w:p>
    <w:p>
      <w:pPr>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该指标分值标准4分，根据指标评价标准和公式计算，得分4分。</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四、存在的主要问题</w:t>
      </w:r>
    </w:p>
    <w:p>
      <w:pPr>
        <w:pStyle w:val="2"/>
        <w:spacing w:beforeLines="0" w:line="576" w:lineRule="exact"/>
        <w:ind w:firstLine="643" w:firstLineChars="200"/>
        <w:rPr>
          <w:rFonts w:hint="eastAsia" w:hAnsi="仿宋"/>
          <w:sz w:val="32"/>
          <w:szCs w:val="32"/>
        </w:rPr>
      </w:pPr>
      <w:r>
        <w:rPr>
          <w:rFonts w:hint="eastAsia" w:ascii="楷体_GB2312" w:hAnsi="仿宋" w:eastAsia="楷体_GB2312"/>
          <w:b/>
          <w:sz w:val="32"/>
          <w:szCs w:val="32"/>
        </w:rPr>
        <w:t>(一)绩效目标编制方面存在的问题。</w:t>
      </w:r>
      <w:r>
        <w:rPr>
          <w:rFonts w:hint="eastAsia" w:hAnsi="仿宋"/>
          <w:sz w:val="32"/>
          <w:szCs w:val="32"/>
        </w:rPr>
        <w:t>1.整体绩效目标成本指标未明细到具体成本。质量指标、时效指标未对应年度主要任务，未细化。2.项目绩效目标数量指标不完整，成本指标未细化。</w:t>
      </w:r>
    </w:p>
    <w:p>
      <w:pPr>
        <w:pStyle w:val="2"/>
        <w:spacing w:beforeLines="0" w:line="576" w:lineRule="exact"/>
        <w:ind w:firstLine="643" w:firstLineChars="200"/>
        <w:rPr>
          <w:rFonts w:hint="eastAsia" w:hAnsi="仿宋"/>
          <w:sz w:val="32"/>
          <w:szCs w:val="32"/>
        </w:rPr>
      </w:pPr>
      <w:r>
        <w:rPr>
          <w:rFonts w:hint="eastAsia" w:ascii="楷体_GB2312" w:hAnsi="仿宋" w:eastAsia="楷体_GB2312"/>
          <w:b/>
          <w:sz w:val="32"/>
          <w:szCs w:val="32"/>
        </w:rPr>
        <w:t>(二)全面实施预算绩效管理方面存在的问题。</w:t>
      </w:r>
      <w:r>
        <w:rPr>
          <w:rFonts w:hint="eastAsia" w:hAnsi="仿宋"/>
          <w:sz w:val="32"/>
          <w:szCs w:val="32"/>
        </w:rPr>
        <w:t>自评质量不高，部门整体支出自评得分与评价组抽查得分差异较大。</w:t>
      </w:r>
    </w:p>
    <w:p>
      <w:pPr>
        <w:spacing w:line="576" w:lineRule="exact"/>
        <w:ind w:firstLine="643" w:firstLineChars="200"/>
        <w:rPr>
          <w:rFonts w:hint="eastAsia" w:ascii="仿宋_GB2312" w:hAnsi="仿宋" w:eastAsia="仿宋_GB2312"/>
          <w:sz w:val="32"/>
          <w:szCs w:val="32"/>
        </w:rPr>
      </w:pPr>
      <w:r>
        <w:rPr>
          <w:rFonts w:hint="eastAsia" w:ascii="楷体_GB2312" w:hAnsi="仿宋" w:eastAsia="楷体_GB2312"/>
          <w:b/>
          <w:kern w:val="0"/>
          <w:sz w:val="32"/>
          <w:szCs w:val="32"/>
        </w:rPr>
        <w:t>(三)预算编制方面存在的问题。</w:t>
      </w:r>
      <w:r>
        <w:rPr>
          <w:rFonts w:hint="eastAsia" w:ascii="仿宋_GB2312" w:hAnsi="仿宋" w:eastAsia="仿宋_GB2312"/>
          <w:sz w:val="32"/>
          <w:szCs w:val="32"/>
        </w:rPr>
        <w:t>未严格按照财政部门预算编制要求编制部门预算，公用经费实际支出与预算编制的公用经费偏差较大。2020年公用经费及非定额公用支出预算金额为219.38万元，决算金额为275.14万元，部门公用经费及非定额公用支出决算数与预算数的偏差程度为25.42%。</w:t>
      </w:r>
    </w:p>
    <w:p>
      <w:pPr>
        <w:pStyle w:val="2"/>
        <w:spacing w:beforeLines="0" w:line="576" w:lineRule="exact"/>
        <w:ind w:firstLine="643" w:firstLineChars="200"/>
        <w:rPr>
          <w:rFonts w:hint="eastAsia" w:hAnsi="仿宋"/>
          <w:sz w:val="32"/>
          <w:szCs w:val="32"/>
        </w:rPr>
      </w:pPr>
      <w:r>
        <w:rPr>
          <w:rFonts w:hint="eastAsia" w:ascii="楷体_GB2312" w:hAnsi="仿宋" w:eastAsia="楷体_GB2312"/>
          <w:b/>
          <w:sz w:val="32"/>
          <w:szCs w:val="32"/>
        </w:rPr>
        <w:t>(四)财务管理、财经纪律等方面存在的问题。</w:t>
      </w:r>
      <w:r>
        <w:rPr>
          <w:rFonts w:hint="eastAsia" w:hAnsi="仿宋"/>
          <w:sz w:val="32"/>
          <w:szCs w:val="32"/>
        </w:rPr>
        <w:t>公务卡未使用；政府采购制度等内控制度还需完善。</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五、整改措施及建议</w:t>
      </w:r>
    </w:p>
    <w:p>
      <w:pPr>
        <w:spacing w:line="576" w:lineRule="exact"/>
        <w:ind w:firstLine="643" w:firstLineChars="200"/>
        <w:rPr>
          <w:rFonts w:hint="eastAsia" w:ascii="仿宋_GB2312" w:hAnsi="仿宋" w:eastAsia="仿宋_GB2312"/>
          <w:sz w:val="32"/>
          <w:szCs w:val="32"/>
        </w:rPr>
      </w:pPr>
      <w:r>
        <w:rPr>
          <w:rFonts w:hint="eastAsia" w:ascii="楷体_GB2312" w:hAnsi="仿宋" w:eastAsia="楷体_GB2312"/>
          <w:b/>
          <w:kern w:val="0"/>
          <w:sz w:val="32"/>
          <w:szCs w:val="32"/>
        </w:rPr>
        <w:t>（一）</w:t>
      </w:r>
      <w:r>
        <w:rPr>
          <w:rFonts w:hint="eastAsia" w:ascii="仿宋_GB2312" w:hAnsi="仿宋" w:eastAsia="仿宋_GB2312"/>
          <w:kern w:val="0"/>
          <w:sz w:val="32"/>
          <w:szCs w:val="32"/>
        </w:rPr>
        <w:t>提高预算绩效申报质量。</w:t>
      </w:r>
      <w:r>
        <w:rPr>
          <w:rFonts w:hint="eastAsia" w:ascii="仿宋_GB2312" w:hAnsi="仿宋" w:eastAsia="仿宋_GB2312"/>
          <w:sz w:val="32"/>
          <w:szCs w:val="32"/>
        </w:rPr>
        <w:t>项目的绩效目标是考察项目投入、产出、效果的标准，是科学衡量项目绩效的重要前提。绩效目标应当从数量、质量、成本、时效以及经济效益、社会效益、生态效益、可持续影响、满意度等方面进行细化，尽量进行定量表述。不能量化表述的，可采用定性表述，但应具有可衡量性。</w:t>
      </w:r>
    </w:p>
    <w:p>
      <w:pPr>
        <w:spacing w:line="576" w:lineRule="exact"/>
        <w:ind w:firstLine="643" w:firstLineChars="200"/>
        <w:rPr>
          <w:rFonts w:hint="eastAsia" w:ascii="仿宋_GB2312" w:hAnsi="仿宋" w:eastAsia="仿宋_GB2312"/>
          <w:sz w:val="32"/>
          <w:szCs w:val="32"/>
        </w:rPr>
      </w:pPr>
      <w:r>
        <w:rPr>
          <w:rFonts w:hint="eastAsia" w:ascii="楷体_GB2312" w:hAnsi="仿宋" w:eastAsia="楷体_GB2312"/>
          <w:b/>
          <w:kern w:val="0"/>
          <w:sz w:val="32"/>
          <w:szCs w:val="32"/>
        </w:rPr>
        <w:t>（二）</w:t>
      </w:r>
      <w:r>
        <w:rPr>
          <w:rFonts w:hint="eastAsia" w:ascii="仿宋_GB2312" w:hAnsi="仿宋" w:eastAsia="仿宋_GB2312"/>
          <w:sz w:val="32"/>
          <w:szCs w:val="32"/>
        </w:rPr>
        <w:t>按照财政支出绩效管理的要求，建立科学的财政资金效益考评制度体系，牢固树立行政成本意识，不断提高财政资金使用管理的水平和效率及时、准确地申报绩效目标，并加强绩效管理。</w:t>
      </w:r>
    </w:p>
    <w:p>
      <w:pPr>
        <w:pStyle w:val="2"/>
        <w:spacing w:beforeLines="0" w:line="576" w:lineRule="exact"/>
        <w:ind w:firstLine="643" w:firstLineChars="200"/>
        <w:rPr>
          <w:rFonts w:hint="eastAsia" w:hAnsi="仿宋"/>
          <w:sz w:val="32"/>
          <w:szCs w:val="32"/>
        </w:rPr>
      </w:pPr>
      <w:r>
        <w:rPr>
          <w:rFonts w:hint="eastAsia" w:ascii="楷体_GB2312" w:hAnsi="仿宋" w:eastAsia="楷体_GB2312"/>
          <w:b/>
          <w:sz w:val="32"/>
          <w:szCs w:val="32"/>
        </w:rPr>
        <w:t>（三）</w:t>
      </w:r>
      <w:r>
        <w:rPr>
          <w:rFonts w:hint="eastAsia" w:hAnsi="仿宋" w:cs="宋体"/>
          <w:sz w:val="32"/>
          <w:szCs w:val="32"/>
        </w:rPr>
        <w:t>加快预算执行进度，提前谋划年度工作，做好业务指导及项目监管，适时安排资金支付。</w:t>
      </w:r>
    </w:p>
    <w:p>
      <w:pPr>
        <w:pStyle w:val="2"/>
        <w:spacing w:beforeLines="0" w:line="576" w:lineRule="exact"/>
        <w:ind w:firstLine="643" w:firstLineChars="200"/>
        <w:rPr>
          <w:rFonts w:hint="eastAsia" w:hAnsi="仿宋"/>
          <w:sz w:val="32"/>
          <w:szCs w:val="32"/>
        </w:rPr>
      </w:pPr>
      <w:r>
        <w:rPr>
          <w:rFonts w:hint="eastAsia" w:ascii="楷体_GB2312" w:hAnsi="仿宋" w:eastAsia="楷体_GB2312"/>
          <w:b/>
          <w:sz w:val="32"/>
          <w:szCs w:val="32"/>
        </w:rPr>
        <w:t>（四）</w:t>
      </w:r>
      <w:r>
        <w:rPr>
          <w:rFonts w:hint="eastAsia" w:hAnsi="仿宋"/>
          <w:sz w:val="32"/>
          <w:szCs w:val="32"/>
        </w:rPr>
        <w:t>严格执行财经纪律及财务管理规定。建立健全内部控制制度，根据上级政策要求及实际需要及时修改完善各项制度；按要求使用公务卡。</w:t>
      </w:r>
    </w:p>
    <w:p>
      <w:pPr>
        <w:rPr>
          <w:rFonts w:hint="eastAsia"/>
        </w:rPr>
      </w:pPr>
      <w:r>
        <w:rPr>
          <w:rFonts w:hint="eastAsia"/>
        </w:rPr>
        <w:br w:type="page"/>
      </w:r>
    </w:p>
    <w:p>
      <w:pPr>
        <w:adjustRightInd w:val="0"/>
        <w:snapToGrid w:val="0"/>
        <w:spacing w:line="240" w:lineRule="atLeast"/>
        <w:jc w:val="center"/>
        <w:rPr>
          <w:rFonts w:hint="eastAsia" w:ascii="方正小标宋简体" w:hAnsi="华文中宋" w:eastAsia="方正小标宋简体"/>
          <w:b/>
          <w:sz w:val="44"/>
          <w:szCs w:val="44"/>
        </w:rPr>
      </w:pPr>
      <w:r>
        <w:rPr>
          <w:rFonts w:hint="eastAsia" w:ascii="方正小标宋简体" w:hAnsi="华文中宋" w:eastAsia="方正小标宋简体"/>
          <w:b/>
          <w:sz w:val="52"/>
          <w:szCs w:val="52"/>
          <w:lang w:val="en-US" w:eastAsia="zh-CN"/>
        </w:rPr>
        <w:t>旺苍县檬子乡人民政府</w:t>
      </w:r>
      <w:r>
        <w:rPr>
          <w:rFonts w:hint="eastAsia" w:ascii="方正小标宋简体" w:hAnsi="华文中宋" w:eastAsia="方正小标宋简体"/>
          <w:b/>
          <w:sz w:val="52"/>
          <w:szCs w:val="52"/>
        </w:rPr>
        <w:t>部门整体支出</w:t>
      </w:r>
    </w:p>
    <w:p>
      <w:pPr>
        <w:adjustRightInd w:val="0"/>
        <w:snapToGrid w:val="0"/>
        <w:spacing w:line="240" w:lineRule="atLeast"/>
        <w:ind w:left="105" w:leftChars="50" w:firstLine="372" w:firstLineChars="103"/>
        <w:jc w:val="center"/>
        <w:rPr>
          <w:rFonts w:hint="eastAsia" w:ascii="方正小标宋简体" w:hAnsi="华文中宋" w:eastAsia="方正小标宋简体"/>
          <w:b/>
          <w:sz w:val="36"/>
          <w:szCs w:val="36"/>
        </w:rPr>
      </w:pPr>
    </w:p>
    <w:p>
      <w:pPr>
        <w:adjustRightInd w:val="0"/>
        <w:snapToGrid w:val="0"/>
        <w:spacing w:line="240" w:lineRule="atLeast"/>
        <w:ind w:left="105" w:leftChars="50" w:firstLine="372" w:firstLineChars="103"/>
        <w:jc w:val="center"/>
        <w:rPr>
          <w:rFonts w:hint="eastAsia" w:ascii="方正小标宋简体" w:hAnsi="华文中宋" w:eastAsia="方正小标宋简体"/>
          <w:b/>
          <w:sz w:val="36"/>
          <w:szCs w:val="36"/>
        </w:rPr>
      </w:pP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绩</w:t>
      </w: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效</w:t>
      </w: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评</w:t>
      </w: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价</w:t>
      </w: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报</w:t>
      </w: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告</w:t>
      </w:r>
    </w:p>
    <w:p>
      <w:pPr>
        <w:adjustRightInd w:val="0"/>
        <w:snapToGrid w:val="0"/>
        <w:spacing w:line="240" w:lineRule="atLeast"/>
        <w:ind w:left="105" w:leftChars="50" w:firstLine="372" w:firstLineChars="103"/>
        <w:jc w:val="center"/>
        <w:rPr>
          <w:rFonts w:hint="eastAsia" w:ascii="方正小标宋简体" w:hAnsi="华文中宋" w:eastAsia="方正小标宋简体"/>
          <w:b/>
          <w:sz w:val="36"/>
          <w:szCs w:val="36"/>
        </w:rPr>
      </w:pPr>
    </w:p>
    <w:p>
      <w:pPr>
        <w:adjustRightInd w:val="0"/>
        <w:snapToGrid w:val="0"/>
        <w:spacing w:line="240" w:lineRule="atLeast"/>
        <w:ind w:left="105" w:leftChars="50" w:firstLine="370" w:firstLineChars="103"/>
        <w:jc w:val="center"/>
        <w:rPr>
          <w:rFonts w:hint="eastAsia" w:ascii="楷体" w:hAnsi="楷体" w:eastAsia="楷体" w:cs="楷体"/>
          <w:bCs/>
          <w:sz w:val="36"/>
          <w:szCs w:val="36"/>
        </w:rPr>
      </w:pPr>
    </w:p>
    <w:p>
      <w:pPr>
        <w:tabs>
          <w:tab w:val="left" w:pos="3885"/>
        </w:tabs>
        <w:snapToGrid w:val="0"/>
        <w:spacing w:line="600" w:lineRule="atLeast"/>
        <w:ind w:firstLine="964" w:firstLineChars="300"/>
        <w:jc w:val="left"/>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rPr>
        <w:t>评价部门：</w:t>
      </w:r>
      <w:r>
        <w:rPr>
          <w:rFonts w:hint="eastAsia" w:ascii="楷体_GB2312" w:hAnsi="楷体_GB2312" w:eastAsia="楷体_GB2312" w:cs="楷体_GB2312"/>
          <w:b/>
          <w:sz w:val="32"/>
          <w:szCs w:val="32"/>
          <w:lang w:val="en-US" w:eastAsia="zh-CN"/>
        </w:rPr>
        <w:t>旺苍县财政局</w:t>
      </w:r>
    </w:p>
    <w:p>
      <w:pPr>
        <w:tabs>
          <w:tab w:val="left" w:pos="3885"/>
        </w:tabs>
        <w:snapToGrid w:val="0"/>
        <w:spacing w:line="600" w:lineRule="atLeast"/>
        <w:ind w:firstLine="964" w:firstLineChars="300"/>
        <w:jc w:val="left"/>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rPr>
        <w:t>评价人员：</w:t>
      </w:r>
      <w:r>
        <w:rPr>
          <w:rFonts w:hint="eastAsia" w:ascii="楷体_GB2312" w:hAnsi="楷体_GB2312" w:eastAsia="楷体_GB2312" w:cs="楷体_GB2312"/>
          <w:b/>
          <w:sz w:val="32"/>
          <w:szCs w:val="32"/>
          <w:lang w:val="en-US" w:eastAsia="zh-CN"/>
        </w:rPr>
        <w:t>李秋江 宋明圣 徐雯</w:t>
      </w:r>
    </w:p>
    <w:p>
      <w:pPr>
        <w:tabs>
          <w:tab w:val="left" w:pos="3885"/>
        </w:tabs>
        <w:snapToGrid w:val="0"/>
        <w:spacing w:line="600" w:lineRule="atLeast"/>
        <w:ind w:firstLine="964" w:firstLineChars="300"/>
        <w:jc w:val="left"/>
        <w:rPr>
          <w:rFonts w:hint="eastAsia" w:ascii="楷体" w:hAnsi="楷体" w:eastAsia="楷体" w:cs="楷体"/>
          <w:b/>
          <w:sz w:val="36"/>
          <w:szCs w:val="36"/>
        </w:rPr>
      </w:pPr>
      <w:r>
        <w:rPr>
          <w:rFonts w:hint="eastAsia" w:ascii="楷体_GB2312" w:hAnsi="楷体_GB2312" w:eastAsia="楷体_GB2312" w:cs="楷体_GB2312"/>
          <w:b/>
          <w:sz w:val="32"/>
          <w:szCs w:val="32"/>
        </w:rPr>
        <w:t xml:space="preserve">报告时间： </w:t>
      </w:r>
      <w:r>
        <w:rPr>
          <w:rFonts w:hint="eastAsia" w:ascii="楷体_GB2312" w:hAnsi="楷体_GB2312" w:eastAsia="楷体_GB2312" w:cs="楷体_GB2312"/>
          <w:b/>
          <w:sz w:val="32"/>
          <w:szCs w:val="32"/>
          <w:lang w:val="en-US" w:eastAsia="zh-CN"/>
        </w:rPr>
        <w:t>2021</w:t>
      </w:r>
      <w:r>
        <w:rPr>
          <w:rFonts w:hint="eastAsia" w:ascii="楷体_GB2312" w:hAnsi="楷体_GB2312" w:eastAsia="楷体_GB2312" w:cs="楷体_GB2312"/>
          <w:b/>
          <w:sz w:val="32"/>
          <w:szCs w:val="32"/>
        </w:rPr>
        <w:t>年</w:t>
      </w:r>
      <w:r>
        <w:rPr>
          <w:rFonts w:hint="eastAsia" w:ascii="楷体_GB2312" w:hAnsi="楷体_GB2312" w:eastAsia="楷体_GB2312" w:cs="楷体_GB2312"/>
          <w:b/>
          <w:sz w:val="32"/>
          <w:szCs w:val="32"/>
          <w:lang w:val="en-US" w:eastAsia="zh-CN"/>
        </w:rPr>
        <w:t>9月28</w:t>
      </w:r>
      <w:r>
        <w:rPr>
          <w:rFonts w:hint="eastAsia" w:ascii="楷体_GB2312" w:hAnsi="楷体_GB2312" w:eastAsia="楷体_GB2312" w:cs="楷体_GB2312"/>
          <w:b/>
          <w:sz w:val="32"/>
          <w:szCs w:val="32"/>
        </w:rPr>
        <w:t>日</w:t>
      </w:r>
    </w:p>
    <w:p>
      <w:pPr>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黑体" w:hAnsi="黑体" w:eastAsia="黑体"/>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sectPr>
          <w:headerReference r:id="rId27" w:type="default"/>
          <w:footerReference r:id="rId28" w:type="default"/>
          <w:footerReference r:id="rId29" w:type="even"/>
          <w:pgSz w:w="11906" w:h="16838"/>
          <w:pgMar w:top="2098" w:right="1474" w:bottom="1985" w:left="1588" w:header="851" w:footer="1559" w:gutter="0"/>
          <w:pgNumType w:fmt="numberInDash" w:start="1"/>
          <w:cols w:space="720" w:num="1"/>
          <w:docGrid w:type="lines" w:linePitch="312" w:charSpace="0"/>
        </w:sect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一、部门概况</w:t>
      </w:r>
    </w:p>
    <w:p>
      <w:pPr>
        <w:pStyle w:val="5"/>
        <w:pageBreakBefore w:val="0"/>
        <w:widowControl w:val="0"/>
        <w:numPr>
          <w:ilvl w:val="1"/>
          <w:numId w:val="0"/>
        </w:numPr>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rPr>
        <w:t>机构组成</w:t>
      </w:r>
    </w:p>
    <w:p>
      <w:pPr>
        <w:pStyle w:val="22"/>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檬子乡人民政府</w:t>
      </w:r>
      <w:r>
        <w:rPr>
          <w:rFonts w:hint="eastAsia" w:ascii="仿宋_GB2312" w:hAnsi="仿宋_GB2312" w:eastAsia="仿宋_GB2312" w:cs="仿宋_GB2312"/>
          <w:sz w:val="32"/>
          <w:szCs w:val="32"/>
        </w:rPr>
        <w:t>设</w:t>
      </w:r>
      <w:r>
        <w:rPr>
          <w:rFonts w:hint="eastAsia" w:ascii="仿宋_GB2312" w:hAnsi="仿宋_GB2312" w:eastAsia="仿宋_GB2312" w:cs="仿宋_GB2312"/>
          <w:sz w:val="32"/>
          <w:szCs w:val="32"/>
          <w:lang w:val="en-US" w:eastAsia="zh-CN"/>
        </w:rPr>
        <w:t>内设机构6</w:t>
      </w:r>
      <w:r>
        <w:rPr>
          <w:rFonts w:hint="eastAsia" w:ascii="仿宋_GB2312" w:hAnsi="仿宋_GB2312" w:eastAsia="仿宋_GB2312" w:cs="仿宋_GB2312"/>
          <w:sz w:val="32"/>
          <w:szCs w:val="32"/>
        </w:rPr>
        <w:t>个。</w:t>
      </w:r>
    </w:p>
    <w:p>
      <w:pPr>
        <w:pStyle w:val="21"/>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内设机构：</w:t>
      </w:r>
      <w:r>
        <w:rPr>
          <w:rFonts w:hint="eastAsia" w:ascii="仿宋_GB2312" w:hAnsi="仿宋_GB2312" w:eastAsia="仿宋_GB2312" w:cs="仿宋_GB2312"/>
          <w:sz w:val="32"/>
          <w:szCs w:val="32"/>
          <w:lang w:val="en-US" w:eastAsia="zh-CN"/>
        </w:rPr>
        <w:t>党政综合与乡村振兴办公室、党建工作办公室（村（社区）“两委”负责人，经济责任审计站）、综合行政执法办公室（城镇管理办公室、城乡规划建设和环境卫生整治办公室）、社会事务和治理工作办公室（矛盾纠纷多元化解协调中心、群众工作办公室、应急管理办公室）、经济发展办公室（扶贫开发办公室、生态环境保护办公室）、财政所</w:t>
      </w:r>
      <w:r>
        <w:rPr>
          <w:rFonts w:hint="eastAsia" w:ascii="仿宋_GB2312" w:hAnsi="仿宋_GB2312" w:eastAsia="仿宋_GB2312" w:cs="仿宋_GB2312"/>
          <w:sz w:val="32"/>
          <w:szCs w:val="32"/>
        </w:rPr>
        <w:t>。</w:t>
      </w:r>
    </w:p>
    <w:p>
      <w:pPr>
        <w:pStyle w:val="5"/>
        <w:pageBreakBefore w:val="0"/>
        <w:widowControl w:val="0"/>
        <w:numPr>
          <w:ilvl w:val="1"/>
          <w:numId w:val="0"/>
        </w:numPr>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val="en-US" w:eastAsia="zh-CN"/>
        </w:rPr>
        <w:t>（二）基本</w:t>
      </w:r>
      <w:r>
        <w:rPr>
          <w:rFonts w:hint="eastAsia" w:ascii="楷体_GB2312" w:hAnsi="楷体_GB2312" w:eastAsia="楷体_GB2312" w:cs="楷体_GB2312"/>
          <w:lang w:eastAsia="zh-CN"/>
        </w:rPr>
        <w:t>职能</w:t>
      </w:r>
    </w:p>
    <w:p>
      <w:pPr>
        <w:pStyle w:val="22"/>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rPr>
      </w:pPr>
      <w:r>
        <w:rPr>
          <w:rFonts w:hint="eastAsia" w:ascii="仿宋_GB2312" w:hAnsi="仿宋_GB2312" w:eastAsia="仿宋_GB2312" w:cs="仿宋_GB2312"/>
          <w:sz w:val="32"/>
          <w:szCs w:val="32"/>
          <w:lang w:val="en-US" w:eastAsia="zh-CN"/>
        </w:rPr>
        <w:t>基本职能主要是负责党务日常工作和机关日常事务管理，监督检查各办、所对上级方针、政策的贯彻落实情况，协调和承办组织、人事、纪检监察、宣传、统战、武装、群团、档案、保密、统计、和政务公开等工作；加强对村民委员会的指导，提高、培育村民委员会自治能力；负责信访、</w:t>
      </w:r>
      <w:r>
        <w:rPr>
          <w:rFonts w:hint="eastAsia" w:ascii="仿宋_GB2312" w:hAnsi="仿宋_GB2312" w:cs="仿宋_GB2312"/>
          <w:sz w:val="32"/>
          <w:szCs w:val="32"/>
          <w:lang w:val="en-US" w:eastAsia="zh-CN"/>
        </w:rPr>
        <w:t>综合治理</w:t>
      </w:r>
      <w:r>
        <w:rPr>
          <w:rFonts w:hint="eastAsia" w:ascii="仿宋_GB2312" w:hAnsi="仿宋_GB2312" w:eastAsia="仿宋_GB2312" w:cs="仿宋_GB2312"/>
          <w:sz w:val="32"/>
          <w:szCs w:val="32"/>
          <w:lang w:val="en-US" w:eastAsia="zh-CN"/>
        </w:rPr>
        <w:t>、矛盾纠纷调处等群众工作，加强对突发事件的预警和管理，建立健全各种应急机制，加强民事纠纷调解，化解农村社会矛盾，切实保障农民合法权益，维护农村社会稳定；承办人大主席团的日常工作。</w:t>
      </w:r>
    </w:p>
    <w:p>
      <w:pPr>
        <w:pStyle w:val="5"/>
        <w:pageBreakBefore w:val="0"/>
        <w:widowControl w:val="0"/>
        <w:numPr>
          <w:ilvl w:val="1"/>
          <w:numId w:val="0"/>
        </w:numPr>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lang w:eastAsia="zh-CN"/>
        </w:rPr>
        <w:t>）人员概况</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0"/>
          <w:sz w:val="32"/>
          <w:szCs w:val="32"/>
          <w:lang w:val="en-US" w:eastAsia="zh-CN" w:bidi="ar-SA"/>
        </w:rPr>
        <w:t>旺苍县檬子乡人民政府下属二级预算单位0个。总编制38名，其中公务员17人，机关工勤人员1人，事业人员20人（无参照公务员法管理的事业人员）；在职人员总数33人，其中公务员13人，机关工勤人员0人，事业人员20人。</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二、部门财政资金收支情况</w:t>
      </w:r>
    </w:p>
    <w:p>
      <w:pPr>
        <w:pStyle w:val="5"/>
        <w:pageBreakBefore w:val="0"/>
        <w:widowControl w:val="0"/>
        <w:numPr>
          <w:ilvl w:val="1"/>
          <w:numId w:val="0"/>
        </w:numPr>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（一）部门决策情况</w:t>
      </w:r>
    </w:p>
    <w:p>
      <w:pPr>
        <w:pStyle w:val="22"/>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檬子乡人民政府2020年重点工作如下：（1）坚持常抓不懈,疫情防控有序有力。严格落实县疫情防控指挥部安排部署，统筹抓实抓好疫情防控工作。（2）紧扣县委部署，两项改革全面落地。科学统筹两项改革及村级党组织“一肩挑”工作，确保先后有序、衔接有效、落实有力。（3）抓牢关键环节，脱贫攻坚稳扎稳打。始终把脱贫攻坚工作放在第一位推进,注重成果、成效、成色梯次巩固提升。一是锁定工作目标，攻克贫困最后堡垒。持续压实1个退出贫困村和已脱贫167户610人巩固提升工作，截至2020年底，实现了全部贫困人口的达标脱贫（2020年脱贫1户3名）；二是严格对标国家普查要点，全面整改补齐脱贫短板。三是逐步完善扶贫产业配套，夯实持续增收基础。管护柏杨村养蜂产业园区880箱蜜蜂、水帘村中药材产业园区238亩及店坪村红枫产业园区15000株。科学规划“五小短产业”，有效抵御新冠疫情影响。扶贫项目全面落地，有序完善资金报账。（4）紧绷安全意识，筑牢群众安全防线。（5）聚焦关键难点，镇域环境明显改善。（6）围绕项目建设，夯实乡村振兴基础。（7）强化“一线指挥”，基层党建提质聚力。</w:t>
      </w:r>
    </w:p>
    <w:p>
      <w:pPr>
        <w:pStyle w:val="5"/>
        <w:pageBreakBefore w:val="0"/>
        <w:widowControl w:val="0"/>
        <w:numPr>
          <w:ilvl w:val="1"/>
          <w:numId w:val="0"/>
        </w:numPr>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（二）部门财政资金收入情况</w:t>
      </w:r>
    </w:p>
    <w:p>
      <w:pPr>
        <w:pStyle w:val="22"/>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檬子乡人民政府收入合计483.4万元，其中：一般公共预算财政拨款收入482.9万元，占99.9%，政府性基金预算财政拨款收入0.5万元，占0.01%；国有资本经营预算财政拨款收入0万元，占0%；事业收入0万元，占0%；经营收入0万元，占0%；附属单位上缴收入0万元，占0%；其他收入0万元，占0%。上年结转76.14万元。具体情况见表1-1：</w:t>
      </w:r>
    </w:p>
    <w:p>
      <w:pPr>
        <w:pStyle w:val="19"/>
        <w:rPr>
          <w:sz w:val="28"/>
          <w:szCs w:val="28"/>
        </w:rPr>
      </w:pPr>
      <w:r>
        <w:rPr>
          <w:rFonts w:hint="eastAsia"/>
          <w:sz w:val="28"/>
          <w:szCs w:val="28"/>
        </w:rPr>
        <w:t>表</w:t>
      </w:r>
      <w:r>
        <w:rPr>
          <w:rFonts w:hint="eastAsia"/>
          <w:sz w:val="28"/>
          <w:szCs w:val="28"/>
          <w:lang w:val="en-US" w:eastAsia="zh-CN"/>
        </w:rPr>
        <w:t>1</w:t>
      </w:r>
      <w:r>
        <w:rPr>
          <w:sz w:val="28"/>
          <w:szCs w:val="28"/>
        </w:rPr>
        <w:t>-</w:t>
      </w:r>
      <w:r>
        <w:rPr>
          <w:rFonts w:hint="eastAsia"/>
          <w:sz w:val="28"/>
          <w:szCs w:val="28"/>
        </w:rPr>
        <w:t xml:space="preserve">1 </w:t>
      </w:r>
      <w:r>
        <w:rPr>
          <w:rFonts w:hint="eastAsia"/>
          <w:sz w:val="28"/>
          <w:szCs w:val="28"/>
          <w:lang w:val="en-US" w:eastAsia="zh-CN"/>
        </w:rPr>
        <w:t>2020</w:t>
      </w:r>
      <w:r>
        <w:rPr>
          <w:sz w:val="28"/>
          <w:szCs w:val="28"/>
        </w:rPr>
        <w:t>年</w:t>
      </w:r>
      <w:r>
        <w:rPr>
          <w:rFonts w:hint="eastAsia"/>
          <w:sz w:val="28"/>
          <w:szCs w:val="28"/>
          <w:lang w:val="en-US" w:eastAsia="zh-CN"/>
        </w:rPr>
        <w:t>檬子乡人民政府</w:t>
      </w:r>
      <w:r>
        <w:rPr>
          <w:sz w:val="28"/>
          <w:szCs w:val="28"/>
        </w:rPr>
        <w:t>收入预决算情况表</w:t>
      </w:r>
    </w:p>
    <w:p>
      <w:pPr>
        <w:pStyle w:val="19"/>
        <w:jc w:val="right"/>
      </w:pPr>
      <w:r>
        <w:rPr>
          <w:rFonts w:hint="eastAsia"/>
        </w:rPr>
        <w:t>单位</w:t>
      </w:r>
      <w:r>
        <w:t>：万元</w:t>
      </w:r>
    </w:p>
    <w:tbl>
      <w:tblPr>
        <w:tblStyle w:val="23"/>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0"/>
        <w:gridCol w:w="1913"/>
        <w:gridCol w:w="1775"/>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3500"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rPr>
            </w:pPr>
          </w:p>
        </w:tc>
        <w:tc>
          <w:tcPr>
            <w:tcW w:w="1913" w:type="dxa"/>
          </w:tcPr>
          <w:p>
            <w:pPr>
              <w:pStyle w:val="20"/>
              <w:keepNext w:val="0"/>
              <w:keepLines w:val="0"/>
              <w:suppressLineNumbers w:val="0"/>
              <w:spacing w:before="0" w:beforeAutospacing="0" w:after="0" w:afterAutospacing="0"/>
              <w:ind w:left="0" w:right="0"/>
              <w:rPr>
                <w:rFonts w:hint="eastAsia" w:ascii="宋体" w:hAnsi="宋体" w:eastAsia="宋体" w:cs="宋体"/>
                <w:b/>
                <w:bCs w:val="0"/>
                <w:color w:val="auto"/>
              </w:rPr>
            </w:pPr>
            <w:r>
              <w:rPr>
                <w:rFonts w:hint="eastAsia" w:ascii="宋体" w:hAnsi="宋体" w:eastAsia="宋体" w:cs="宋体"/>
                <w:b/>
                <w:bCs w:val="0"/>
                <w:color w:val="auto"/>
              </w:rPr>
              <w:t>收入预算数</w:t>
            </w:r>
          </w:p>
        </w:tc>
        <w:tc>
          <w:tcPr>
            <w:tcW w:w="1775" w:type="dxa"/>
          </w:tcPr>
          <w:p>
            <w:pPr>
              <w:pStyle w:val="20"/>
              <w:keepNext w:val="0"/>
              <w:keepLines w:val="0"/>
              <w:suppressLineNumbers w:val="0"/>
              <w:spacing w:before="0" w:beforeAutospacing="0" w:after="0" w:afterAutospacing="0"/>
              <w:ind w:left="0" w:right="0"/>
              <w:rPr>
                <w:rFonts w:hint="eastAsia" w:ascii="宋体" w:hAnsi="宋体" w:eastAsia="宋体" w:cs="宋体"/>
                <w:b/>
                <w:bCs w:val="0"/>
                <w:color w:val="auto"/>
              </w:rPr>
            </w:pPr>
            <w:r>
              <w:rPr>
                <w:rFonts w:hint="eastAsia" w:ascii="宋体" w:hAnsi="宋体" w:eastAsia="宋体" w:cs="宋体"/>
                <w:b/>
                <w:bCs w:val="0"/>
                <w:color w:val="auto"/>
              </w:rPr>
              <w:t>收入调整数</w:t>
            </w:r>
          </w:p>
        </w:tc>
        <w:tc>
          <w:tcPr>
            <w:tcW w:w="1790" w:type="dxa"/>
          </w:tcPr>
          <w:p>
            <w:pPr>
              <w:pStyle w:val="20"/>
              <w:keepNext w:val="0"/>
              <w:keepLines w:val="0"/>
              <w:suppressLineNumbers w:val="0"/>
              <w:spacing w:before="0" w:beforeAutospacing="0" w:after="0" w:afterAutospacing="0"/>
              <w:ind w:left="0" w:right="0"/>
              <w:rPr>
                <w:rFonts w:hint="eastAsia" w:ascii="宋体" w:hAnsi="宋体" w:eastAsia="宋体" w:cs="宋体"/>
                <w:b/>
                <w:bCs w:val="0"/>
                <w:color w:val="auto"/>
              </w:rPr>
            </w:pPr>
            <w:r>
              <w:rPr>
                <w:rFonts w:hint="eastAsia" w:ascii="宋体" w:hAnsi="宋体" w:eastAsia="宋体" w:cs="宋体"/>
                <w:b/>
                <w:bCs w:val="0"/>
                <w:color w:val="auto"/>
              </w:rPr>
              <w:t>收入决算数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0"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rPr>
            </w:pPr>
            <w:r>
              <w:rPr>
                <w:rFonts w:hint="eastAsia" w:ascii="宋体" w:hAnsi="宋体" w:eastAsia="宋体" w:cs="宋体"/>
                <w:color w:val="auto"/>
              </w:rPr>
              <w:t>一般公共预算财政拨款收入</w:t>
            </w:r>
          </w:p>
        </w:tc>
        <w:tc>
          <w:tcPr>
            <w:tcW w:w="1913"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lang w:val="en-US" w:eastAsia="zh-CN"/>
              </w:rPr>
            </w:pPr>
            <w:r>
              <w:rPr>
                <w:rFonts w:hint="eastAsia" w:ascii="宋体" w:hAnsi="宋体" w:eastAsia="宋体" w:cs="宋体"/>
                <w:color w:val="auto"/>
                <w:lang w:val="en-US" w:eastAsia="zh-CN"/>
              </w:rPr>
              <w:t>372.52</w:t>
            </w:r>
          </w:p>
        </w:tc>
        <w:tc>
          <w:tcPr>
            <w:tcW w:w="1775"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lang w:val="en-US" w:eastAsia="zh-CN"/>
              </w:rPr>
            </w:pPr>
            <w:r>
              <w:rPr>
                <w:rFonts w:hint="eastAsia" w:ascii="宋体" w:hAnsi="宋体" w:eastAsia="宋体" w:cs="宋体"/>
                <w:color w:val="auto"/>
                <w:lang w:val="en-US" w:eastAsia="zh-CN"/>
              </w:rPr>
              <w:t>482.9</w:t>
            </w:r>
          </w:p>
        </w:tc>
        <w:tc>
          <w:tcPr>
            <w:tcW w:w="1790"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lang w:val="en-US" w:eastAsia="zh-CN"/>
              </w:rPr>
            </w:pPr>
            <w:r>
              <w:rPr>
                <w:rFonts w:hint="eastAsia" w:ascii="宋体" w:hAnsi="宋体" w:eastAsia="宋体" w:cs="宋体"/>
                <w:color w:val="auto"/>
                <w:lang w:val="en-US" w:eastAsia="zh-CN"/>
              </w:rPr>
              <w:t>482.9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0"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rPr>
            </w:pPr>
            <w:r>
              <w:rPr>
                <w:rFonts w:hint="eastAsia" w:ascii="宋体" w:hAnsi="宋体" w:eastAsia="宋体" w:cs="宋体"/>
                <w:color w:val="auto"/>
              </w:rPr>
              <w:t>政府性基金预算财政拨款收入</w:t>
            </w:r>
          </w:p>
        </w:tc>
        <w:tc>
          <w:tcPr>
            <w:tcW w:w="1913"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1775"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lang w:val="en-US" w:eastAsia="zh-CN"/>
              </w:rPr>
            </w:pPr>
            <w:r>
              <w:rPr>
                <w:rFonts w:hint="eastAsia" w:ascii="宋体" w:hAnsi="宋体" w:eastAsia="宋体" w:cs="宋体"/>
                <w:color w:val="auto"/>
                <w:lang w:val="en-US" w:eastAsia="zh-CN"/>
              </w:rPr>
              <w:t>0.5</w:t>
            </w:r>
          </w:p>
        </w:tc>
        <w:tc>
          <w:tcPr>
            <w:tcW w:w="1790"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lang w:val="en-US" w:eastAsia="zh-CN"/>
              </w:rPr>
            </w:pPr>
            <w:r>
              <w:rPr>
                <w:rFonts w:hint="eastAsia" w:ascii="宋体" w:hAnsi="宋体" w:eastAsia="宋体" w:cs="宋体"/>
                <w:color w:val="auto"/>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0"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rPr>
            </w:pPr>
            <w:r>
              <w:rPr>
                <w:rFonts w:hint="eastAsia" w:ascii="宋体" w:hAnsi="宋体" w:eastAsia="宋体" w:cs="宋体"/>
                <w:color w:val="auto"/>
              </w:rPr>
              <w:t>经营收入</w:t>
            </w:r>
          </w:p>
        </w:tc>
        <w:tc>
          <w:tcPr>
            <w:tcW w:w="1913"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1775"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1790"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0"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rPr>
            </w:pPr>
            <w:r>
              <w:rPr>
                <w:rFonts w:hint="eastAsia" w:ascii="宋体" w:hAnsi="宋体" w:eastAsia="宋体" w:cs="宋体"/>
                <w:color w:val="auto"/>
              </w:rPr>
              <w:t>其他收入</w:t>
            </w:r>
          </w:p>
        </w:tc>
        <w:tc>
          <w:tcPr>
            <w:tcW w:w="1913"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1775"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1790"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0"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rPr>
            </w:pPr>
            <w:r>
              <w:rPr>
                <w:rFonts w:hint="eastAsia" w:ascii="宋体" w:hAnsi="宋体" w:eastAsia="宋体" w:cs="宋体"/>
                <w:color w:val="auto"/>
              </w:rPr>
              <w:t>年初结转结余</w:t>
            </w:r>
          </w:p>
        </w:tc>
        <w:tc>
          <w:tcPr>
            <w:tcW w:w="1913" w:type="dxa"/>
          </w:tcPr>
          <w:p>
            <w:pPr>
              <w:pStyle w:val="20"/>
              <w:keepNext w:val="0"/>
              <w:keepLines w:val="0"/>
              <w:suppressLineNumbers w:val="0"/>
              <w:spacing w:before="0" w:beforeAutospacing="0" w:after="0" w:afterAutospacing="0"/>
              <w:ind w:left="0" w:right="0"/>
              <w:rPr>
                <w:rFonts w:hint="eastAsia" w:ascii="宋体" w:hAnsi="宋体" w:eastAsia="宋体" w:cs="宋体"/>
                <w:color w:val="auto"/>
                <w:lang w:val="en-US" w:eastAsia="zh-CN"/>
              </w:rPr>
            </w:pPr>
            <w:r>
              <w:rPr>
                <w:rFonts w:hint="eastAsia" w:ascii="宋体" w:hAnsi="宋体" w:eastAsia="宋体" w:cs="宋体"/>
                <w:color w:val="auto"/>
                <w:lang w:val="en-US" w:eastAsia="zh-CN"/>
              </w:rPr>
              <w:t>71.11</w:t>
            </w:r>
          </w:p>
        </w:tc>
        <w:tc>
          <w:tcPr>
            <w:tcW w:w="1775" w:type="dxa"/>
          </w:tcPr>
          <w:p>
            <w:pPr>
              <w:pStyle w:val="20"/>
              <w:keepNext w:val="0"/>
              <w:keepLines w:val="0"/>
              <w:suppressLineNumbers w:val="0"/>
              <w:spacing w:before="0" w:beforeAutospacing="0" w:after="0" w:afterAutospacing="0"/>
              <w:ind w:left="0" w:right="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76.14</w:t>
            </w:r>
          </w:p>
        </w:tc>
        <w:tc>
          <w:tcPr>
            <w:tcW w:w="1790" w:type="dxa"/>
          </w:tcPr>
          <w:p>
            <w:pPr>
              <w:pStyle w:val="20"/>
              <w:keepNext w:val="0"/>
              <w:keepLines w:val="0"/>
              <w:suppressLineNumbers w:val="0"/>
              <w:spacing w:before="0" w:beforeAutospacing="0" w:after="0" w:afterAutospacing="0"/>
              <w:ind w:left="0" w:right="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76.14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500" w:type="dxa"/>
          </w:tcPr>
          <w:p>
            <w:pPr>
              <w:pStyle w:val="20"/>
              <w:keepNext w:val="0"/>
              <w:keepLines w:val="0"/>
              <w:suppressLineNumbers w:val="0"/>
              <w:spacing w:before="0" w:beforeAutospacing="0" w:after="0" w:afterAutospacing="0"/>
              <w:ind w:left="0" w:right="0"/>
              <w:rPr>
                <w:rFonts w:hint="eastAsia" w:ascii="宋体" w:hAnsi="宋体" w:eastAsia="宋体" w:cs="宋体"/>
                <w:b/>
                <w:bCs w:val="0"/>
                <w:color w:val="auto"/>
              </w:rPr>
            </w:pPr>
            <w:r>
              <w:rPr>
                <w:rFonts w:hint="eastAsia" w:ascii="宋体" w:hAnsi="宋体" w:eastAsia="宋体" w:cs="宋体"/>
                <w:b/>
                <w:bCs w:val="0"/>
                <w:color w:val="auto"/>
              </w:rPr>
              <w:t>合计</w:t>
            </w:r>
          </w:p>
        </w:tc>
        <w:tc>
          <w:tcPr>
            <w:tcW w:w="1913" w:type="dxa"/>
          </w:tcPr>
          <w:p>
            <w:pPr>
              <w:pStyle w:val="20"/>
              <w:keepNext w:val="0"/>
              <w:keepLines w:val="0"/>
              <w:suppressLineNumbers w:val="0"/>
              <w:spacing w:before="0" w:beforeAutospacing="0" w:after="0" w:afterAutospacing="0"/>
              <w:ind w:left="0" w:right="0"/>
              <w:rPr>
                <w:rFonts w:hint="eastAsia" w:ascii="宋体" w:hAnsi="宋体" w:eastAsia="宋体" w:cs="宋体"/>
                <w:b/>
                <w:bCs w:val="0"/>
                <w:color w:val="auto"/>
                <w:lang w:val="en-US" w:eastAsia="zh-CN"/>
              </w:rPr>
            </w:pPr>
            <w:r>
              <w:rPr>
                <w:rFonts w:hint="eastAsia" w:ascii="宋体" w:hAnsi="宋体" w:eastAsia="宋体" w:cs="宋体"/>
                <w:b/>
                <w:bCs w:val="0"/>
                <w:color w:val="auto"/>
                <w:lang w:val="en-US" w:eastAsia="zh-CN"/>
              </w:rPr>
              <w:t>443.63</w:t>
            </w:r>
          </w:p>
        </w:tc>
        <w:tc>
          <w:tcPr>
            <w:tcW w:w="1775" w:type="dxa"/>
          </w:tcPr>
          <w:p>
            <w:pPr>
              <w:pStyle w:val="20"/>
              <w:keepNext w:val="0"/>
              <w:keepLines w:val="0"/>
              <w:suppressLineNumbers w:val="0"/>
              <w:spacing w:before="0" w:beforeAutospacing="0" w:after="0" w:afterAutospacing="0"/>
              <w:ind w:left="0" w:right="0"/>
              <w:rPr>
                <w:rFonts w:hint="eastAsia" w:ascii="宋体" w:hAnsi="宋体" w:eastAsia="宋体" w:cs="宋体"/>
                <w:b/>
                <w:bCs w:val="0"/>
                <w:color w:val="auto"/>
                <w:lang w:val="en-US" w:eastAsia="zh-CN"/>
              </w:rPr>
            </w:pPr>
            <w:r>
              <w:rPr>
                <w:rFonts w:hint="eastAsia" w:ascii="宋体" w:hAnsi="宋体" w:eastAsia="宋体" w:cs="宋体"/>
                <w:b/>
                <w:bCs w:val="0"/>
                <w:color w:val="auto"/>
                <w:lang w:val="en-US" w:eastAsia="zh-CN"/>
              </w:rPr>
              <w:t>559.55</w:t>
            </w:r>
          </w:p>
        </w:tc>
        <w:tc>
          <w:tcPr>
            <w:tcW w:w="1790" w:type="dxa"/>
          </w:tcPr>
          <w:p>
            <w:pPr>
              <w:pStyle w:val="20"/>
              <w:keepNext w:val="0"/>
              <w:keepLines w:val="0"/>
              <w:suppressLineNumbers w:val="0"/>
              <w:spacing w:before="0" w:beforeAutospacing="0" w:after="0" w:afterAutospacing="0"/>
              <w:ind w:left="0" w:right="0"/>
              <w:rPr>
                <w:rFonts w:hint="eastAsia" w:ascii="宋体" w:hAnsi="宋体" w:eastAsia="宋体" w:cs="宋体"/>
                <w:b/>
                <w:bCs w:val="0"/>
                <w:color w:val="auto"/>
                <w:lang w:val="en-US" w:eastAsia="zh-CN"/>
              </w:rPr>
            </w:pPr>
            <w:r>
              <w:rPr>
                <w:rFonts w:hint="eastAsia" w:ascii="宋体" w:hAnsi="宋体" w:eastAsia="宋体" w:cs="宋体"/>
                <w:b/>
                <w:bCs w:val="0"/>
                <w:color w:val="auto"/>
                <w:lang w:val="en-US" w:eastAsia="zh-CN"/>
              </w:rPr>
              <w:t>559.55</w:t>
            </w:r>
          </w:p>
        </w:tc>
      </w:tr>
    </w:tbl>
    <w:p>
      <w:pPr>
        <w:pStyle w:val="5"/>
        <w:numPr>
          <w:ilvl w:val="1"/>
          <w:numId w:val="0"/>
        </w:numPr>
        <w:spacing w:before="120" w:after="60" w:line="600" w:lineRule="exact"/>
        <w:ind w:firstLine="643" w:firstLineChars="200"/>
        <w:rPr>
          <w:rFonts w:hint="eastAsia" w:ascii="楷体_GB2312" w:hAnsi="楷体_GB2312" w:eastAsia="楷体_GB2312" w:cs="楷体_GB2312"/>
          <w:lang w:eastAsia="zh-CN"/>
        </w:rPr>
      </w:pPr>
    </w:p>
    <w:p>
      <w:pPr>
        <w:pStyle w:val="5"/>
        <w:pageBreakBefore w:val="0"/>
        <w:widowControl w:val="0"/>
        <w:numPr>
          <w:ilvl w:val="1"/>
          <w:numId w:val="0"/>
        </w:numPr>
        <w:kinsoku/>
        <w:wordWrap/>
        <w:overflowPunct/>
        <w:topLinePunct w:val="0"/>
        <w:autoSpaceDE/>
        <w:autoSpaceDN/>
        <w:bidi w:val="0"/>
        <w:adjustRightInd/>
        <w:snapToGrid/>
        <w:spacing w:before="120" w:after="60" w:line="576" w:lineRule="exact"/>
        <w:ind w:firstLine="643"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lang w:eastAsia="zh-CN"/>
        </w:rPr>
        <w:t>）部门财政资金支出情况</w:t>
      </w:r>
    </w:p>
    <w:p>
      <w:pPr>
        <w:pStyle w:val="22"/>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檬子乡人民政府支出合计474.2万元，其中：基本支出424.97万元，占89.6%；项目支出49.2万元，占10.4%；上缴上级支出0万元，占0%；经营支出0万元，占0%；对附属单位补助支出0万元，占0%。年末结转结余85.38万元。年初支出预算数为443.63万元，支出调整预算数为559.55万元，支出决算数为559.55万元。具体情况见表1-2：</w:t>
      </w:r>
    </w:p>
    <w:p>
      <w:pPr>
        <w:pStyle w:val="19"/>
        <w:rPr>
          <w:sz w:val="28"/>
          <w:szCs w:val="28"/>
        </w:rPr>
      </w:pPr>
      <w:r>
        <w:rPr>
          <w:rFonts w:hint="eastAsia"/>
          <w:sz w:val="28"/>
          <w:szCs w:val="28"/>
        </w:rPr>
        <w:t>表</w:t>
      </w:r>
      <w:r>
        <w:rPr>
          <w:rFonts w:hint="eastAsia"/>
          <w:sz w:val="28"/>
          <w:szCs w:val="28"/>
          <w:lang w:val="en-US" w:eastAsia="zh-CN"/>
        </w:rPr>
        <w:t>1</w:t>
      </w:r>
      <w:r>
        <w:rPr>
          <w:sz w:val="28"/>
          <w:szCs w:val="28"/>
        </w:rPr>
        <w:t>-</w:t>
      </w:r>
      <w:r>
        <w:rPr>
          <w:rFonts w:hint="eastAsia"/>
          <w:sz w:val="28"/>
          <w:szCs w:val="28"/>
        </w:rPr>
        <w:t xml:space="preserve">2  </w:t>
      </w:r>
      <w:r>
        <w:rPr>
          <w:rFonts w:hint="eastAsia"/>
          <w:sz w:val="28"/>
          <w:szCs w:val="28"/>
          <w:lang w:val="en-US" w:eastAsia="zh-CN"/>
        </w:rPr>
        <w:t>2020</w:t>
      </w:r>
      <w:r>
        <w:rPr>
          <w:sz w:val="28"/>
          <w:szCs w:val="28"/>
        </w:rPr>
        <w:t>年</w:t>
      </w:r>
      <w:r>
        <w:rPr>
          <w:rFonts w:hint="eastAsia"/>
          <w:sz w:val="28"/>
          <w:szCs w:val="28"/>
          <w:lang w:val="en-US" w:eastAsia="zh-CN"/>
        </w:rPr>
        <w:t>檬子乡人民政府</w:t>
      </w:r>
      <w:r>
        <w:rPr>
          <w:rFonts w:hint="eastAsia"/>
          <w:sz w:val="28"/>
          <w:szCs w:val="28"/>
        </w:rPr>
        <w:t>支出</w:t>
      </w:r>
      <w:r>
        <w:rPr>
          <w:sz w:val="28"/>
          <w:szCs w:val="28"/>
        </w:rPr>
        <w:t>预决算情况表</w:t>
      </w:r>
    </w:p>
    <w:p>
      <w:pPr>
        <w:pStyle w:val="19"/>
        <w:jc w:val="right"/>
      </w:pPr>
      <w:r>
        <w:rPr>
          <w:rFonts w:hint="eastAsia"/>
        </w:rPr>
        <w:t>单位</w:t>
      </w:r>
      <w:r>
        <w:t>：万元</w:t>
      </w:r>
    </w:p>
    <w:tbl>
      <w:tblPr>
        <w:tblStyle w:val="12"/>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2243"/>
        <w:gridCol w:w="2246"/>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trPr>
        <w:tc>
          <w:tcPr>
            <w:tcW w:w="2244" w:type="dxa"/>
          </w:tcPr>
          <w:p>
            <w:pPr>
              <w:pStyle w:val="20"/>
              <w:keepNext w:val="0"/>
              <w:keepLines w:val="0"/>
              <w:suppressLineNumbers w:val="0"/>
              <w:spacing w:before="0" w:beforeAutospacing="0" w:after="0" w:afterAutospacing="0"/>
              <w:ind w:left="0" w:right="0"/>
              <w:rPr>
                <w:color w:val="auto"/>
              </w:rPr>
            </w:pPr>
          </w:p>
        </w:tc>
        <w:tc>
          <w:tcPr>
            <w:tcW w:w="2243" w:type="dxa"/>
          </w:tcPr>
          <w:p>
            <w:pPr>
              <w:pStyle w:val="20"/>
              <w:keepNext w:val="0"/>
              <w:keepLines w:val="0"/>
              <w:suppressLineNumbers w:val="0"/>
              <w:spacing w:before="0" w:beforeAutospacing="0" w:after="0" w:afterAutospacing="0"/>
              <w:ind w:left="0" w:right="0"/>
              <w:rPr>
                <w:b/>
                <w:color w:val="auto"/>
              </w:rPr>
            </w:pPr>
            <w:r>
              <w:rPr>
                <w:rFonts w:hint="eastAsia"/>
                <w:b/>
                <w:color w:val="auto"/>
              </w:rPr>
              <w:t>支出</w:t>
            </w:r>
            <w:r>
              <w:rPr>
                <w:b/>
                <w:color w:val="auto"/>
              </w:rPr>
              <w:t>预算数</w:t>
            </w:r>
          </w:p>
        </w:tc>
        <w:tc>
          <w:tcPr>
            <w:tcW w:w="2246" w:type="dxa"/>
          </w:tcPr>
          <w:p>
            <w:pPr>
              <w:pStyle w:val="20"/>
              <w:keepNext w:val="0"/>
              <w:keepLines w:val="0"/>
              <w:suppressLineNumbers w:val="0"/>
              <w:spacing w:before="0" w:beforeAutospacing="0" w:after="0" w:afterAutospacing="0"/>
              <w:ind w:left="0" w:right="0"/>
              <w:rPr>
                <w:b/>
                <w:color w:val="auto"/>
              </w:rPr>
            </w:pPr>
            <w:r>
              <w:rPr>
                <w:rFonts w:hint="eastAsia"/>
                <w:b/>
                <w:color w:val="auto"/>
              </w:rPr>
              <w:t>支出</w:t>
            </w:r>
            <w:r>
              <w:rPr>
                <w:b/>
                <w:color w:val="auto"/>
              </w:rPr>
              <w:t>调整数</w:t>
            </w:r>
          </w:p>
        </w:tc>
        <w:tc>
          <w:tcPr>
            <w:tcW w:w="2246" w:type="dxa"/>
          </w:tcPr>
          <w:p>
            <w:pPr>
              <w:pStyle w:val="20"/>
              <w:keepNext w:val="0"/>
              <w:keepLines w:val="0"/>
              <w:suppressLineNumbers w:val="0"/>
              <w:spacing w:before="0" w:beforeAutospacing="0" w:after="0" w:afterAutospacing="0"/>
              <w:ind w:left="0" w:right="0"/>
              <w:rPr>
                <w:b/>
                <w:color w:val="auto"/>
              </w:rPr>
            </w:pPr>
            <w:r>
              <w:rPr>
                <w:rFonts w:hint="eastAsia"/>
                <w:b/>
                <w:color w:val="auto"/>
              </w:rPr>
              <w:t>支出</w:t>
            </w:r>
            <w:r>
              <w:rPr>
                <w:b/>
                <w:color w:val="auto"/>
              </w:rPr>
              <w:t>决算</w:t>
            </w:r>
            <w:r>
              <w:rPr>
                <w:rFonts w:hint="eastAsia"/>
                <w:b/>
                <w:color w:val="auto"/>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44" w:type="dxa"/>
          </w:tcPr>
          <w:p>
            <w:pPr>
              <w:pStyle w:val="20"/>
              <w:keepNext w:val="0"/>
              <w:keepLines w:val="0"/>
              <w:suppressLineNumbers w:val="0"/>
              <w:spacing w:before="0" w:beforeAutospacing="0" w:after="0" w:afterAutospacing="0"/>
              <w:ind w:left="0" w:right="0"/>
              <w:rPr>
                <w:color w:val="auto"/>
              </w:rPr>
            </w:pPr>
            <w:r>
              <w:rPr>
                <w:rFonts w:hint="eastAsia"/>
                <w:color w:val="auto"/>
              </w:rPr>
              <w:t>基本支出</w:t>
            </w:r>
          </w:p>
        </w:tc>
        <w:tc>
          <w:tcPr>
            <w:tcW w:w="2243" w:type="dxa"/>
          </w:tcPr>
          <w:p>
            <w:pPr>
              <w:pStyle w:val="20"/>
              <w:keepNext w:val="0"/>
              <w:keepLines w:val="0"/>
              <w:suppressLineNumbers w:val="0"/>
              <w:spacing w:before="0" w:beforeAutospacing="0" w:after="0" w:afterAutospacing="0"/>
              <w:ind w:left="0" w:right="0"/>
              <w:rPr>
                <w:rFonts w:hint="default" w:eastAsia="仿宋_GB2312"/>
                <w:color w:val="auto"/>
                <w:lang w:val="en-US" w:eastAsia="zh-CN"/>
              </w:rPr>
            </w:pPr>
            <w:r>
              <w:rPr>
                <w:rFonts w:hint="eastAsia"/>
                <w:color w:val="auto"/>
                <w:lang w:val="en-US" w:eastAsia="zh-CN"/>
              </w:rPr>
              <w:t>372.17</w:t>
            </w:r>
          </w:p>
        </w:tc>
        <w:tc>
          <w:tcPr>
            <w:tcW w:w="2246" w:type="dxa"/>
          </w:tcPr>
          <w:p>
            <w:pPr>
              <w:pStyle w:val="20"/>
              <w:keepNext w:val="0"/>
              <w:keepLines w:val="0"/>
              <w:suppressLineNumbers w:val="0"/>
              <w:spacing w:before="0" w:beforeAutospacing="0" w:after="0" w:afterAutospacing="0"/>
              <w:ind w:left="0" w:right="0"/>
              <w:rPr>
                <w:rFonts w:hint="default" w:eastAsia="仿宋_GB2312"/>
                <w:color w:val="auto"/>
                <w:lang w:val="en-US" w:eastAsia="zh-CN"/>
              </w:rPr>
            </w:pPr>
            <w:r>
              <w:rPr>
                <w:rFonts w:hint="eastAsia"/>
                <w:color w:val="auto"/>
                <w:lang w:val="en-US" w:eastAsia="zh-CN"/>
              </w:rPr>
              <w:t>468.51</w:t>
            </w:r>
          </w:p>
        </w:tc>
        <w:tc>
          <w:tcPr>
            <w:tcW w:w="2246" w:type="dxa"/>
          </w:tcPr>
          <w:p>
            <w:pPr>
              <w:pStyle w:val="20"/>
              <w:keepNext w:val="0"/>
              <w:keepLines w:val="0"/>
              <w:suppressLineNumbers w:val="0"/>
              <w:spacing w:before="0" w:beforeAutospacing="0" w:after="0" w:afterAutospacing="0"/>
              <w:ind w:left="0" w:right="0"/>
              <w:rPr>
                <w:rFonts w:hint="default" w:eastAsia="仿宋_GB2312"/>
                <w:color w:val="auto"/>
                <w:lang w:val="en-US" w:eastAsia="zh-CN"/>
              </w:rPr>
            </w:pPr>
            <w:r>
              <w:rPr>
                <w:rFonts w:hint="eastAsia"/>
                <w:color w:val="auto"/>
                <w:lang w:val="en-US" w:eastAsia="zh-CN"/>
              </w:rPr>
              <w:t>424.97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44" w:type="dxa"/>
          </w:tcPr>
          <w:p>
            <w:pPr>
              <w:pStyle w:val="20"/>
              <w:keepNext w:val="0"/>
              <w:keepLines w:val="0"/>
              <w:suppressLineNumbers w:val="0"/>
              <w:spacing w:before="0" w:beforeAutospacing="0" w:after="0" w:afterAutospacing="0"/>
              <w:ind w:left="0" w:right="0"/>
              <w:rPr>
                <w:color w:val="auto"/>
              </w:rPr>
            </w:pPr>
            <w:r>
              <w:rPr>
                <w:rFonts w:hint="eastAsia"/>
                <w:color w:val="auto"/>
              </w:rPr>
              <w:t>项目支出</w:t>
            </w:r>
          </w:p>
        </w:tc>
        <w:tc>
          <w:tcPr>
            <w:tcW w:w="2243" w:type="dxa"/>
          </w:tcPr>
          <w:p>
            <w:pPr>
              <w:pStyle w:val="20"/>
              <w:keepNext w:val="0"/>
              <w:keepLines w:val="0"/>
              <w:suppressLineNumbers w:val="0"/>
              <w:spacing w:before="0" w:beforeAutospacing="0" w:after="0" w:afterAutospacing="0"/>
              <w:ind w:left="0" w:right="0"/>
              <w:rPr>
                <w:rFonts w:hint="default" w:eastAsia="仿宋_GB2312"/>
                <w:color w:val="auto"/>
                <w:lang w:val="en-US" w:eastAsia="zh-CN"/>
              </w:rPr>
            </w:pPr>
            <w:r>
              <w:rPr>
                <w:rFonts w:hint="eastAsia"/>
                <w:color w:val="auto"/>
                <w:lang w:val="en-US" w:eastAsia="zh-CN"/>
              </w:rPr>
              <w:t>71.45</w:t>
            </w:r>
          </w:p>
        </w:tc>
        <w:tc>
          <w:tcPr>
            <w:tcW w:w="2246" w:type="dxa"/>
          </w:tcPr>
          <w:p>
            <w:pPr>
              <w:pStyle w:val="20"/>
              <w:keepNext w:val="0"/>
              <w:keepLines w:val="0"/>
              <w:suppressLineNumbers w:val="0"/>
              <w:spacing w:before="0" w:beforeAutospacing="0" w:after="0" w:afterAutospacing="0"/>
              <w:ind w:left="0" w:right="0"/>
              <w:rPr>
                <w:rFonts w:hint="default" w:eastAsia="仿宋_GB2312"/>
                <w:color w:val="auto"/>
                <w:lang w:val="en-US" w:eastAsia="zh-CN"/>
              </w:rPr>
            </w:pPr>
            <w:r>
              <w:rPr>
                <w:rFonts w:hint="eastAsia"/>
                <w:color w:val="auto"/>
                <w:lang w:val="en-US" w:eastAsia="zh-CN"/>
              </w:rPr>
              <w:t>91.04</w:t>
            </w:r>
          </w:p>
        </w:tc>
        <w:tc>
          <w:tcPr>
            <w:tcW w:w="2246" w:type="dxa"/>
          </w:tcPr>
          <w:p>
            <w:pPr>
              <w:pStyle w:val="20"/>
              <w:keepNext w:val="0"/>
              <w:keepLines w:val="0"/>
              <w:suppressLineNumbers w:val="0"/>
              <w:spacing w:before="0" w:beforeAutospacing="0" w:after="0" w:afterAutospacing="0"/>
              <w:ind w:left="0" w:right="0"/>
              <w:rPr>
                <w:rFonts w:hint="default" w:eastAsia="仿宋_GB2312"/>
                <w:color w:val="auto"/>
                <w:lang w:val="en-US" w:eastAsia="zh-CN"/>
              </w:rPr>
            </w:pPr>
            <w:r>
              <w:rPr>
                <w:rFonts w:hint="eastAsia"/>
                <w:color w:val="auto"/>
                <w:lang w:val="en-US" w:eastAsia="zh-CN"/>
              </w:rPr>
              <w:t>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2244" w:type="dxa"/>
          </w:tcPr>
          <w:p>
            <w:pPr>
              <w:pStyle w:val="20"/>
              <w:keepNext w:val="0"/>
              <w:keepLines w:val="0"/>
              <w:suppressLineNumbers w:val="0"/>
              <w:spacing w:before="0" w:beforeAutospacing="0" w:after="0" w:afterAutospacing="0"/>
              <w:ind w:left="0" w:right="0"/>
              <w:rPr>
                <w:color w:val="auto"/>
              </w:rPr>
            </w:pPr>
            <w:r>
              <w:rPr>
                <w:rFonts w:hint="eastAsia"/>
                <w:color w:val="auto"/>
              </w:rPr>
              <w:t>经营支出</w:t>
            </w:r>
          </w:p>
        </w:tc>
        <w:tc>
          <w:tcPr>
            <w:tcW w:w="2243" w:type="dxa"/>
          </w:tcPr>
          <w:p>
            <w:pPr>
              <w:pStyle w:val="20"/>
              <w:keepNext w:val="0"/>
              <w:keepLines w:val="0"/>
              <w:suppressLineNumbers w:val="0"/>
              <w:spacing w:before="0" w:beforeAutospacing="0" w:after="0" w:afterAutospacing="0"/>
              <w:ind w:left="0" w:right="0"/>
              <w:rPr>
                <w:rFonts w:hint="eastAsia" w:eastAsia="仿宋_GB2312"/>
                <w:color w:val="auto"/>
                <w:lang w:val="en-US" w:eastAsia="zh-CN"/>
              </w:rPr>
            </w:pPr>
            <w:r>
              <w:rPr>
                <w:rFonts w:hint="eastAsia"/>
                <w:color w:val="auto"/>
                <w:lang w:val="en-US" w:eastAsia="zh-CN"/>
              </w:rPr>
              <w:t>0</w:t>
            </w:r>
          </w:p>
        </w:tc>
        <w:tc>
          <w:tcPr>
            <w:tcW w:w="2246" w:type="dxa"/>
          </w:tcPr>
          <w:p>
            <w:pPr>
              <w:pStyle w:val="20"/>
              <w:keepNext w:val="0"/>
              <w:keepLines w:val="0"/>
              <w:suppressLineNumbers w:val="0"/>
              <w:spacing w:before="0" w:beforeAutospacing="0" w:after="0" w:afterAutospacing="0"/>
              <w:ind w:left="0" w:right="0"/>
              <w:rPr>
                <w:rFonts w:hint="eastAsia" w:eastAsia="仿宋_GB2312"/>
                <w:color w:val="auto"/>
                <w:lang w:val="en-US" w:eastAsia="zh-CN"/>
              </w:rPr>
            </w:pPr>
            <w:r>
              <w:rPr>
                <w:rFonts w:hint="eastAsia"/>
                <w:color w:val="auto"/>
                <w:lang w:val="en-US" w:eastAsia="zh-CN"/>
              </w:rPr>
              <w:t>0</w:t>
            </w:r>
          </w:p>
        </w:tc>
        <w:tc>
          <w:tcPr>
            <w:tcW w:w="2246" w:type="dxa"/>
          </w:tcPr>
          <w:p>
            <w:pPr>
              <w:pStyle w:val="20"/>
              <w:keepNext w:val="0"/>
              <w:keepLines w:val="0"/>
              <w:suppressLineNumbers w:val="0"/>
              <w:spacing w:before="0" w:beforeAutospacing="0" w:after="0" w:afterAutospacing="0"/>
              <w:ind w:left="0" w:right="0"/>
              <w:rPr>
                <w:rFonts w:hint="eastAsia" w:eastAsia="仿宋_GB2312"/>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44" w:type="dxa"/>
          </w:tcPr>
          <w:p>
            <w:pPr>
              <w:pStyle w:val="20"/>
              <w:keepNext w:val="0"/>
              <w:keepLines w:val="0"/>
              <w:suppressLineNumbers w:val="0"/>
              <w:spacing w:before="0" w:beforeAutospacing="0" w:after="0" w:afterAutospacing="0"/>
              <w:ind w:left="0" w:right="0"/>
              <w:rPr>
                <w:color w:val="auto"/>
              </w:rPr>
            </w:pPr>
            <w:r>
              <w:rPr>
                <w:rFonts w:hint="eastAsia"/>
                <w:color w:val="auto"/>
              </w:rPr>
              <w:t>结余分配</w:t>
            </w:r>
          </w:p>
        </w:tc>
        <w:tc>
          <w:tcPr>
            <w:tcW w:w="2243" w:type="dxa"/>
          </w:tcPr>
          <w:p>
            <w:pPr>
              <w:pStyle w:val="20"/>
              <w:keepNext w:val="0"/>
              <w:keepLines w:val="0"/>
              <w:suppressLineNumbers w:val="0"/>
              <w:spacing w:before="0" w:beforeAutospacing="0" w:after="0" w:afterAutospacing="0"/>
              <w:ind w:left="0" w:right="0"/>
              <w:rPr>
                <w:rFonts w:hint="eastAsia" w:eastAsia="仿宋_GB2312"/>
                <w:color w:val="auto"/>
                <w:lang w:val="en-US" w:eastAsia="zh-CN"/>
              </w:rPr>
            </w:pPr>
            <w:r>
              <w:rPr>
                <w:rFonts w:hint="eastAsia"/>
                <w:color w:val="auto"/>
                <w:lang w:val="en-US" w:eastAsia="zh-CN"/>
              </w:rPr>
              <w:t>0</w:t>
            </w:r>
          </w:p>
        </w:tc>
        <w:tc>
          <w:tcPr>
            <w:tcW w:w="2246" w:type="dxa"/>
          </w:tcPr>
          <w:p>
            <w:pPr>
              <w:pStyle w:val="20"/>
              <w:keepNext w:val="0"/>
              <w:keepLines w:val="0"/>
              <w:suppressLineNumbers w:val="0"/>
              <w:spacing w:before="0" w:beforeAutospacing="0" w:after="0" w:afterAutospacing="0"/>
              <w:ind w:left="0" w:right="0"/>
              <w:rPr>
                <w:rFonts w:hint="eastAsia" w:eastAsia="仿宋_GB2312"/>
                <w:color w:val="auto"/>
                <w:lang w:val="en-US" w:eastAsia="zh-CN"/>
              </w:rPr>
            </w:pPr>
            <w:r>
              <w:rPr>
                <w:rFonts w:hint="eastAsia"/>
                <w:color w:val="auto"/>
                <w:lang w:val="en-US" w:eastAsia="zh-CN"/>
              </w:rPr>
              <w:t>0</w:t>
            </w:r>
          </w:p>
        </w:tc>
        <w:tc>
          <w:tcPr>
            <w:tcW w:w="2246" w:type="dxa"/>
          </w:tcPr>
          <w:p>
            <w:pPr>
              <w:pStyle w:val="20"/>
              <w:keepNext w:val="0"/>
              <w:keepLines w:val="0"/>
              <w:suppressLineNumbers w:val="0"/>
              <w:spacing w:before="0" w:beforeAutospacing="0" w:after="0" w:afterAutospacing="0"/>
              <w:ind w:left="0" w:right="0"/>
              <w:rPr>
                <w:rFonts w:hint="eastAsia" w:eastAsia="仿宋_GB2312"/>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44" w:type="dxa"/>
          </w:tcPr>
          <w:p>
            <w:pPr>
              <w:pStyle w:val="20"/>
              <w:keepNext w:val="0"/>
              <w:keepLines w:val="0"/>
              <w:suppressLineNumbers w:val="0"/>
              <w:spacing w:before="0" w:beforeAutospacing="0" w:after="0" w:afterAutospacing="0"/>
              <w:ind w:left="0" w:right="0"/>
              <w:rPr>
                <w:color w:val="auto"/>
              </w:rPr>
            </w:pPr>
            <w:r>
              <w:rPr>
                <w:rFonts w:hint="eastAsia"/>
                <w:color w:val="auto"/>
              </w:rPr>
              <w:t>年末</w:t>
            </w:r>
            <w:r>
              <w:rPr>
                <w:color w:val="auto"/>
              </w:rPr>
              <w:t>结转结余</w:t>
            </w:r>
          </w:p>
        </w:tc>
        <w:tc>
          <w:tcPr>
            <w:tcW w:w="2243" w:type="dxa"/>
          </w:tcPr>
          <w:p>
            <w:pPr>
              <w:pStyle w:val="20"/>
              <w:keepNext w:val="0"/>
              <w:keepLines w:val="0"/>
              <w:suppressLineNumbers w:val="0"/>
              <w:spacing w:before="0" w:beforeAutospacing="0" w:after="0" w:afterAutospacing="0"/>
              <w:ind w:left="0" w:right="0"/>
              <w:rPr>
                <w:rFonts w:hint="default" w:eastAsia="仿宋_GB2312"/>
                <w:color w:val="auto"/>
                <w:lang w:val="en-US" w:eastAsia="zh-CN"/>
              </w:rPr>
            </w:pPr>
            <w:r>
              <w:rPr>
                <w:rFonts w:hint="eastAsia"/>
                <w:color w:val="auto"/>
                <w:lang w:val="en-US" w:eastAsia="zh-CN"/>
              </w:rPr>
              <w:t>0</w:t>
            </w:r>
          </w:p>
        </w:tc>
        <w:tc>
          <w:tcPr>
            <w:tcW w:w="2246" w:type="dxa"/>
          </w:tcPr>
          <w:p>
            <w:pPr>
              <w:pStyle w:val="20"/>
              <w:keepNext w:val="0"/>
              <w:keepLines w:val="0"/>
              <w:suppressLineNumbers w:val="0"/>
              <w:spacing w:before="0" w:beforeAutospacing="0" w:after="0" w:afterAutospacing="0"/>
              <w:ind w:left="0" w:right="0"/>
              <w:rPr>
                <w:rFonts w:hint="eastAsia" w:eastAsia="仿宋_GB2312"/>
                <w:color w:val="auto"/>
                <w:lang w:val="en-US" w:eastAsia="zh-CN"/>
              </w:rPr>
            </w:pPr>
            <w:r>
              <w:rPr>
                <w:rFonts w:hint="eastAsia"/>
                <w:color w:val="auto"/>
                <w:lang w:val="en-US" w:eastAsia="zh-CN"/>
              </w:rPr>
              <w:t>0</w:t>
            </w:r>
          </w:p>
        </w:tc>
        <w:tc>
          <w:tcPr>
            <w:tcW w:w="2246" w:type="dxa"/>
          </w:tcPr>
          <w:p>
            <w:pPr>
              <w:pStyle w:val="20"/>
              <w:keepNext w:val="0"/>
              <w:keepLines w:val="0"/>
              <w:suppressLineNumbers w:val="0"/>
              <w:spacing w:before="0" w:beforeAutospacing="0" w:after="0" w:afterAutospacing="0"/>
              <w:ind w:left="0" w:right="0"/>
              <w:rPr>
                <w:color w:val="auto"/>
              </w:rPr>
            </w:pPr>
            <w:r>
              <w:rPr>
                <w:rFonts w:hint="eastAsia"/>
                <w:color w:val="auto"/>
                <w:lang w:val="en-US" w:eastAsia="zh-CN"/>
              </w:rPr>
              <w:t>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244" w:type="dxa"/>
          </w:tcPr>
          <w:p>
            <w:pPr>
              <w:pStyle w:val="20"/>
              <w:keepNext w:val="0"/>
              <w:keepLines w:val="0"/>
              <w:suppressLineNumbers w:val="0"/>
              <w:spacing w:before="0" w:beforeAutospacing="0" w:after="0" w:afterAutospacing="0"/>
              <w:ind w:left="0" w:right="0"/>
              <w:rPr>
                <w:b/>
                <w:color w:val="auto"/>
              </w:rPr>
            </w:pPr>
            <w:r>
              <w:rPr>
                <w:rFonts w:hint="eastAsia"/>
                <w:b/>
                <w:color w:val="auto"/>
              </w:rPr>
              <w:t>合计</w:t>
            </w:r>
          </w:p>
        </w:tc>
        <w:tc>
          <w:tcPr>
            <w:tcW w:w="2243" w:type="dxa"/>
          </w:tcPr>
          <w:p>
            <w:pPr>
              <w:pStyle w:val="20"/>
              <w:keepNext w:val="0"/>
              <w:keepLines w:val="0"/>
              <w:suppressLineNumbers w:val="0"/>
              <w:spacing w:before="0" w:beforeAutospacing="0" w:after="0" w:afterAutospacing="0"/>
              <w:ind w:left="0" w:right="0"/>
              <w:rPr>
                <w:rFonts w:hint="default" w:eastAsia="仿宋_GB2312"/>
                <w:b/>
                <w:color w:val="auto"/>
                <w:lang w:val="en-US" w:eastAsia="zh-CN"/>
              </w:rPr>
            </w:pPr>
            <w:r>
              <w:rPr>
                <w:rFonts w:hint="eastAsia"/>
                <w:b/>
                <w:color w:val="auto"/>
                <w:lang w:val="en-US" w:eastAsia="zh-CN"/>
              </w:rPr>
              <w:t>443.63</w:t>
            </w:r>
          </w:p>
        </w:tc>
        <w:tc>
          <w:tcPr>
            <w:tcW w:w="2246" w:type="dxa"/>
          </w:tcPr>
          <w:p>
            <w:pPr>
              <w:pStyle w:val="20"/>
              <w:keepNext w:val="0"/>
              <w:keepLines w:val="0"/>
              <w:suppressLineNumbers w:val="0"/>
              <w:spacing w:before="0" w:beforeAutospacing="0" w:after="0" w:afterAutospacing="0"/>
              <w:ind w:left="0" w:right="0"/>
              <w:rPr>
                <w:rFonts w:hint="default" w:eastAsia="仿宋_GB2312"/>
                <w:b/>
                <w:color w:val="auto"/>
                <w:lang w:val="en-US" w:eastAsia="zh-CN"/>
              </w:rPr>
            </w:pPr>
            <w:r>
              <w:rPr>
                <w:rFonts w:hint="eastAsia"/>
                <w:b/>
                <w:color w:val="auto"/>
                <w:lang w:val="en-US" w:eastAsia="zh-CN"/>
              </w:rPr>
              <w:t>559.55</w:t>
            </w:r>
          </w:p>
        </w:tc>
        <w:tc>
          <w:tcPr>
            <w:tcW w:w="2246" w:type="dxa"/>
          </w:tcPr>
          <w:p>
            <w:pPr>
              <w:pStyle w:val="20"/>
              <w:keepNext w:val="0"/>
              <w:keepLines w:val="0"/>
              <w:suppressLineNumbers w:val="0"/>
              <w:spacing w:before="0" w:beforeAutospacing="0" w:after="0" w:afterAutospacing="0"/>
              <w:ind w:left="0" w:right="0"/>
              <w:rPr>
                <w:rFonts w:hint="default" w:eastAsia="仿宋_GB2312"/>
                <w:b/>
                <w:color w:val="auto"/>
                <w:lang w:val="en-US" w:eastAsia="zh-CN"/>
              </w:rPr>
            </w:pPr>
            <w:r>
              <w:rPr>
                <w:rFonts w:hint="eastAsia"/>
                <w:b/>
                <w:color w:val="auto"/>
                <w:lang w:val="en-US" w:eastAsia="zh-CN"/>
              </w:rPr>
              <w:t>559.55</w:t>
            </w:r>
          </w:p>
        </w:tc>
      </w:tr>
    </w:tbl>
    <w:p>
      <w:pPr>
        <w:spacing w:line="560" w:lineRule="exact"/>
        <w:ind w:firstLine="640" w:firstLineChars="200"/>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三、评价结论和绩效分析</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（一）评价结论</w:t>
      </w:r>
    </w:p>
    <w:p>
      <w:pPr>
        <w:pStyle w:val="2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檬子乡人民政府预算测算过程较为完整，在预算编制、信息公开等综合管理方面执行较好，部门整体支出绩效完成情况良好。但评价中也发现部门预算执行方面存在瑕疵，本次整体支出绩效评级综合得分情况如下：预算管理指标权重为80分，得分为57.17分，得分率为71%；绩效结果运用指标权重为20分，得分为16分，得分率为80%；本项目总分为73.17分。详情见下表2-1。</w:t>
      </w:r>
    </w:p>
    <w:p>
      <w:pPr>
        <w:pStyle w:val="19"/>
      </w:pPr>
      <w:r>
        <w:rPr>
          <w:rFonts w:hint="eastAsia"/>
          <w:lang w:val="en-US" w:eastAsia="zh-CN"/>
        </w:rPr>
        <w:t xml:space="preserve">  </w:t>
      </w:r>
      <w:r>
        <w:rPr>
          <w:rFonts w:hint="eastAsia"/>
          <w:sz w:val="28"/>
          <w:szCs w:val="28"/>
          <w:lang w:val="en-US" w:eastAsia="zh-CN"/>
        </w:rPr>
        <w:t xml:space="preserve">  </w:t>
      </w:r>
      <w:r>
        <w:rPr>
          <w:sz w:val="28"/>
          <w:szCs w:val="28"/>
        </w:rPr>
        <w:t>表</w:t>
      </w:r>
      <w:r>
        <w:rPr>
          <w:rFonts w:hint="eastAsia"/>
          <w:sz w:val="28"/>
          <w:szCs w:val="28"/>
          <w:lang w:val="en-US" w:eastAsia="zh-CN"/>
        </w:rPr>
        <w:t>2</w:t>
      </w:r>
      <w:r>
        <w:rPr>
          <w:rFonts w:hint="eastAsia"/>
          <w:sz w:val="28"/>
          <w:szCs w:val="28"/>
        </w:rPr>
        <w:t xml:space="preserve">-1 </w:t>
      </w:r>
      <w:r>
        <w:rPr>
          <w:rFonts w:hint="eastAsia"/>
          <w:sz w:val="28"/>
          <w:szCs w:val="28"/>
          <w:lang w:val="en-US" w:eastAsia="zh-CN"/>
        </w:rPr>
        <w:t>2020年檬子乡人民政府</w:t>
      </w:r>
      <w:r>
        <w:rPr>
          <w:sz w:val="28"/>
          <w:szCs w:val="28"/>
        </w:rPr>
        <w:t>部门整体支出绩效得分情况表</w:t>
      </w:r>
    </w:p>
    <w:tbl>
      <w:tblPr>
        <w:tblStyle w:val="12"/>
        <w:tblW w:w="9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15"/>
        <w:gridCol w:w="1080"/>
        <w:gridCol w:w="1685"/>
        <w:gridCol w:w="1195"/>
        <w:gridCol w:w="1030"/>
        <w:gridCol w:w="1030"/>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4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绩效指标</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指标分值</w:t>
            </w:r>
          </w:p>
        </w:tc>
        <w:tc>
          <w:tcPr>
            <w:tcW w:w="10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自评得分</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评价得分</w:t>
            </w:r>
          </w:p>
        </w:tc>
        <w:tc>
          <w:tcPr>
            <w:tcW w:w="14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二级指标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三级指标</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i w:val="0"/>
                <w:color w:val="000000"/>
                <w:sz w:val="20"/>
                <w:szCs w:val="20"/>
                <w:u w:val="none"/>
              </w:rPr>
            </w:pPr>
          </w:p>
        </w:tc>
        <w:tc>
          <w:tcPr>
            <w:tcW w:w="10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i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i w:val="0"/>
                <w:color w:val="000000"/>
                <w:sz w:val="20"/>
                <w:szCs w:val="20"/>
                <w:u w:val="none"/>
              </w:rPr>
            </w:pPr>
          </w:p>
        </w:tc>
        <w:tc>
          <w:tcPr>
            <w:tcW w:w="14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b/>
                <w:i w:val="0"/>
                <w:color w:val="000000"/>
                <w:sz w:val="20"/>
                <w:szCs w:val="20"/>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部门预算管理（80分）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预算</w:t>
            </w:r>
          </w:p>
          <w:p>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编制</w:t>
            </w:r>
          </w:p>
          <w:p>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kern w:val="0"/>
                <w:sz w:val="18"/>
                <w:szCs w:val="18"/>
                <w:lang w:val="en-US" w:eastAsia="zh-CN" w:bidi="ar"/>
              </w:rPr>
              <w:t>（30分）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目标制定</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i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目标完成</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9.64</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i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编制准确</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i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预算</w:t>
            </w:r>
          </w:p>
          <w:p>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执行</w:t>
            </w:r>
          </w:p>
          <w:p>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i w:val="0"/>
                <w:color w:val="000000"/>
                <w:sz w:val="18"/>
                <w:szCs w:val="18"/>
                <w:u w:val="none"/>
              </w:rPr>
            </w:pPr>
            <w:r>
              <w:rPr>
                <w:rFonts w:hint="eastAsia" w:ascii="宋体" w:hAnsi="宋体" w:eastAsia="宋体" w:cs="宋体"/>
                <w:color w:val="000000"/>
                <w:kern w:val="0"/>
                <w:sz w:val="18"/>
                <w:szCs w:val="18"/>
                <w:lang w:val="en-US" w:eastAsia="zh-CN" w:bidi="ar"/>
              </w:rPr>
              <w:t>（30分）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支出控制</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i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动态调整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i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执行进度</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8.06</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i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完成</w:t>
            </w:r>
          </w:p>
          <w:p>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结果</w:t>
            </w:r>
          </w:p>
          <w:p>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kern w:val="0"/>
                <w:sz w:val="18"/>
                <w:szCs w:val="18"/>
                <w:lang w:val="en-US" w:eastAsia="zh-CN" w:bidi="ar"/>
              </w:rPr>
              <w:t>（20分）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预算完成</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8.47</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i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违规记录</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i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绩效结果应用（20分）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自评</w:t>
            </w:r>
          </w:p>
          <w:p>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质量</w:t>
            </w:r>
          </w:p>
          <w:p>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kern w:val="0"/>
                <w:sz w:val="18"/>
                <w:szCs w:val="18"/>
                <w:lang w:val="en-US" w:eastAsia="zh-CN" w:bidi="ar"/>
              </w:rPr>
              <w:t>（4分）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自评准确</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i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信息</w:t>
            </w:r>
          </w:p>
          <w:p>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公开</w:t>
            </w:r>
          </w:p>
          <w:p>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kern w:val="0"/>
                <w:sz w:val="18"/>
                <w:szCs w:val="18"/>
                <w:lang w:val="en-US" w:eastAsia="zh-CN" w:bidi="ar"/>
              </w:rPr>
              <w:t>（8分）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目标公开</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i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自评公开</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i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整改</w:t>
            </w:r>
          </w:p>
          <w:p>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反馈</w:t>
            </w:r>
          </w:p>
          <w:p>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kern w:val="0"/>
                <w:sz w:val="18"/>
                <w:szCs w:val="18"/>
                <w:lang w:val="en-US" w:eastAsia="zh-CN" w:bidi="ar"/>
              </w:rPr>
              <w:t>（8分）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结果整改</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i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应用反馈</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i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4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总分合计</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96.5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73.17</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i w:val="0"/>
                <w:color w:val="000000"/>
                <w:sz w:val="24"/>
                <w:szCs w:val="24"/>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rPr>
        <w:t>部门预算管理情况分析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Times New Roman" w:eastAsia="仿宋_GB2312" w:cs="Times New Roman"/>
          <w:b/>
          <w:bCs/>
          <w:kern w:val="0"/>
          <w:sz w:val="32"/>
          <w:szCs w:val="32"/>
          <w:lang w:val="en-US" w:eastAsia="zh-CN" w:bidi="ar-SA"/>
        </w:rPr>
      </w:pPr>
      <w:r>
        <w:rPr>
          <w:rFonts w:hint="eastAsia" w:ascii="仿宋_GB2312" w:hAnsi="Times New Roman" w:eastAsia="仿宋_GB2312" w:cs="Times New Roman"/>
          <w:b/>
          <w:bCs/>
          <w:kern w:val="0"/>
          <w:sz w:val="32"/>
          <w:szCs w:val="32"/>
          <w:lang w:val="en-US" w:eastAsia="zh-CN" w:bidi="ar-SA"/>
        </w:rPr>
        <w:t>1.预算编制情况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（1）目标制定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val="en-US" w:eastAsia="zh-CN"/>
        </w:rPr>
        <w:t>檬子乡人民政府</w:t>
      </w:r>
      <w:r>
        <w:rPr>
          <w:rFonts w:hint="eastAsia" w:ascii="仿宋_GB2312" w:hAnsi="仿宋_GB2312" w:eastAsia="仿宋_GB2312" w:cs="仿宋_GB2312"/>
          <w:sz w:val="32"/>
          <w:szCs w:val="32"/>
        </w:rPr>
        <w:t>按照2020年部门预算编制要求，积极开展预算编报工作，在规定时间内完成了部门预算编制任务。部门预算编制准确、规范、完整无漏项，基础信息和科目使用准确，项目名称、绩效指标、项目内容等说明符合规定，单位编制、人员情况与供养人员横向联网系统数据一致。根据现场评价情况，</w:t>
      </w:r>
      <w:r>
        <w:rPr>
          <w:rFonts w:hint="eastAsia" w:ascii="仿宋_GB2312" w:hAnsi="仿宋_GB2312" w:eastAsia="仿宋_GB2312" w:cs="仿宋_GB2312"/>
          <w:sz w:val="32"/>
          <w:szCs w:val="32"/>
          <w:lang w:val="en-US" w:eastAsia="zh-CN"/>
        </w:rPr>
        <w:t>檬子乡人民政府</w:t>
      </w:r>
      <w:r>
        <w:rPr>
          <w:rFonts w:hint="eastAsia" w:ascii="仿宋_GB2312" w:hAnsi="仿宋_GB2312" w:eastAsia="仿宋_GB2312" w:cs="仿宋_GB2312"/>
          <w:sz w:val="32"/>
          <w:szCs w:val="32"/>
        </w:rPr>
        <w:t>的绩效目标基本达到了要素完整的要求，但</w:t>
      </w:r>
      <w:r>
        <w:rPr>
          <w:rFonts w:hint="eastAsia" w:ascii="仿宋_GB2312" w:hAnsi="仿宋_GB2312" w:eastAsia="仿宋_GB2312" w:cs="仿宋_GB2312"/>
          <w:sz w:val="32"/>
          <w:szCs w:val="32"/>
          <w:lang w:val="en-US" w:eastAsia="zh-CN"/>
        </w:rPr>
        <w:t>部分目标编制没有细化的评估标准，</w:t>
      </w: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lang w:val="en-US" w:eastAsia="zh-CN"/>
        </w:rPr>
        <w:t>具备可评估性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例如：部门整体支出绩效目标表申报表中年度主要任务包括农村产业发展，但是在年度绩效目标的指标中未体现；扣0.5分，二级指标“社会效益指标”下设三级指标“产业发展”，指标值是“提高农民人均收入”；不具备可评估性，扣0.5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rPr>
        <w:t>指标满分10分，</w:t>
      </w:r>
      <w:r>
        <w:rPr>
          <w:rFonts w:hint="eastAsia" w:ascii="仿宋_GB2312" w:eastAsia="仿宋_GB2312"/>
          <w:color w:val="auto"/>
          <w:sz w:val="32"/>
          <w:szCs w:val="32"/>
          <w:lang w:val="en-US" w:eastAsia="zh-CN"/>
        </w:rPr>
        <w:t>根据指标评价标准和公式计算，</w:t>
      </w:r>
      <w:r>
        <w:rPr>
          <w:rFonts w:hint="eastAsia" w:ascii="仿宋_GB2312" w:hAnsi="仿宋_GB2312" w:eastAsia="仿宋_GB2312" w:cs="仿宋_GB2312"/>
          <w:color w:val="auto"/>
          <w:sz w:val="32"/>
          <w:szCs w:val="32"/>
        </w:rPr>
        <w:t>得分9分。</w:t>
      </w:r>
    </w:p>
    <w:p>
      <w:pPr>
        <w:pStyle w:val="2"/>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（2）目标完成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2020年檬子乡人民政府共设置部门项目绩效目标7个，均全部完成。数量指标的完成情况详见表3-1：</w:t>
      </w:r>
    </w:p>
    <w:p>
      <w:pPr>
        <w:pStyle w:val="2"/>
        <w:jc w:val="center"/>
        <w:rPr>
          <w:rFonts w:hint="eastAsia"/>
          <w:b/>
          <w:bCs/>
          <w:sz w:val="24"/>
          <w:szCs w:val="24"/>
          <w:lang w:val="en-US" w:eastAsia="zh-CN"/>
        </w:rPr>
      </w:pPr>
      <w:r>
        <w:rPr>
          <w:b/>
          <w:bCs/>
          <w:sz w:val="24"/>
          <w:szCs w:val="24"/>
        </w:rPr>
        <w:t>表</w:t>
      </w:r>
      <w:r>
        <w:rPr>
          <w:rFonts w:hint="eastAsia"/>
          <w:b/>
          <w:bCs/>
          <w:sz w:val="24"/>
          <w:szCs w:val="24"/>
          <w:lang w:val="en-US" w:eastAsia="zh-CN"/>
        </w:rPr>
        <w:t>3</w:t>
      </w:r>
      <w:r>
        <w:rPr>
          <w:rFonts w:hint="eastAsia"/>
          <w:b/>
          <w:bCs/>
          <w:sz w:val="24"/>
          <w:szCs w:val="24"/>
        </w:rPr>
        <w:t xml:space="preserve">-1 </w:t>
      </w:r>
      <w:r>
        <w:rPr>
          <w:rFonts w:hint="eastAsia"/>
          <w:b/>
          <w:bCs/>
          <w:sz w:val="24"/>
          <w:szCs w:val="24"/>
          <w:lang w:val="en-US" w:eastAsia="zh-CN"/>
        </w:rPr>
        <w:t>2020年檬子乡人民政府绩效目标完成情况</w:t>
      </w:r>
    </w:p>
    <w:tbl>
      <w:tblPr>
        <w:tblStyle w:val="13"/>
        <w:tblpPr w:leftFromText="180" w:rightFromText="180" w:vertAnchor="text" w:horzAnchor="page" w:tblpX="1470" w:tblpY="13"/>
        <w:tblOverlap w:val="never"/>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4919"/>
        <w:gridCol w:w="1692"/>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0" w:type="dxa"/>
          </w:tcPr>
          <w:p>
            <w:pPr>
              <w:pStyle w:val="2"/>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项目名称</w:t>
            </w:r>
          </w:p>
        </w:tc>
        <w:tc>
          <w:tcPr>
            <w:tcW w:w="4919" w:type="dxa"/>
          </w:tcPr>
          <w:p>
            <w:pPr>
              <w:pStyle w:val="2"/>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项目完成指标</w:t>
            </w:r>
          </w:p>
        </w:tc>
        <w:tc>
          <w:tcPr>
            <w:tcW w:w="1692" w:type="dxa"/>
          </w:tcPr>
          <w:p>
            <w:pPr>
              <w:pStyle w:val="2"/>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实际完成情况</w:t>
            </w:r>
          </w:p>
        </w:tc>
        <w:tc>
          <w:tcPr>
            <w:tcW w:w="756" w:type="dxa"/>
          </w:tcPr>
          <w:p>
            <w:pPr>
              <w:pStyle w:val="2"/>
              <w:keepNext w:val="0"/>
              <w:keepLines w:val="0"/>
              <w:suppressLineNumbers w:val="0"/>
              <w:spacing w:before="0" w:beforeAutospacing="0" w:after="0" w:afterAutospacing="0"/>
              <w:ind w:left="0" w:right="0"/>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0" w:type="dxa"/>
            <w:vMerge w:val="restart"/>
            <w:vAlign w:val="center"/>
          </w:tcPr>
          <w:p>
            <w:pPr>
              <w:pStyle w:val="2"/>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b/>
                <w:bCs/>
                <w:sz w:val="20"/>
                <w:szCs w:val="20"/>
                <w:vertAlign w:val="baseline"/>
                <w:lang w:val="en-US" w:eastAsia="zh-CN"/>
              </w:rPr>
              <w:t>人大代表经费</w:t>
            </w: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开展乡人民代表大会≧1次，36人</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0" w:type="dxa"/>
            <w:vMerge w:val="continue"/>
            <w:vAlign w:val="center"/>
          </w:tcPr>
          <w:p>
            <w:pPr>
              <w:pStyle w:val="2"/>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开展视察、调研和执法检查≧4次</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0" w:type="dxa"/>
            <w:vMerge w:val="continue"/>
            <w:vAlign w:val="center"/>
          </w:tcPr>
          <w:p>
            <w:pPr>
              <w:pStyle w:val="2"/>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代表述职活动≧1次，36人</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0" w:type="dxa"/>
            <w:vMerge w:val="continue"/>
            <w:vAlign w:val="center"/>
          </w:tcPr>
          <w:p>
            <w:pPr>
              <w:pStyle w:val="2"/>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人大代表培训≧1次，36人</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0" w:type="dxa"/>
            <w:vAlign w:val="center"/>
          </w:tcPr>
          <w:p>
            <w:pPr>
              <w:pStyle w:val="2"/>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b/>
                <w:bCs/>
                <w:sz w:val="20"/>
                <w:szCs w:val="20"/>
                <w:vertAlign w:val="baseline"/>
                <w:lang w:val="en-US" w:eastAsia="zh-CN"/>
              </w:rPr>
              <w:t>炊事员报酬</w:t>
            </w: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临聘全职炊事管理人员1人</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0" w:type="dxa"/>
            <w:vMerge w:val="restart"/>
            <w:vAlign w:val="center"/>
          </w:tcPr>
          <w:p>
            <w:pPr>
              <w:pStyle w:val="2"/>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b/>
                <w:bCs/>
                <w:sz w:val="20"/>
                <w:szCs w:val="20"/>
                <w:vertAlign w:val="baseline"/>
                <w:lang w:val="en-US" w:eastAsia="zh-CN"/>
              </w:rPr>
              <w:t>食品药品安全工作</w:t>
            </w: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开展辖区食品安全监督检查，全年≥10次</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90" w:type="dxa"/>
            <w:vMerge w:val="continue"/>
            <w:vAlign w:val="center"/>
          </w:tcPr>
          <w:p>
            <w:pPr>
              <w:pStyle w:val="2"/>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开展辖区食品安全信息员、各流通经营单位的食品安全培训，全年≥3次</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90" w:type="dxa"/>
            <w:vAlign w:val="center"/>
          </w:tcPr>
          <w:p>
            <w:pPr>
              <w:pStyle w:val="2"/>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b/>
                <w:bCs/>
                <w:sz w:val="20"/>
                <w:szCs w:val="20"/>
                <w:vertAlign w:val="baseline"/>
                <w:lang w:val="en-US" w:eastAsia="zh-CN"/>
              </w:rPr>
              <w:t>基层武装经费</w:t>
            </w: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完成征兵数量≥2人，适龄青年100%兵役登记，完成民兵整组工作。</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0" w:type="dxa"/>
            <w:vMerge w:val="restart"/>
            <w:vAlign w:val="center"/>
          </w:tcPr>
          <w:p>
            <w:pPr>
              <w:pStyle w:val="2"/>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b/>
                <w:bCs/>
                <w:sz w:val="20"/>
                <w:szCs w:val="20"/>
                <w:vertAlign w:val="baseline"/>
                <w:lang w:val="en-US" w:eastAsia="zh-CN"/>
              </w:rPr>
              <w:t>党组织活动经费</w:t>
            </w: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中心组学习12次</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0" w:type="dxa"/>
            <w:vMerge w:val="continue"/>
            <w:vAlign w:val="center"/>
          </w:tcPr>
          <w:p>
            <w:pPr>
              <w:pStyle w:val="2"/>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发展党员4个</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0" w:type="dxa"/>
            <w:vMerge w:val="continue"/>
            <w:vAlign w:val="center"/>
          </w:tcPr>
          <w:p>
            <w:pPr>
              <w:pStyle w:val="2"/>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专题研究党建5次</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0" w:type="dxa"/>
            <w:vMerge w:val="continue"/>
            <w:vAlign w:val="center"/>
          </w:tcPr>
          <w:p>
            <w:pPr>
              <w:pStyle w:val="2"/>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整顿后进支部1个</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0" w:type="dxa"/>
            <w:vMerge w:val="restart"/>
            <w:vAlign w:val="center"/>
          </w:tcPr>
          <w:p>
            <w:pPr>
              <w:pStyle w:val="2"/>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b/>
                <w:bCs/>
                <w:sz w:val="20"/>
                <w:szCs w:val="20"/>
                <w:vertAlign w:val="baseline"/>
                <w:lang w:val="en-US" w:eastAsia="zh-CN"/>
              </w:rPr>
              <w:t>健康生活高效工作</w:t>
            </w: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举办职工运动会次数≧1次，职工参与≧20人</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0" w:type="dxa"/>
            <w:vMerge w:val="continue"/>
            <w:vAlign w:val="center"/>
          </w:tcPr>
          <w:p>
            <w:pPr>
              <w:pStyle w:val="2"/>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开展文娱活动，丰富健康生活≧2次，职工参与≧24人</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0" w:type="dxa"/>
            <w:vMerge w:val="restart"/>
            <w:vAlign w:val="center"/>
          </w:tcPr>
          <w:p>
            <w:pPr>
              <w:pStyle w:val="2"/>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b/>
                <w:bCs/>
                <w:sz w:val="20"/>
                <w:szCs w:val="20"/>
                <w:vertAlign w:val="baseline"/>
                <w:lang w:val="en-US" w:eastAsia="zh-CN"/>
              </w:rPr>
              <w:t>扫黑除恶工作经费</w:t>
            </w: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开展督查活动每半年一次</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0" w:type="dxa"/>
            <w:vMerge w:val="continue"/>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组织专题宣讲活动每季度一次</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0" w:type="dxa"/>
            <w:vMerge w:val="continue"/>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观看警示教育片每季度一次</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890" w:type="dxa"/>
            <w:vMerge w:val="continue"/>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c>
          <w:tcPr>
            <w:tcW w:w="4919"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开展联合整治活动1次</w:t>
            </w:r>
          </w:p>
        </w:tc>
        <w:tc>
          <w:tcPr>
            <w:tcW w:w="1692"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w:t>
            </w:r>
          </w:p>
        </w:tc>
        <w:tc>
          <w:tcPr>
            <w:tcW w:w="756" w:type="dxa"/>
          </w:tcPr>
          <w:p>
            <w:pPr>
              <w:pStyle w:val="2"/>
              <w:keepNext w:val="0"/>
              <w:keepLines w:val="0"/>
              <w:suppressLineNumbers w:val="0"/>
              <w:spacing w:before="0" w:beforeAutospacing="0" w:after="0" w:afterAutospacing="0"/>
              <w:ind w:left="0" w:right="0"/>
              <w:rPr>
                <w:rFonts w:hint="eastAsia" w:ascii="宋体" w:hAnsi="宋体" w:eastAsia="宋体" w:cs="宋体"/>
                <w:sz w:val="20"/>
                <w:szCs w:val="20"/>
                <w:vertAlign w:val="baseline"/>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该指标分值标准10分，根据指标评价标准和公式计算，综合参考2020年综合目标绩效考评结果，得分9.64分。</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（3）编制准确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檬子乡人民政府部门年初收入预算数为372.52万元，预算调整数为483.4万元，依据指标体系计分标准：指标得分=1-年初预算数（一上）/（财政下达数（一下）+预算调整数）基本支出资金，得出预决算偏差程度为22%。</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该指标分值标准10分，根据指标评价标准和公式计算，预决算程度偏差超过20%，不得分。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eastAsia" w:ascii="仿宋_GB2312" w:hAnsi="Times New Roman" w:eastAsia="仿宋_GB2312" w:cs="Times New Roman"/>
          <w:b/>
          <w:bCs/>
          <w:kern w:val="0"/>
          <w:sz w:val="32"/>
          <w:szCs w:val="32"/>
          <w:lang w:val="en-US" w:eastAsia="zh-CN" w:bidi="ar-SA"/>
        </w:rPr>
      </w:pPr>
      <w:r>
        <w:rPr>
          <w:rFonts w:hint="eastAsia" w:ascii="仿宋_GB2312" w:hAnsi="Times New Roman" w:eastAsia="仿宋_GB2312" w:cs="Times New Roman"/>
          <w:b/>
          <w:bCs/>
          <w:kern w:val="0"/>
          <w:sz w:val="32"/>
          <w:szCs w:val="32"/>
          <w:lang w:val="en-US" w:eastAsia="zh-CN" w:bidi="ar-SA"/>
        </w:rPr>
        <w:t>2.预算执行情况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（1）支出控制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2020年，檬子乡人民政府部门公用经费及非定额公用支出预算金额为104.3384万元，其中：日常公用经费预算数104.3384万元，项目支出中办公费、印刷费、水费、电费、物业管理费预算数分别为0万元、0万元、0万元、0万元、0万元。决算金额为117.88万元，其中：日常公用经费决算数98.13万元，项目支出中办公费、印刷费、水费、电费、物业管理费预算数分别为7.9万元、6.05万元、0.5万元、5.3万元、0万元。部门公用经费及非定额公用支出决算数与预算数的偏差程度为13%。</w:t>
      </w:r>
    </w:p>
    <w:p>
      <w:pPr>
        <w:pStyle w:val="19"/>
        <w:rPr>
          <w:rFonts w:hint="eastAsia"/>
        </w:rPr>
      </w:pPr>
      <w:r>
        <w:rPr>
          <w:rFonts w:hint="eastAsia"/>
        </w:rPr>
        <w:t>表</w:t>
      </w:r>
      <w:r>
        <w:rPr>
          <w:rFonts w:hint="eastAsia"/>
          <w:lang w:val="en-US" w:eastAsia="zh-CN"/>
        </w:rPr>
        <w:t>4-1</w:t>
      </w:r>
      <w:r>
        <w:rPr>
          <w:rFonts w:hint="eastAsia"/>
        </w:rPr>
        <w:t xml:space="preserve">  </w:t>
      </w:r>
      <w:r>
        <w:rPr>
          <w:rFonts w:hint="eastAsia"/>
          <w:lang w:val="en-US" w:eastAsia="zh-CN"/>
        </w:rPr>
        <w:t>2020</w:t>
      </w:r>
      <w:r>
        <w:t>年</w:t>
      </w:r>
      <w:r>
        <w:rPr>
          <w:rFonts w:hint="eastAsia"/>
          <w:lang w:val="en-US" w:eastAsia="zh-CN"/>
        </w:rPr>
        <w:t>檬子乡人民政府</w:t>
      </w:r>
      <w:r>
        <w:rPr>
          <w:rFonts w:hint="eastAsia"/>
        </w:rPr>
        <w:t>部门公用经费及非定额公用支出预决算情况表</w:t>
      </w:r>
    </w:p>
    <w:p>
      <w:pPr>
        <w:pStyle w:val="19"/>
        <w:rPr>
          <w:rFonts w:hint="eastAsia"/>
          <w:lang w:val="en-US" w:eastAsia="zh-CN"/>
        </w:rPr>
      </w:pPr>
      <w:r>
        <w:rPr>
          <w:rFonts w:hint="eastAsia"/>
          <w:lang w:val="en-US" w:eastAsia="zh-CN"/>
        </w:rPr>
        <w:t xml:space="preserve">                                                        单位：万元</w:t>
      </w:r>
    </w:p>
    <w:p>
      <w:pPr>
        <w:rPr>
          <w:rFonts w:hint="eastAsia"/>
          <w:lang w:val="en-US" w:eastAsia="zh-CN"/>
        </w:rPr>
      </w:pPr>
      <w:r>
        <w:rPr>
          <w:rFonts w:hint="eastAsia"/>
          <w:lang w:val="en-US" w:eastAsia="zh-CN"/>
        </w:rPr>
        <w:br w:type="page"/>
      </w:r>
    </w:p>
    <w:tbl>
      <w:tblPr>
        <w:tblStyle w:val="12"/>
        <w:tblpPr w:leftFromText="180" w:rightFromText="180" w:vertAnchor="text" w:horzAnchor="page" w:tblpX="1920" w:tblpY="372"/>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467"/>
        <w:gridCol w:w="1191"/>
        <w:gridCol w:w="983"/>
        <w:gridCol w:w="938"/>
        <w:gridCol w:w="834"/>
        <w:gridCol w:w="1282"/>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980" w:type="dxa"/>
            <w:vMerge w:val="restart"/>
          </w:tcPr>
          <w:p>
            <w:pPr>
              <w:pStyle w:val="20"/>
              <w:keepNext w:val="0"/>
              <w:keepLines w:val="0"/>
              <w:suppressLineNumbers w:val="0"/>
              <w:spacing w:before="0" w:beforeAutospacing="0" w:after="0" w:afterAutospacing="0"/>
              <w:ind w:left="0" w:right="0"/>
              <w:rPr>
                <w:color w:val="auto"/>
                <w:sz w:val="18"/>
                <w:szCs w:val="18"/>
              </w:rPr>
            </w:pPr>
          </w:p>
        </w:tc>
        <w:tc>
          <w:tcPr>
            <w:tcW w:w="1467" w:type="dxa"/>
            <w:vMerge w:val="restart"/>
          </w:tcPr>
          <w:p>
            <w:pPr>
              <w:pStyle w:val="20"/>
              <w:keepNext w:val="0"/>
              <w:keepLines w:val="0"/>
              <w:suppressLineNumbers w:val="0"/>
              <w:spacing w:before="0" w:beforeAutospacing="0" w:after="0" w:afterAutospacing="0"/>
              <w:ind w:left="0" w:right="0"/>
              <w:rPr>
                <w:rFonts w:hint="default" w:eastAsia="仿宋_GB2312"/>
                <w:b/>
                <w:color w:val="auto"/>
                <w:sz w:val="18"/>
                <w:szCs w:val="18"/>
                <w:lang w:val="en-US" w:eastAsia="zh-CN"/>
              </w:rPr>
            </w:pPr>
            <w:r>
              <w:rPr>
                <w:rFonts w:hint="eastAsia"/>
                <w:b/>
                <w:color w:val="auto"/>
                <w:sz w:val="18"/>
                <w:szCs w:val="18"/>
                <w:lang w:val="en-US" w:eastAsia="zh-CN"/>
              </w:rPr>
              <w:t>日常公用经费</w:t>
            </w:r>
          </w:p>
        </w:tc>
        <w:tc>
          <w:tcPr>
            <w:tcW w:w="5228" w:type="dxa"/>
            <w:gridSpan w:val="5"/>
          </w:tcPr>
          <w:p>
            <w:pPr>
              <w:pStyle w:val="20"/>
              <w:keepNext w:val="0"/>
              <w:keepLines w:val="0"/>
              <w:suppressLineNumbers w:val="0"/>
              <w:spacing w:before="0" w:beforeAutospacing="0" w:after="0" w:afterAutospacing="0"/>
              <w:ind w:left="0" w:right="0"/>
              <w:rPr>
                <w:rFonts w:hint="default" w:eastAsia="仿宋_GB2312"/>
                <w:b/>
                <w:bCs/>
                <w:color w:val="auto"/>
                <w:sz w:val="18"/>
                <w:szCs w:val="18"/>
                <w:lang w:val="en-US" w:eastAsia="zh-CN"/>
              </w:rPr>
            </w:pPr>
            <w:r>
              <w:rPr>
                <w:rFonts w:hint="eastAsia"/>
                <w:b/>
                <w:bCs/>
                <w:color w:val="auto"/>
                <w:sz w:val="18"/>
                <w:szCs w:val="18"/>
                <w:lang w:val="en-US" w:eastAsia="zh-CN"/>
              </w:rPr>
              <w:t>非定额公用支出</w:t>
            </w:r>
          </w:p>
        </w:tc>
        <w:tc>
          <w:tcPr>
            <w:tcW w:w="983" w:type="dxa"/>
            <w:vMerge w:val="restart"/>
          </w:tcPr>
          <w:p>
            <w:pPr>
              <w:pStyle w:val="20"/>
              <w:keepNext w:val="0"/>
              <w:keepLines w:val="0"/>
              <w:suppressLineNumbers w:val="0"/>
              <w:spacing w:before="0" w:beforeAutospacing="0" w:after="0" w:afterAutospacing="0"/>
              <w:ind w:left="0" w:right="0"/>
              <w:rPr>
                <w:rFonts w:hint="eastAsia" w:eastAsia="仿宋_GB2312"/>
                <w:b/>
                <w:bCs/>
                <w:color w:val="auto"/>
                <w:sz w:val="18"/>
                <w:szCs w:val="18"/>
                <w:lang w:val="en-US" w:eastAsia="zh-CN"/>
              </w:rPr>
            </w:pPr>
            <w:r>
              <w:rPr>
                <w:rFonts w:hint="eastAsia"/>
                <w:b/>
                <w:bCs/>
                <w:color w:val="auto"/>
                <w:sz w:val="18"/>
                <w:szCs w:val="18"/>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80" w:type="dxa"/>
            <w:vMerge w:val="continue"/>
          </w:tcPr>
          <w:p>
            <w:pPr>
              <w:pStyle w:val="20"/>
              <w:keepNext w:val="0"/>
              <w:keepLines w:val="0"/>
              <w:suppressLineNumbers w:val="0"/>
              <w:spacing w:before="0" w:beforeAutospacing="0" w:after="0" w:afterAutospacing="0"/>
              <w:ind w:left="0" w:right="0"/>
              <w:rPr>
                <w:color w:val="auto"/>
                <w:sz w:val="18"/>
                <w:szCs w:val="18"/>
              </w:rPr>
            </w:pPr>
          </w:p>
        </w:tc>
        <w:tc>
          <w:tcPr>
            <w:tcW w:w="1467" w:type="dxa"/>
            <w:vMerge w:val="continue"/>
          </w:tcPr>
          <w:p>
            <w:pPr>
              <w:pStyle w:val="20"/>
              <w:keepNext w:val="0"/>
              <w:keepLines w:val="0"/>
              <w:suppressLineNumbers w:val="0"/>
              <w:spacing w:before="0" w:beforeAutospacing="0" w:after="0" w:afterAutospacing="0"/>
              <w:ind w:left="0" w:right="0"/>
              <w:rPr>
                <w:rFonts w:hint="eastAsia" w:eastAsia="仿宋_GB2312"/>
                <w:color w:val="auto"/>
                <w:sz w:val="18"/>
                <w:szCs w:val="18"/>
                <w:lang w:val="en-US" w:eastAsia="zh-CN"/>
              </w:rPr>
            </w:pPr>
          </w:p>
        </w:tc>
        <w:tc>
          <w:tcPr>
            <w:tcW w:w="1191" w:type="dxa"/>
          </w:tcPr>
          <w:p>
            <w:pPr>
              <w:pStyle w:val="20"/>
              <w:keepNext w:val="0"/>
              <w:keepLines w:val="0"/>
              <w:suppressLineNumbers w:val="0"/>
              <w:spacing w:before="0" w:beforeAutospacing="0" w:after="0" w:afterAutospacing="0"/>
              <w:ind w:left="0" w:right="0"/>
              <w:rPr>
                <w:rFonts w:hint="default" w:eastAsia="仿宋_GB2312"/>
                <w:b/>
                <w:bCs/>
                <w:color w:val="auto"/>
                <w:sz w:val="18"/>
                <w:szCs w:val="18"/>
                <w:lang w:val="en-US" w:eastAsia="zh-CN"/>
              </w:rPr>
            </w:pPr>
            <w:r>
              <w:rPr>
                <w:rFonts w:hint="eastAsia"/>
                <w:b/>
                <w:bCs/>
                <w:color w:val="auto"/>
                <w:sz w:val="18"/>
                <w:szCs w:val="18"/>
                <w:lang w:val="en-US" w:eastAsia="zh-CN"/>
              </w:rPr>
              <w:t>办公费</w:t>
            </w:r>
          </w:p>
        </w:tc>
        <w:tc>
          <w:tcPr>
            <w:tcW w:w="983" w:type="dxa"/>
          </w:tcPr>
          <w:p>
            <w:pPr>
              <w:pStyle w:val="20"/>
              <w:keepNext w:val="0"/>
              <w:keepLines w:val="0"/>
              <w:suppressLineNumbers w:val="0"/>
              <w:spacing w:before="0" w:beforeAutospacing="0" w:after="0" w:afterAutospacing="0"/>
              <w:ind w:left="0" w:right="0"/>
              <w:rPr>
                <w:rFonts w:hint="default" w:eastAsia="仿宋_GB2312"/>
                <w:b/>
                <w:bCs/>
                <w:color w:val="auto"/>
                <w:sz w:val="18"/>
                <w:szCs w:val="18"/>
                <w:lang w:val="en-US" w:eastAsia="zh-CN"/>
              </w:rPr>
            </w:pPr>
            <w:r>
              <w:rPr>
                <w:rFonts w:hint="eastAsia"/>
                <w:b/>
                <w:bCs/>
                <w:color w:val="auto"/>
                <w:sz w:val="18"/>
                <w:szCs w:val="18"/>
                <w:lang w:val="en-US" w:eastAsia="zh-CN"/>
              </w:rPr>
              <w:t>印刷费</w:t>
            </w:r>
          </w:p>
        </w:tc>
        <w:tc>
          <w:tcPr>
            <w:tcW w:w="938" w:type="dxa"/>
          </w:tcPr>
          <w:p>
            <w:pPr>
              <w:pStyle w:val="20"/>
              <w:keepNext w:val="0"/>
              <w:keepLines w:val="0"/>
              <w:suppressLineNumbers w:val="0"/>
              <w:spacing w:before="0" w:beforeAutospacing="0" w:after="0" w:afterAutospacing="0"/>
              <w:ind w:left="0" w:right="0"/>
              <w:rPr>
                <w:rFonts w:hint="default"/>
                <w:b/>
                <w:bCs/>
                <w:color w:val="auto"/>
                <w:sz w:val="18"/>
                <w:szCs w:val="18"/>
                <w:lang w:val="en-US" w:eastAsia="zh-CN"/>
              </w:rPr>
            </w:pPr>
            <w:r>
              <w:rPr>
                <w:rFonts w:hint="eastAsia"/>
                <w:b/>
                <w:bCs/>
                <w:color w:val="auto"/>
                <w:sz w:val="18"/>
                <w:szCs w:val="18"/>
                <w:lang w:val="en-US" w:eastAsia="zh-CN"/>
              </w:rPr>
              <w:t>水费</w:t>
            </w:r>
          </w:p>
        </w:tc>
        <w:tc>
          <w:tcPr>
            <w:tcW w:w="834" w:type="dxa"/>
          </w:tcPr>
          <w:p>
            <w:pPr>
              <w:pStyle w:val="20"/>
              <w:keepNext w:val="0"/>
              <w:keepLines w:val="0"/>
              <w:suppressLineNumbers w:val="0"/>
              <w:spacing w:before="0" w:beforeAutospacing="0" w:after="0" w:afterAutospacing="0"/>
              <w:ind w:left="0" w:right="0"/>
              <w:rPr>
                <w:rFonts w:hint="default"/>
                <w:b/>
                <w:bCs/>
                <w:color w:val="auto"/>
                <w:sz w:val="18"/>
                <w:szCs w:val="18"/>
                <w:lang w:val="en-US" w:eastAsia="zh-CN"/>
              </w:rPr>
            </w:pPr>
            <w:r>
              <w:rPr>
                <w:rFonts w:hint="eastAsia"/>
                <w:b/>
                <w:bCs/>
                <w:color w:val="auto"/>
                <w:sz w:val="18"/>
                <w:szCs w:val="18"/>
                <w:lang w:val="en-US" w:eastAsia="zh-CN"/>
              </w:rPr>
              <w:t>电费</w:t>
            </w:r>
          </w:p>
        </w:tc>
        <w:tc>
          <w:tcPr>
            <w:tcW w:w="1282" w:type="dxa"/>
          </w:tcPr>
          <w:p>
            <w:pPr>
              <w:pStyle w:val="20"/>
              <w:keepNext w:val="0"/>
              <w:keepLines w:val="0"/>
              <w:suppressLineNumbers w:val="0"/>
              <w:spacing w:before="0" w:beforeAutospacing="0" w:after="0" w:afterAutospacing="0"/>
              <w:ind w:left="0" w:right="0"/>
              <w:rPr>
                <w:rFonts w:hint="default"/>
                <w:b/>
                <w:bCs/>
                <w:color w:val="auto"/>
                <w:sz w:val="18"/>
                <w:szCs w:val="18"/>
                <w:lang w:val="en-US" w:eastAsia="zh-CN"/>
              </w:rPr>
            </w:pPr>
            <w:r>
              <w:rPr>
                <w:rFonts w:hint="eastAsia"/>
                <w:b/>
                <w:bCs/>
                <w:color w:val="auto"/>
                <w:sz w:val="18"/>
                <w:szCs w:val="18"/>
                <w:lang w:val="en-US" w:eastAsia="zh-CN"/>
              </w:rPr>
              <w:t>物业管理费</w:t>
            </w:r>
          </w:p>
        </w:tc>
        <w:tc>
          <w:tcPr>
            <w:tcW w:w="983" w:type="dxa"/>
            <w:vMerge w:val="continue"/>
          </w:tcPr>
          <w:p>
            <w:pPr>
              <w:pStyle w:val="20"/>
              <w:keepNext w:val="0"/>
              <w:keepLines w:val="0"/>
              <w:suppressLineNumbers w:val="0"/>
              <w:spacing w:before="0" w:beforeAutospacing="0" w:after="0" w:afterAutospacing="0"/>
              <w:ind w:left="0" w:right="0"/>
              <w:rPr>
                <w:rFonts w:hint="eastAsia"/>
                <w:b/>
                <w:bCs/>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80" w:type="dxa"/>
          </w:tcPr>
          <w:p>
            <w:pPr>
              <w:pStyle w:val="20"/>
              <w:keepNext w:val="0"/>
              <w:keepLines w:val="0"/>
              <w:suppressLineNumbers w:val="0"/>
              <w:spacing w:before="0" w:beforeAutospacing="0" w:after="0" w:afterAutospacing="0"/>
              <w:ind w:left="0" w:right="0"/>
              <w:rPr>
                <w:rFonts w:hint="eastAsia" w:eastAsia="仿宋_GB2312"/>
                <w:color w:val="auto"/>
                <w:sz w:val="18"/>
                <w:szCs w:val="18"/>
                <w:lang w:val="en-US" w:eastAsia="zh-CN"/>
              </w:rPr>
            </w:pPr>
            <w:r>
              <w:rPr>
                <w:rFonts w:hint="eastAsia"/>
                <w:b/>
                <w:bCs w:val="0"/>
                <w:color w:val="auto"/>
                <w:sz w:val="18"/>
                <w:szCs w:val="18"/>
                <w:lang w:val="en-US" w:eastAsia="zh-CN"/>
              </w:rPr>
              <w:t>预算数</w:t>
            </w:r>
          </w:p>
        </w:tc>
        <w:tc>
          <w:tcPr>
            <w:tcW w:w="1467" w:type="dxa"/>
          </w:tcPr>
          <w:p>
            <w:pPr>
              <w:pStyle w:val="20"/>
              <w:keepNext w:val="0"/>
              <w:keepLines w:val="0"/>
              <w:suppressLineNumbers w:val="0"/>
              <w:spacing w:before="0" w:beforeAutospacing="0" w:after="0" w:afterAutospacing="0"/>
              <w:ind w:left="0" w:right="0"/>
              <w:rPr>
                <w:rFonts w:hint="default" w:eastAsia="仿宋_GB2312"/>
                <w:color w:val="auto"/>
                <w:sz w:val="18"/>
                <w:szCs w:val="18"/>
                <w:lang w:val="en-US" w:eastAsia="zh-CN"/>
              </w:rPr>
            </w:pPr>
            <w:r>
              <w:rPr>
                <w:rFonts w:hint="eastAsia"/>
                <w:color w:val="auto"/>
                <w:sz w:val="18"/>
                <w:szCs w:val="18"/>
                <w:lang w:val="en-US" w:eastAsia="zh-CN"/>
              </w:rPr>
              <w:t>104.3384</w:t>
            </w:r>
          </w:p>
        </w:tc>
        <w:tc>
          <w:tcPr>
            <w:tcW w:w="1191" w:type="dxa"/>
          </w:tcPr>
          <w:p>
            <w:pPr>
              <w:pStyle w:val="20"/>
              <w:keepNext w:val="0"/>
              <w:keepLines w:val="0"/>
              <w:suppressLineNumbers w:val="0"/>
              <w:spacing w:before="0" w:beforeAutospacing="0" w:after="0" w:afterAutospacing="0"/>
              <w:ind w:left="0" w:right="0"/>
              <w:rPr>
                <w:rFonts w:hint="default" w:eastAsia="仿宋_GB2312"/>
                <w:color w:val="auto"/>
                <w:sz w:val="18"/>
                <w:szCs w:val="18"/>
                <w:lang w:val="en-US" w:eastAsia="zh-CN"/>
              </w:rPr>
            </w:pPr>
            <w:r>
              <w:rPr>
                <w:rFonts w:hint="eastAsia"/>
                <w:color w:val="auto"/>
                <w:sz w:val="18"/>
                <w:szCs w:val="18"/>
                <w:lang w:val="en-US" w:eastAsia="zh-CN"/>
              </w:rPr>
              <w:t>0</w:t>
            </w:r>
          </w:p>
        </w:tc>
        <w:tc>
          <w:tcPr>
            <w:tcW w:w="983" w:type="dxa"/>
          </w:tcPr>
          <w:p>
            <w:pPr>
              <w:pStyle w:val="20"/>
              <w:keepNext w:val="0"/>
              <w:keepLines w:val="0"/>
              <w:suppressLineNumbers w:val="0"/>
              <w:spacing w:before="0" w:beforeAutospacing="0" w:after="0" w:afterAutospacing="0"/>
              <w:ind w:left="0" w:right="0"/>
              <w:rPr>
                <w:rFonts w:hint="default" w:eastAsia="仿宋_GB2312"/>
                <w:color w:val="auto"/>
                <w:sz w:val="18"/>
                <w:szCs w:val="18"/>
                <w:lang w:val="en-US" w:eastAsia="zh-CN"/>
              </w:rPr>
            </w:pPr>
            <w:r>
              <w:rPr>
                <w:rFonts w:hint="eastAsia"/>
                <w:color w:val="auto"/>
                <w:sz w:val="18"/>
                <w:szCs w:val="18"/>
                <w:lang w:val="en-US" w:eastAsia="zh-CN"/>
              </w:rPr>
              <w:t>0</w:t>
            </w:r>
          </w:p>
        </w:tc>
        <w:tc>
          <w:tcPr>
            <w:tcW w:w="938" w:type="dxa"/>
          </w:tcPr>
          <w:p>
            <w:pPr>
              <w:pStyle w:val="20"/>
              <w:keepNext w:val="0"/>
              <w:keepLines w:val="0"/>
              <w:suppressLineNumbers w:val="0"/>
              <w:spacing w:before="0" w:beforeAutospacing="0" w:after="0" w:afterAutospacing="0"/>
              <w:ind w:left="0" w:right="0"/>
              <w:rPr>
                <w:rFonts w:hint="default"/>
                <w:color w:val="auto"/>
                <w:sz w:val="18"/>
                <w:szCs w:val="18"/>
                <w:lang w:val="en-US" w:eastAsia="zh-CN"/>
              </w:rPr>
            </w:pPr>
            <w:r>
              <w:rPr>
                <w:rFonts w:hint="eastAsia"/>
                <w:color w:val="auto"/>
                <w:sz w:val="18"/>
                <w:szCs w:val="18"/>
                <w:lang w:val="en-US" w:eastAsia="zh-CN"/>
              </w:rPr>
              <w:t>0</w:t>
            </w:r>
          </w:p>
        </w:tc>
        <w:tc>
          <w:tcPr>
            <w:tcW w:w="834" w:type="dxa"/>
          </w:tcPr>
          <w:p>
            <w:pPr>
              <w:pStyle w:val="20"/>
              <w:keepNext w:val="0"/>
              <w:keepLines w:val="0"/>
              <w:suppressLineNumbers w:val="0"/>
              <w:spacing w:before="0" w:beforeAutospacing="0" w:after="0" w:afterAutospacing="0"/>
              <w:ind w:left="0" w:right="0"/>
              <w:rPr>
                <w:rFonts w:hint="default"/>
                <w:color w:val="auto"/>
                <w:sz w:val="18"/>
                <w:szCs w:val="18"/>
                <w:lang w:val="en-US" w:eastAsia="zh-CN"/>
              </w:rPr>
            </w:pPr>
            <w:r>
              <w:rPr>
                <w:rFonts w:hint="eastAsia"/>
                <w:color w:val="auto"/>
                <w:sz w:val="18"/>
                <w:szCs w:val="18"/>
                <w:lang w:val="en-US" w:eastAsia="zh-CN"/>
              </w:rPr>
              <w:t>0</w:t>
            </w:r>
          </w:p>
        </w:tc>
        <w:tc>
          <w:tcPr>
            <w:tcW w:w="1282" w:type="dxa"/>
          </w:tcPr>
          <w:p>
            <w:pPr>
              <w:pStyle w:val="20"/>
              <w:keepNext w:val="0"/>
              <w:keepLines w:val="0"/>
              <w:suppressLineNumbers w:val="0"/>
              <w:spacing w:before="0" w:beforeAutospacing="0" w:after="0" w:afterAutospacing="0"/>
              <w:ind w:left="0" w:right="0"/>
              <w:rPr>
                <w:rFonts w:hint="default"/>
                <w:color w:val="auto"/>
                <w:sz w:val="18"/>
                <w:szCs w:val="18"/>
                <w:lang w:val="en-US" w:eastAsia="zh-CN"/>
              </w:rPr>
            </w:pPr>
            <w:r>
              <w:rPr>
                <w:rFonts w:hint="eastAsia"/>
                <w:color w:val="auto"/>
                <w:sz w:val="18"/>
                <w:szCs w:val="18"/>
                <w:lang w:val="en-US" w:eastAsia="zh-CN"/>
              </w:rPr>
              <w:t>0</w:t>
            </w:r>
          </w:p>
        </w:tc>
        <w:tc>
          <w:tcPr>
            <w:tcW w:w="983" w:type="dxa"/>
          </w:tcPr>
          <w:p>
            <w:pPr>
              <w:pStyle w:val="20"/>
              <w:keepNext w:val="0"/>
              <w:keepLines w:val="0"/>
              <w:suppressLineNumbers w:val="0"/>
              <w:spacing w:before="0" w:beforeAutospacing="0" w:after="0" w:afterAutospacing="0"/>
              <w:ind w:left="0" w:right="0"/>
              <w:rPr>
                <w:rFonts w:hint="default"/>
                <w:color w:val="auto"/>
                <w:sz w:val="18"/>
                <w:szCs w:val="18"/>
                <w:lang w:val="en-US" w:eastAsia="zh-CN"/>
              </w:rPr>
            </w:pPr>
            <w:r>
              <w:rPr>
                <w:rFonts w:hint="eastAsia"/>
                <w:color w:val="auto"/>
                <w:sz w:val="18"/>
                <w:szCs w:val="18"/>
                <w:lang w:val="en-US" w:eastAsia="zh-CN"/>
              </w:rPr>
              <w:t>104.34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80" w:type="dxa"/>
          </w:tcPr>
          <w:p>
            <w:pPr>
              <w:pStyle w:val="20"/>
              <w:keepNext w:val="0"/>
              <w:keepLines w:val="0"/>
              <w:suppressLineNumbers w:val="0"/>
              <w:spacing w:before="0" w:beforeAutospacing="0" w:after="0" w:afterAutospacing="0"/>
              <w:ind w:left="0" w:right="0"/>
              <w:rPr>
                <w:rFonts w:hint="eastAsia" w:eastAsia="仿宋_GB2312"/>
                <w:b/>
                <w:color w:val="auto"/>
                <w:sz w:val="18"/>
                <w:szCs w:val="18"/>
                <w:lang w:val="en-US" w:eastAsia="zh-CN"/>
              </w:rPr>
            </w:pPr>
            <w:r>
              <w:rPr>
                <w:rFonts w:hint="eastAsia"/>
                <w:b/>
                <w:color w:val="auto"/>
                <w:sz w:val="18"/>
                <w:szCs w:val="18"/>
                <w:lang w:val="en-US" w:eastAsia="zh-CN"/>
              </w:rPr>
              <w:t>决算数</w:t>
            </w:r>
          </w:p>
        </w:tc>
        <w:tc>
          <w:tcPr>
            <w:tcW w:w="1467" w:type="dxa"/>
          </w:tcPr>
          <w:p>
            <w:pPr>
              <w:pStyle w:val="20"/>
              <w:keepNext w:val="0"/>
              <w:keepLines w:val="0"/>
              <w:suppressLineNumbers w:val="0"/>
              <w:spacing w:before="0" w:beforeAutospacing="0" w:after="0" w:afterAutospacing="0"/>
              <w:ind w:left="0" w:right="0"/>
              <w:rPr>
                <w:rFonts w:hint="default" w:eastAsia="仿宋_GB2312"/>
                <w:b/>
                <w:color w:val="auto"/>
                <w:sz w:val="18"/>
                <w:szCs w:val="18"/>
                <w:lang w:val="en-US" w:eastAsia="zh-CN"/>
              </w:rPr>
            </w:pPr>
            <w:r>
              <w:rPr>
                <w:rFonts w:hint="eastAsia"/>
                <w:b/>
                <w:color w:val="auto"/>
                <w:sz w:val="18"/>
                <w:szCs w:val="18"/>
                <w:lang w:val="en-US" w:eastAsia="zh-CN"/>
              </w:rPr>
              <w:t>98.13</w:t>
            </w:r>
          </w:p>
        </w:tc>
        <w:tc>
          <w:tcPr>
            <w:tcW w:w="1191" w:type="dxa"/>
          </w:tcPr>
          <w:p>
            <w:pPr>
              <w:pStyle w:val="20"/>
              <w:keepNext w:val="0"/>
              <w:keepLines w:val="0"/>
              <w:suppressLineNumbers w:val="0"/>
              <w:spacing w:before="0" w:beforeAutospacing="0" w:after="0" w:afterAutospacing="0"/>
              <w:ind w:left="0" w:right="0"/>
              <w:rPr>
                <w:rFonts w:hint="default" w:eastAsia="仿宋_GB2312"/>
                <w:b w:val="0"/>
                <w:bCs w:val="0"/>
                <w:color w:val="auto"/>
                <w:sz w:val="18"/>
                <w:szCs w:val="18"/>
                <w:lang w:val="en-US" w:eastAsia="zh-CN"/>
              </w:rPr>
            </w:pPr>
            <w:r>
              <w:rPr>
                <w:rFonts w:hint="eastAsia"/>
                <w:b w:val="0"/>
                <w:bCs w:val="0"/>
                <w:color w:val="auto"/>
                <w:sz w:val="18"/>
                <w:szCs w:val="18"/>
                <w:lang w:val="en-US" w:eastAsia="zh-CN"/>
              </w:rPr>
              <w:t>7.9</w:t>
            </w:r>
          </w:p>
        </w:tc>
        <w:tc>
          <w:tcPr>
            <w:tcW w:w="983" w:type="dxa"/>
          </w:tcPr>
          <w:p>
            <w:pPr>
              <w:pStyle w:val="20"/>
              <w:keepNext w:val="0"/>
              <w:keepLines w:val="0"/>
              <w:suppressLineNumbers w:val="0"/>
              <w:spacing w:before="0" w:beforeAutospacing="0" w:after="0" w:afterAutospacing="0"/>
              <w:ind w:left="0" w:right="0"/>
              <w:rPr>
                <w:rFonts w:hint="default" w:eastAsia="仿宋_GB2312"/>
                <w:b w:val="0"/>
                <w:bCs w:val="0"/>
                <w:color w:val="auto"/>
                <w:sz w:val="18"/>
                <w:szCs w:val="18"/>
                <w:lang w:val="en-US" w:eastAsia="zh-CN"/>
              </w:rPr>
            </w:pPr>
            <w:r>
              <w:rPr>
                <w:rFonts w:hint="eastAsia"/>
                <w:b w:val="0"/>
                <w:bCs w:val="0"/>
                <w:color w:val="auto"/>
                <w:sz w:val="18"/>
                <w:szCs w:val="18"/>
                <w:lang w:val="en-US" w:eastAsia="zh-CN"/>
              </w:rPr>
              <w:t>6.05</w:t>
            </w:r>
          </w:p>
        </w:tc>
        <w:tc>
          <w:tcPr>
            <w:tcW w:w="938" w:type="dxa"/>
          </w:tcPr>
          <w:p>
            <w:pPr>
              <w:pStyle w:val="20"/>
              <w:keepNext w:val="0"/>
              <w:keepLines w:val="0"/>
              <w:suppressLineNumbers w:val="0"/>
              <w:spacing w:before="0" w:beforeAutospacing="0" w:after="0" w:afterAutospacing="0"/>
              <w:ind w:left="0" w:right="0"/>
              <w:rPr>
                <w:rFonts w:hint="default"/>
                <w:b w:val="0"/>
                <w:bCs w:val="0"/>
                <w:color w:val="auto"/>
                <w:sz w:val="18"/>
                <w:szCs w:val="18"/>
                <w:lang w:val="en-US" w:eastAsia="zh-CN"/>
              </w:rPr>
            </w:pPr>
            <w:r>
              <w:rPr>
                <w:rFonts w:hint="eastAsia"/>
                <w:b w:val="0"/>
                <w:bCs w:val="0"/>
                <w:color w:val="auto"/>
                <w:sz w:val="18"/>
                <w:szCs w:val="18"/>
                <w:lang w:val="en-US" w:eastAsia="zh-CN"/>
              </w:rPr>
              <w:t>0.5</w:t>
            </w:r>
          </w:p>
        </w:tc>
        <w:tc>
          <w:tcPr>
            <w:tcW w:w="834" w:type="dxa"/>
          </w:tcPr>
          <w:p>
            <w:pPr>
              <w:pStyle w:val="20"/>
              <w:keepNext w:val="0"/>
              <w:keepLines w:val="0"/>
              <w:suppressLineNumbers w:val="0"/>
              <w:spacing w:before="0" w:beforeAutospacing="0" w:after="0" w:afterAutospacing="0"/>
              <w:ind w:left="0" w:right="0"/>
              <w:rPr>
                <w:rFonts w:hint="default"/>
                <w:b w:val="0"/>
                <w:bCs w:val="0"/>
                <w:color w:val="auto"/>
                <w:sz w:val="18"/>
                <w:szCs w:val="18"/>
                <w:lang w:val="en-US" w:eastAsia="zh-CN"/>
              </w:rPr>
            </w:pPr>
            <w:r>
              <w:rPr>
                <w:rFonts w:hint="eastAsia"/>
                <w:b w:val="0"/>
                <w:bCs w:val="0"/>
                <w:color w:val="auto"/>
                <w:sz w:val="18"/>
                <w:szCs w:val="18"/>
                <w:lang w:val="en-US" w:eastAsia="zh-CN"/>
              </w:rPr>
              <w:t>5.3</w:t>
            </w:r>
          </w:p>
        </w:tc>
        <w:tc>
          <w:tcPr>
            <w:tcW w:w="1282" w:type="dxa"/>
          </w:tcPr>
          <w:p>
            <w:pPr>
              <w:pStyle w:val="20"/>
              <w:keepNext w:val="0"/>
              <w:keepLines w:val="0"/>
              <w:suppressLineNumbers w:val="0"/>
              <w:spacing w:before="0" w:beforeAutospacing="0" w:after="0" w:afterAutospacing="0"/>
              <w:ind w:left="0" w:right="0"/>
              <w:rPr>
                <w:rFonts w:hint="default"/>
                <w:b w:val="0"/>
                <w:bCs w:val="0"/>
                <w:color w:val="auto"/>
                <w:sz w:val="18"/>
                <w:szCs w:val="18"/>
                <w:lang w:val="en-US" w:eastAsia="zh-CN"/>
              </w:rPr>
            </w:pPr>
            <w:r>
              <w:rPr>
                <w:rFonts w:hint="eastAsia"/>
                <w:b w:val="0"/>
                <w:bCs w:val="0"/>
                <w:color w:val="auto"/>
                <w:sz w:val="18"/>
                <w:szCs w:val="18"/>
                <w:lang w:val="en-US" w:eastAsia="zh-CN"/>
              </w:rPr>
              <w:t>0</w:t>
            </w:r>
          </w:p>
        </w:tc>
        <w:tc>
          <w:tcPr>
            <w:tcW w:w="983" w:type="dxa"/>
          </w:tcPr>
          <w:p>
            <w:pPr>
              <w:pStyle w:val="20"/>
              <w:keepNext w:val="0"/>
              <w:keepLines w:val="0"/>
              <w:suppressLineNumbers w:val="0"/>
              <w:spacing w:before="0" w:beforeAutospacing="0" w:after="0" w:afterAutospacing="0"/>
              <w:ind w:left="0" w:right="0"/>
              <w:rPr>
                <w:rFonts w:hint="default"/>
                <w:b/>
                <w:color w:val="auto"/>
                <w:sz w:val="18"/>
                <w:szCs w:val="18"/>
                <w:lang w:val="en-US" w:eastAsia="zh-CN"/>
              </w:rPr>
            </w:pPr>
            <w:r>
              <w:rPr>
                <w:rFonts w:hint="eastAsia"/>
                <w:b/>
                <w:color w:val="auto"/>
                <w:sz w:val="18"/>
                <w:szCs w:val="18"/>
                <w:lang w:val="en-US" w:eastAsia="zh-CN"/>
              </w:rPr>
              <w:t>117.88</w:t>
            </w:r>
          </w:p>
        </w:tc>
      </w:tr>
    </w:tbl>
    <w:p>
      <w:pPr>
        <w:pStyle w:val="19"/>
        <w:jc w:val="right"/>
      </w:pPr>
    </w:p>
    <w:p>
      <w:pPr>
        <w:pStyle w:val="19"/>
        <w:jc w:val="right"/>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该指标分值标准10分，根据指标评价标准和公式计算，预决算偏差程度在10%~20%，得3分。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（2）动态调整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2020年，檬子乡人民政府绩效监控调整取消额为0元，预算结余注销额为0万元。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该指标分值标准10分，根据指标评价标准和公式计算，得分10分。</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（3）执行进度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eastAsia="仿宋_GB2312"/>
          <w:color w:val="0000FF"/>
          <w:sz w:val="32"/>
          <w:szCs w:val="32"/>
          <w:lang w:val="en-US" w:eastAsia="zh-CN"/>
        </w:rPr>
      </w:pPr>
      <w:r>
        <w:rPr>
          <w:rFonts w:hint="eastAsia" w:ascii="仿宋_GB2312" w:eastAsia="仿宋_GB2312"/>
          <w:color w:val="auto"/>
          <w:sz w:val="32"/>
          <w:szCs w:val="32"/>
          <w:lang w:val="en-US" w:eastAsia="zh-CN"/>
        </w:rPr>
        <w:t>根据《旺苍县2021年度部门整体支出绩效评价指标体系》，部门预算执行进度在6、9、11月应达到序时进度的 80%、90%、90%，即实际支出进度分别达到40%、67.5%、82.5%。檬子乡人民政府2020年1-6月预算数408.17万元，执行数134万元，执行进度32.8%；1-9月预算数445.51万元，执行数246.9万元，执行进度55.4%；1-11月预算数445.51万元，执行数283.9万元，执行进度63.7%。各阶段预算执行进度均未达到目标要求。</w:t>
      </w:r>
    </w:p>
    <w:p>
      <w:pPr>
        <w:pStyle w:val="19"/>
        <w:rPr>
          <w:rFonts w:hint="eastAsia"/>
        </w:rPr>
      </w:pPr>
      <w:r>
        <w:rPr>
          <w:rFonts w:hint="eastAsia"/>
        </w:rPr>
        <w:t>表</w:t>
      </w:r>
      <w:r>
        <w:rPr>
          <w:rFonts w:hint="eastAsia"/>
          <w:lang w:val="en-US" w:eastAsia="zh-CN"/>
        </w:rPr>
        <w:t>4-2</w:t>
      </w:r>
      <w:r>
        <w:rPr>
          <w:rFonts w:hint="eastAsia"/>
        </w:rPr>
        <w:t xml:space="preserve">  </w:t>
      </w:r>
      <w:r>
        <w:rPr>
          <w:rFonts w:hint="eastAsia"/>
          <w:lang w:val="en-US" w:eastAsia="zh-CN"/>
        </w:rPr>
        <w:t>2020</w:t>
      </w:r>
      <w:r>
        <w:t>年</w:t>
      </w:r>
      <w:r>
        <w:rPr>
          <w:rFonts w:hint="eastAsia"/>
          <w:lang w:val="en-US" w:eastAsia="zh-CN"/>
        </w:rPr>
        <w:t>檬子乡人民政府</w:t>
      </w:r>
      <w:r>
        <w:rPr>
          <w:rFonts w:hint="eastAsia"/>
        </w:rPr>
        <w:t>部门</w:t>
      </w:r>
      <w:r>
        <w:rPr>
          <w:rFonts w:hint="eastAsia"/>
          <w:lang w:val="en-US" w:eastAsia="zh-CN"/>
        </w:rPr>
        <w:t>预算执行进度</w:t>
      </w:r>
      <w:r>
        <w:rPr>
          <w:rFonts w:hint="eastAsia"/>
        </w:rPr>
        <w:t>表</w:t>
      </w:r>
    </w:p>
    <w:p>
      <w:pPr>
        <w:pStyle w:val="19"/>
        <w:jc w:val="right"/>
        <w:rPr>
          <w:rFonts w:hint="eastAsia"/>
        </w:rPr>
      </w:pPr>
      <w:r>
        <w:rPr>
          <w:rFonts w:hint="eastAsia"/>
        </w:rPr>
        <w:t>单位</w:t>
      </w:r>
      <w:r>
        <w:t>：万元</w:t>
      </w:r>
    </w:p>
    <w:tbl>
      <w:tblPr>
        <w:tblStyle w:val="12"/>
        <w:tblpPr w:leftFromText="180" w:rightFromText="180" w:vertAnchor="text" w:horzAnchor="page" w:tblpX="2114" w:tblpY="64"/>
        <w:tblOverlap w:val="never"/>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216"/>
        <w:gridCol w:w="2216"/>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51" w:type="dxa"/>
            <w:vAlign w:val="center"/>
          </w:tcPr>
          <w:p>
            <w:pPr>
              <w:pStyle w:val="20"/>
              <w:keepNext w:val="0"/>
              <w:keepLines w:val="0"/>
              <w:suppressLineNumbers w:val="0"/>
              <w:spacing w:before="0" w:beforeAutospacing="0" w:after="0" w:afterAutospacing="0"/>
              <w:ind w:left="0" w:right="0"/>
              <w:jc w:val="center"/>
              <w:rPr>
                <w:rFonts w:hint="eastAsia" w:eastAsia="仿宋_GB2312"/>
                <w:b/>
                <w:bCs w:val="0"/>
                <w:color w:val="auto"/>
                <w:lang w:val="en-US" w:eastAsia="zh-CN"/>
              </w:rPr>
            </w:pPr>
            <w:r>
              <w:rPr>
                <w:rFonts w:hint="eastAsia"/>
                <w:b/>
                <w:bCs w:val="0"/>
                <w:color w:val="auto"/>
                <w:lang w:val="en-US" w:eastAsia="zh-CN"/>
              </w:rPr>
              <w:t>月份</w:t>
            </w:r>
          </w:p>
        </w:tc>
        <w:tc>
          <w:tcPr>
            <w:tcW w:w="2216" w:type="dxa"/>
            <w:vAlign w:val="center"/>
          </w:tcPr>
          <w:p>
            <w:pPr>
              <w:pStyle w:val="20"/>
              <w:keepNext w:val="0"/>
              <w:keepLines w:val="0"/>
              <w:suppressLineNumbers w:val="0"/>
              <w:spacing w:before="0" w:beforeAutospacing="0" w:after="0" w:afterAutospacing="0"/>
              <w:ind w:left="0" w:right="0"/>
              <w:jc w:val="center"/>
              <w:rPr>
                <w:rFonts w:hint="default" w:eastAsia="仿宋_GB2312"/>
                <w:b/>
                <w:bCs w:val="0"/>
                <w:color w:val="auto"/>
                <w:lang w:val="en-US" w:eastAsia="zh-CN"/>
              </w:rPr>
            </w:pPr>
            <w:r>
              <w:rPr>
                <w:rFonts w:hint="eastAsia"/>
                <w:b/>
                <w:bCs w:val="0"/>
                <w:color w:val="auto"/>
                <w:lang w:val="en-US" w:eastAsia="zh-CN"/>
              </w:rPr>
              <w:t>预算数</w:t>
            </w:r>
          </w:p>
        </w:tc>
        <w:tc>
          <w:tcPr>
            <w:tcW w:w="2216" w:type="dxa"/>
            <w:vAlign w:val="center"/>
          </w:tcPr>
          <w:p>
            <w:pPr>
              <w:pStyle w:val="20"/>
              <w:keepNext w:val="0"/>
              <w:keepLines w:val="0"/>
              <w:suppressLineNumbers w:val="0"/>
              <w:spacing w:before="0" w:beforeAutospacing="0" w:after="0" w:afterAutospacing="0"/>
              <w:ind w:left="0" w:right="0"/>
              <w:jc w:val="center"/>
              <w:rPr>
                <w:rFonts w:hint="default" w:eastAsia="仿宋_GB2312"/>
                <w:b/>
                <w:bCs w:val="0"/>
                <w:color w:val="auto"/>
                <w:lang w:val="en-US" w:eastAsia="zh-CN"/>
              </w:rPr>
            </w:pPr>
            <w:r>
              <w:rPr>
                <w:rFonts w:hint="eastAsia"/>
                <w:b/>
                <w:bCs w:val="0"/>
                <w:color w:val="auto"/>
                <w:lang w:val="en-US" w:eastAsia="zh-CN"/>
              </w:rPr>
              <w:t>执行数</w:t>
            </w:r>
          </w:p>
        </w:tc>
        <w:tc>
          <w:tcPr>
            <w:tcW w:w="2216" w:type="dxa"/>
            <w:vAlign w:val="center"/>
          </w:tcPr>
          <w:p>
            <w:pPr>
              <w:pStyle w:val="20"/>
              <w:keepNext w:val="0"/>
              <w:keepLines w:val="0"/>
              <w:suppressLineNumbers w:val="0"/>
              <w:spacing w:before="0" w:beforeAutospacing="0" w:after="0" w:afterAutospacing="0"/>
              <w:ind w:left="0" w:right="0"/>
              <w:jc w:val="center"/>
              <w:rPr>
                <w:rFonts w:hint="default"/>
                <w:b/>
                <w:bCs w:val="0"/>
                <w:color w:val="auto"/>
                <w:lang w:val="en-US" w:eastAsia="zh-CN"/>
              </w:rPr>
            </w:pPr>
            <w:r>
              <w:rPr>
                <w:rFonts w:hint="eastAsia"/>
                <w:b/>
                <w:bCs w:val="0"/>
                <w:color w:val="auto"/>
                <w:lang w:val="en-US" w:eastAsia="zh-CN"/>
              </w:rPr>
              <w:t>实际支付进度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51" w:type="dxa"/>
            <w:vAlign w:val="center"/>
          </w:tcPr>
          <w:p>
            <w:pPr>
              <w:pStyle w:val="20"/>
              <w:keepNext w:val="0"/>
              <w:keepLines w:val="0"/>
              <w:suppressLineNumbers w:val="0"/>
              <w:spacing w:before="0" w:beforeAutospacing="0" w:after="0" w:afterAutospacing="0"/>
              <w:ind w:left="0" w:right="0"/>
              <w:jc w:val="center"/>
              <w:rPr>
                <w:rFonts w:hint="default" w:eastAsia="仿宋_GB2312"/>
                <w:b/>
                <w:bCs w:val="0"/>
                <w:color w:val="auto"/>
                <w:lang w:val="en-US" w:eastAsia="zh-CN"/>
              </w:rPr>
            </w:pPr>
            <w:r>
              <w:rPr>
                <w:rFonts w:hint="eastAsia"/>
                <w:b/>
                <w:bCs w:val="0"/>
                <w:color w:val="auto"/>
                <w:lang w:val="en-US" w:eastAsia="zh-CN"/>
              </w:rPr>
              <w:t>1-6月</w:t>
            </w:r>
          </w:p>
        </w:tc>
        <w:tc>
          <w:tcPr>
            <w:tcW w:w="2216" w:type="dxa"/>
            <w:vAlign w:val="center"/>
          </w:tcPr>
          <w:p>
            <w:pPr>
              <w:pStyle w:val="20"/>
              <w:keepNext w:val="0"/>
              <w:keepLines w:val="0"/>
              <w:suppressLineNumbers w:val="0"/>
              <w:spacing w:before="0" w:beforeAutospacing="0" w:after="0" w:afterAutospacing="0"/>
              <w:ind w:left="0" w:right="0"/>
              <w:jc w:val="center"/>
              <w:rPr>
                <w:rFonts w:hint="default" w:eastAsia="仿宋_GB2312"/>
                <w:b w:val="0"/>
                <w:bCs/>
                <w:color w:val="auto"/>
                <w:lang w:val="en-US" w:eastAsia="zh-CN"/>
              </w:rPr>
            </w:pPr>
            <w:r>
              <w:rPr>
                <w:rFonts w:hint="eastAsia"/>
                <w:b w:val="0"/>
                <w:bCs/>
                <w:color w:val="auto"/>
                <w:lang w:val="en-US" w:eastAsia="zh-CN"/>
              </w:rPr>
              <w:t>408.17</w:t>
            </w:r>
          </w:p>
        </w:tc>
        <w:tc>
          <w:tcPr>
            <w:tcW w:w="2216" w:type="dxa"/>
            <w:vAlign w:val="center"/>
          </w:tcPr>
          <w:p>
            <w:pPr>
              <w:pStyle w:val="20"/>
              <w:keepNext w:val="0"/>
              <w:keepLines w:val="0"/>
              <w:suppressLineNumbers w:val="0"/>
              <w:spacing w:before="0" w:beforeAutospacing="0" w:after="0" w:afterAutospacing="0"/>
              <w:ind w:left="0" w:right="0"/>
              <w:jc w:val="center"/>
              <w:rPr>
                <w:rFonts w:hint="default" w:eastAsia="仿宋_GB2312"/>
                <w:b w:val="0"/>
                <w:bCs/>
                <w:color w:val="auto"/>
                <w:lang w:val="en-US" w:eastAsia="zh-CN"/>
              </w:rPr>
            </w:pPr>
            <w:r>
              <w:rPr>
                <w:rFonts w:hint="eastAsia"/>
                <w:b w:val="0"/>
                <w:bCs/>
                <w:color w:val="auto"/>
                <w:lang w:val="en-US" w:eastAsia="zh-CN"/>
              </w:rPr>
              <w:t>134</w:t>
            </w:r>
          </w:p>
        </w:tc>
        <w:tc>
          <w:tcPr>
            <w:tcW w:w="2216" w:type="dxa"/>
            <w:vAlign w:val="center"/>
          </w:tcPr>
          <w:p>
            <w:pPr>
              <w:pStyle w:val="20"/>
              <w:keepNext w:val="0"/>
              <w:keepLines w:val="0"/>
              <w:suppressLineNumbers w:val="0"/>
              <w:spacing w:before="0" w:beforeAutospacing="0" w:after="0" w:afterAutospacing="0"/>
              <w:ind w:left="0" w:right="0"/>
              <w:jc w:val="center"/>
              <w:rPr>
                <w:rFonts w:hint="default"/>
                <w:b w:val="0"/>
                <w:bCs/>
                <w:color w:val="auto"/>
                <w:lang w:val="en-US" w:eastAsia="zh-CN"/>
              </w:rPr>
            </w:pPr>
            <w:r>
              <w:rPr>
                <w:rFonts w:hint="eastAsia"/>
                <w:b w:val="0"/>
                <w:bCs/>
                <w:color w:val="auto"/>
                <w:lang w:val="en-US" w:eastAsia="zh-CN"/>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51" w:type="dxa"/>
            <w:vAlign w:val="center"/>
          </w:tcPr>
          <w:p>
            <w:pPr>
              <w:pStyle w:val="20"/>
              <w:keepNext w:val="0"/>
              <w:keepLines w:val="0"/>
              <w:suppressLineNumbers w:val="0"/>
              <w:spacing w:before="0" w:beforeAutospacing="0" w:after="0" w:afterAutospacing="0"/>
              <w:ind w:left="0" w:right="0"/>
              <w:jc w:val="center"/>
              <w:rPr>
                <w:rFonts w:hint="default"/>
                <w:b/>
                <w:bCs w:val="0"/>
                <w:color w:val="auto"/>
                <w:lang w:val="en-US" w:eastAsia="zh-CN"/>
              </w:rPr>
            </w:pPr>
            <w:r>
              <w:rPr>
                <w:rFonts w:hint="eastAsia"/>
                <w:b/>
                <w:bCs w:val="0"/>
                <w:color w:val="auto"/>
                <w:lang w:val="en-US" w:eastAsia="zh-CN"/>
              </w:rPr>
              <w:t>1-9月</w:t>
            </w:r>
          </w:p>
        </w:tc>
        <w:tc>
          <w:tcPr>
            <w:tcW w:w="2216" w:type="dxa"/>
            <w:vAlign w:val="center"/>
          </w:tcPr>
          <w:p>
            <w:pPr>
              <w:pStyle w:val="20"/>
              <w:keepNext w:val="0"/>
              <w:keepLines w:val="0"/>
              <w:suppressLineNumbers w:val="0"/>
              <w:spacing w:before="0" w:beforeAutospacing="0" w:after="0" w:afterAutospacing="0"/>
              <w:ind w:left="0" w:right="0"/>
              <w:jc w:val="center"/>
              <w:rPr>
                <w:rFonts w:hint="default"/>
                <w:b w:val="0"/>
                <w:bCs/>
                <w:color w:val="auto"/>
                <w:lang w:val="en-US" w:eastAsia="zh-CN"/>
              </w:rPr>
            </w:pPr>
            <w:r>
              <w:rPr>
                <w:rFonts w:hint="eastAsia"/>
                <w:b w:val="0"/>
                <w:bCs/>
                <w:color w:val="auto"/>
                <w:lang w:val="en-US" w:eastAsia="zh-CN"/>
              </w:rPr>
              <w:t>445.51</w:t>
            </w:r>
          </w:p>
        </w:tc>
        <w:tc>
          <w:tcPr>
            <w:tcW w:w="2216" w:type="dxa"/>
            <w:vAlign w:val="center"/>
          </w:tcPr>
          <w:p>
            <w:pPr>
              <w:pStyle w:val="20"/>
              <w:keepNext w:val="0"/>
              <w:keepLines w:val="0"/>
              <w:suppressLineNumbers w:val="0"/>
              <w:spacing w:before="0" w:beforeAutospacing="0" w:after="0" w:afterAutospacing="0"/>
              <w:ind w:left="0" w:right="0"/>
              <w:jc w:val="center"/>
              <w:rPr>
                <w:rFonts w:hint="default"/>
                <w:b w:val="0"/>
                <w:bCs/>
                <w:color w:val="auto"/>
                <w:lang w:val="en-US" w:eastAsia="zh-CN"/>
              </w:rPr>
            </w:pPr>
            <w:r>
              <w:rPr>
                <w:rFonts w:hint="eastAsia"/>
                <w:b w:val="0"/>
                <w:bCs/>
                <w:color w:val="auto"/>
                <w:lang w:val="en-US" w:eastAsia="zh-CN"/>
              </w:rPr>
              <w:t>246.9</w:t>
            </w:r>
          </w:p>
        </w:tc>
        <w:tc>
          <w:tcPr>
            <w:tcW w:w="2216" w:type="dxa"/>
            <w:vAlign w:val="center"/>
          </w:tcPr>
          <w:p>
            <w:pPr>
              <w:pStyle w:val="20"/>
              <w:keepNext w:val="0"/>
              <w:keepLines w:val="0"/>
              <w:suppressLineNumbers w:val="0"/>
              <w:spacing w:before="0" w:beforeAutospacing="0" w:after="0" w:afterAutospacing="0"/>
              <w:ind w:left="0" w:right="0"/>
              <w:jc w:val="center"/>
              <w:rPr>
                <w:rFonts w:hint="default"/>
                <w:b w:val="0"/>
                <w:bCs/>
                <w:color w:val="auto"/>
                <w:lang w:val="en-US" w:eastAsia="zh-CN"/>
              </w:rPr>
            </w:pPr>
            <w:r>
              <w:rPr>
                <w:rFonts w:hint="eastAsia"/>
                <w:b w:val="0"/>
                <w:bCs/>
                <w:color w:val="auto"/>
                <w:lang w:val="en-US" w:eastAsia="zh-CN"/>
              </w:rPr>
              <w:t>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51" w:type="dxa"/>
            <w:vAlign w:val="center"/>
          </w:tcPr>
          <w:p>
            <w:pPr>
              <w:pStyle w:val="20"/>
              <w:keepNext w:val="0"/>
              <w:keepLines w:val="0"/>
              <w:suppressLineNumbers w:val="0"/>
              <w:spacing w:before="0" w:beforeAutospacing="0" w:after="0" w:afterAutospacing="0"/>
              <w:ind w:left="0" w:right="0"/>
              <w:jc w:val="center"/>
              <w:rPr>
                <w:rFonts w:hint="default"/>
                <w:b/>
                <w:bCs w:val="0"/>
                <w:color w:val="auto"/>
                <w:lang w:val="en-US" w:eastAsia="zh-CN"/>
              </w:rPr>
            </w:pPr>
            <w:r>
              <w:rPr>
                <w:rFonts w:hint="eastAsia"/>
                <w:b/>
                <w:bCs w:val="0"/>
                <w:color w:val="auto"/>
                <w:lang w:val="en-US" w:eastAsia="zh-CN"/>
              </w:rPr>
              <w:t>1-11月</w:t>
            </w:r>
          </w:p>
        </w:tc>
        <w:tc>
          <w:tcPr>
            <w:tcW w:w="2216" w:type="dxa"/>
            <w:vAlign w:val="center"/>
          </w:tcPr>
          <w:p>
            <w:pPr>
              <w:pStyle w:val="20"/>
              <w:keepNext w:val="0"/>
              <w:keepLines w:val="0"/>
              <w:suppressLineNumbers w:val="0"/>
              <w:spacing w:before="0" w:beforeAutospacing="0" w:after="0" w:afterAutospacing="0"/>
              <w:ind w:left="0" w:right="0"/>
              <w:jc w:val="center"/>
              <w:rPr>
                <w:rFonts w:hint="default"/>
                <w:b w:val="0"/>
                <w:bCs/>
                <w:color w:val="auto"/>
                <w:lang w:val="en-US" w:eastAsia="zh-CN"/>
              </w:rPr>
            </w:pPr>
            <w:r>
              <w:rPr>
                <w:rFonts w:hint="eastAsia"/>
                <w:b w:val="0"/>
                <w:bCs/>
                <w:color w:val="auto"/>
                <w:lang w:val="en-US" w:eastAsia="zh-CN"/>
              </w:rPr>
              <w:t>445.51</w:t>
            </w:r>
          </w:p>
        </w:tc>
        <w:tc>
          <w:tcPr>
            <w:tcW w:w="2216" w:type="dxa"/>
            <w:vAlign w:val="center"/>
          </w:tcPr>
          <w:p>
            <w:pPr>
              <w:pStyle w:val="20"/>
              <w:keepNext w:val="0"/>
              <w:keepLines w:val="0"/>
              <w:suppressLineNumbers w:val="0"/>
              <w:spacing w:before="0" w:beforeAutospacing="0" w:after="0" w:afterAutospacing="0"/>
              <w:ind w:left="0" w:right="0"/>
              <w:jc w:val="center"/>
              <w:rPr>
                <w:rFonts w:hint="default"/>
                <w:b w:val="0"/>
                <w:bCs/>
                <w:color w:val="auto"/>
                <w:lang w:val="en-US" w:eastAsia="zh-CN"/>
              </w:rPr>
            </w:pPr>
            <w:r>
              <w:rPr>
                <w:rFonts w:hint="eastAsia"/>
                <w:b w:val="0"/>
                <w:bCs/>
                <w:color w:val="auto"/>
                <w:lang w:val="en-US" w:eastAsia="zh-CN"/>
              </w:rPr>
              <w:t>283.9</w:t>
            </w:r>
          </w:p>
        </w:tc>
        <w:tc>
          <w:tcPr>
            <w:tcW w:w="2216" w:type="dxa"/>
            <w:vAlign w:val="center"/>
          </w:tcPr>
          <w:p>
            <w:pPr>
              <w:pStyle w:val="20"/>
              <w:keepNext w:val="0"/>
              <w:keepLines w:val="0"/>
              <w:suppressLineNumbers w:val="0"/>
              <w:spacing w:before="0" w:beforeAutospacing="0" w:after="0" w:afterAutospacing="0"/>
              <w:ind w:left="0" w:right="0"/>
              <w:jc w:val="center"/>
              <w:rPr>
                <w:rFonts w:hint="default"/>
                <w:b w:val="0"/>
                <w:bCs/>
                <w:color w:val="auto"/>
                <w:lang w:val="en-US" w:eastAsia="zh-CN"/>
              </w:rPr>
            </w:pPr>
            <w:r>
              <w:rPr>
                <w:rFonts w:hint="eastAsia"/>
                <w:b w:val="0"/>
                <w:bCs/>
                <w:color w:val="auto"/>
                <w:lang w:val="en-US" w:eastAsia="zh-CN"/>
              </w:rPr>
              <w:t>63.7%</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该指标分值标准10分，根据指标评价标准和公式计算，得分8.06分。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eastAsia" w:ascii="仿宋_GB2312" w:hAnsi="Times New Roman" w:eastAsia="仿宋_GB2312" w:cs="Times New Roman"/>
          <w:b/>
          <w:bCs/>
          <w:kern w:val="0"/>
          <w:sz w:val="32"/>
          <w:szCs w:val="32"/>
          <w:lang w:val="en-US" w:eastAsia="zh-CN" w:bidi="ar-SA"/>
        </w:rPr>
      </w:pPr>
      <w:r>
        <w:rPr>
          <w:rFonts w:hint="eastAsia" w:ascii="仿宋_GB2312" w:hAnsi="Times New Roman" w:eastAsia="仿宋_GB2312" w:cs="Times New Roman"/>
          <w:b/>
          <w:bCs/>
          <w:kern w:val="0"/>
          <w:sz w:val="32"/>
          <w:szCs w:val="32"/>
          <w:lang w:val="en-US" w:eastAsia="zh-CN" w:bidi="ar-SA"/>
        </w:rPr>
        <w:t>3.完成结果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（1）预算完成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right="0" w:rightChars="0"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檬子乡人民政府2020年部门财政收入预算559.55万元，全年实际执行474.17万元，执行进度84.7%。</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right="0" w:rightChars="0" w:firstLine="640" w:firstLineChars="200"/>
        <w:jc w:val="both"/>
        <w:textAlignment w:val="auto"/>
        <w:outlineLvl w:val="9"/>
        <w:rPr>
          <w:rFonts w:hint="eastAsia"/>
          <w:color w:val="auto"/>
          <w:sz w:val="32"/>
          <w:szCs w:val="32"/>
          <w:lang w:val="en-US" w:eastAsia="zh-CN"/>
        </w:rPr>
      </w:pPr>
      <w:r>
        <w:rPr>
          <w:rFonts w:hint="eastAsia" w:ascii="仿宋_GB2312" w:eastAsia="仿宋_GB2312"/>
          <w:sz w:val="32"/>
          <w:szCs w:val="32"/>
          <w:lang w:val="en-US" w:eastAsia="zh-CN"/>
        </w:rPr>
        <w:t>该指标分值标准10分，根据指标评价标准和公式计算，得分</w:t>
      </w:r>
      <w:r>
        <w:rPr>
          <w:rFonts w:hint="eastAsia"/>
          <w:sz w:val="32"/>
          <w:szCs w:val="32"/>
          <w:lang w:val="en-US" w:eastAsia="zh-CN"/>
        </w:rPr>
        <w:t>8.47</w:t>
      </w:r>
      <w:r>
        <w:rPr>
          <w:rFonts w:hint="eastAsia" w:ascii="仿宋_GB2312" w:eastAsia="仿宋_GB2312"/>
          <w:color w:val="auto"/>
          <w:sz w:val="32"/>
          <w:szCs w:val="32"/>
          <w:lang w:val="en-US" w:eastAsia="zh-CN"/>
        </w:rPr>
        <w:t>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right="0" w:rightChars="0"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 xml:space="preserve">（2）违规记录 </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right="0" w:rightChars="0"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依据《旺苍县财政局关于开展“三公”经费、违纪违规乱发钱物等专项检查的通知》（旺财办〔2020〕23号）文件要求，旺苍县财政局对檬子乡人民政府开展检查时发现存在以下问题：公务接待方面存在“三单”不全现象；差旅费报销方面存在超标准报销以及附件依据不齐全现象等。</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right="0" w:rightChars="0" w:firstLine="640" w:firstLineChars="200"/>
        <w:jc w:val="both"/>
        <w:textAlignment w:val="auto"/>
        <w:outlineLvl w:val="9"/>
        <w:rPr>
          <w:rFonts w:hint="eastAsia"/>
          <w:lang w:val="en-US" w:eastAsia="zh-CN"/>
        </w:rPr>
      </w:pPr>
      <w:r>
        <w:rPr>
          <w:rFonts w:hint="eastAsia"/>
          <w:sz w:val="32"/>
          <w:szCs w:val="32"/>
          <w:lang w:val="en-US" w:eastAsia="zh-CN"/>
        </w:rPr>
        <w:t>该指标分值标准10分，根据指标评价标准和公式计算，得分9分。扣1分。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（二）绩效结果应用分析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eastAsia" w:ascii="仿宋_GB2312" w:hAnsi="Times New Roman" w:eastAsia="仿宋_GB2312" w:cs="Times New Roman"/>
          <w:b/>
          <w:bCs/>
          <w:kern w:val="0"/>
          <w:sz w:val="32"/>
          <w:szCs w:val="32"/>
          <w:lang w:val="en-US" w:eastAsia="zh-CN" w:bidi="ar-SA"/>
        </w:rPr>
      </w:pPr>
      <w:r>
        <w:rPr>
          <w:rFonts w:hint="eastAsia" w:ascii="仿宋_GB2312" w:hAnsi="Times New Roman" w:eastAsia="仿宋_GB2312" w:cs="Times New Roman"/>
          <w:b/>
          <w:bCs/>
          <w:kern w:val="0"/>
          <w:sz w:val="32"/>
          <w:szCs w:val="32"/>
          <w:lang w:val="en-US" w:eastAsia="zh-CN" w:bidi="ar-SA"/>
        </w:rPr>
        <w:t>1.自评质量</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right="0" w:rightChars="0"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 xml:space="preserve">檬子乡人民政府2020年部门整体支出绩效自评得分92.5分（除自评质量指标外，满分96分）。根据现场评价情况，评价组对檬子乡人民政府的考评得分为73.17分（除自评质量指标外，满分96分）。檬子乡人民政府自评得分与评价组考评分的差异为20%。 </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right="0" w:rightChars="0" w:firstLine="640" w:firstLineChars="200"/>
        <w:jc w:val="both"/>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该指标分值标准4分，根据指标评价标准和公式计算，得分0分。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eastAsia" w:ascii="仿宋_GB2312" w:hAnsi="Times New Roman" w:eastAsia="仿宋_GB2312" w:cs="Times New Roman"/>
          <w:b/>
          <w:bCs/>
          <w:kern w:val="0"/>
          <w:sz w:val="32"/>
          <w:szCs w:val="32"/>
          <w:lang w:val="en-US" w:eastAsia="zh-CN" w:bidi="ar-SA"/>
        </w:rPr>
      </w:pPr>
      <w:r>
        <w:rPr>
          <w:rFonts w:hint="eastAsia" w:ascii="仿宋_GB2312" w:hAnsi="Times New Roman" w:eastAsia="仿宋_GB2312" w:cs="Times New Roman"/>
          <w:b/>
          <w:bCs/>
          <w:kern w:val="0"/>
          <w:sz w:val="32"/>
          <w:szCs w:val="32"/>
          <w:lang w:val="en-US" w:eastAsia="zh-CN" w:bidi="ar-SA"/>
        </w:rPr>
        <w:t>2.信息公开</w:t>
      </w:r>
    </w:p>
    <w:p>
      <w:pPr>
        <w:pStyle w:val="2"/>
        <w:keepNext w:val="0"/>
        <w:keepLines w:val="0"/>
        <w:pageBreakBefore w:val="0"/>
        <w:widowControl w:val="0"/>
        <w:numPr>
          <w:ilvl w:val="0"/>
          <w:numId w:val="6"/>
        </w:numPr>
        <w:kinsoku/>
        <w:wordWrap/>
        <w:overflowPunct/>
        <w:topLinePunct w:val="0"/>
        <w:autoSpaceDE/>
        <w:autoSpaceDN/>
        <w:bidi w:val="0"/>
        <w:adjustRightInd/>
        <w:snapToGrid/>
        <w:spacing w:beforeLines="0" w:line="576" w:lineRule="exact"/>
        <w:ind w:left="-10" w:leftChars="0" w:right="0" w:rightChars="0" w:firstLine="640" w:firstLineChars="0"/>
        <w:jc w:val="both"/>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目标公开。</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right="0" w:rightChars="0" w:firstLine="640" w:firstLineChars="200"/>
        <w:jc w:val="both"/>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按照财政局要求，檬子乡人民政府绩效目标说明已按要求随部门预算在政府网站向社会公开。</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right="0" w:rightChars="0" w:firstLine="640" w:firstLineChars="200"/>
        <w:jc w:val="both"/>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该指标分值标准4分，根据指标评价标准和公式计算，得分4分。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right="0" w:rightChars="0" w:firstLine="640" w:firstLineChars="200"/>
        <w:jc w:val="both"/>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（2）自评公开</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leftChars="0" w:right="0" w:rightChars="0" w:firstLine="640" w:firstLineChars="200"/>
        <w:jc w:val="both"/>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按照财政局要求，檬子乡人民政府并将部门整体绩效自评情况和自行组织的评价情况随同决算公开。</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right="0" w:rightChars="0" w:firstLine="640" w:firstLineChars="200"/>
        <w:jc w:val="both"/>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该指标分值标准4分，根据指标评价标准和公式计算，得分4分。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eastAsia" w:ascii="仿宋_GB2312" w:hAnsi="Times New Roman" w:eastAsia="仿宋_GB2312" w:cs="Times New Roman"/>
          <w:b/>
          <w:bCs/>
          <w:kern w:val="0"/>
          <w:sz w:val="32"/>
          <w:szCs w:val="32"/>
          <w:lang w:val="en-US" w:eastAsia="zh-CN" w:bidi="ar-SA"/>
        </w:rPr>
      </w:pPr>
      <w:r>
        <w:rPr>
          <w:rFonts w:hint="eastAsia" w:ascii="仿宋_GB2312" w:hAnsi="Times New Roman" w:eastAsia="仿宋_GB2312" w:cs="Times New Roman"/>
          <w:b/>
          <w:bCs/>
          <w:kern w:val="0"/>
          <w:sz w:val="32"/>
          <w:szCs w:val="32"/>
          <w:lang w:val="en-US" w:eastAsia="zh-CN" w:bidi="ar-SA"/>
        </w:rPr>
        <w:t>3.整改反馈</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按照财政局要求，檬子乡人民政府做到了按时向财政部门报送相应绩效自评报告以及绩效相关表格，不扣分。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right="0" w:rightChars="0" w:firstLine="640" w:firstLineChars="200"/>
        <w:jc w:val="both"/>
        <w:textAlignment w:val="auto"/>
        <w:outlineLvl w:val="9"/>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该指标分值标准4分，根据指标评价标准和公式计算，得分4分。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四、存在的主要问题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eastAsia" w:ascii="仿宋_GB2312" w:hAnsi="Times New Roman" w:eastAsia="仿宋_GB2312" w:cs="Times New Roman"/>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（一）绩效目标编制不规范。</w:t>
      </w:r>
      <w:r>
        <w:rPr>
          <w:rFonts w:hint="eastAsia" w:ascii="仿宋_GB2312" w:hAnsi="Times New Roman" w:eastAsia="仿宋_GB2312" w:cs="Times New Roman"/>
          <w:kern w:val="0"/>
          <w:sz w:val="32"/>
          <w:szCs w:val="32"/>
          <w:lang w:val="en-US" w:eastAsia="zh-CN" w:bidi="ar-SA"/>
        </w:rPr>
        <w:t>一是年度主要任务在年度绩效指标中未被体现，例如：部门整体支出绩效目标表申报表中年度主要任务包括农村产业发展，但是在年度绩效目标的指标中未体现；二是目标编制不够细化量化，例如：二级指标“社会效益指标”下设三级指标“产业发展”，指标值是“提高农民人均收入”；三是部分绩效目标完成指标缺乏明确的业务数据支撑，评价依据和评价标准不够明确。例如：社会效益指标下，所有指标的指标值都是文字叙述，无可评估的标准，难以界定完成程度。</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right="0" w:rightChars="0" w:firstLine="643" w:firstLineChars="200"/>
        <w:jc w:val="both"/>
        <w:textAlignment w:val="auto"/>
        <w:outlineLvl w:val="9"/>
        <w:rPr>
          <w:rFonts w:hint="eastAsia" w:ascii="仿宋_GB2312" w:hAnsi="Times New Roman" w:eastAsia="仿宋_GB2312" w:cs="Times New Roman"/>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（二）绩效管理制度不够完善。</w:t>
      </w:r>
      <w:r>
        <w:rPr>
          <w:rFonts w:hint="eastAsia" w:ascii="仿宋_GB2312" w:hAnsi="Times New Roman" w:eastAsia="仿宋_GB2312" w:cs="Times New Roman"/>
          <w:kern w:val="0"/>
          <w:sz w:val="32"/>
          <w:szCs w:val="32"/>
          <w:lang w:val="en-US" w:eastAsia="zh-CN" w:bidi="ar-SA"/>
        </w:rPr>
        <w:t>部门对绩效管理认识不足，重视程度不够，存在重投入轻管理，重支出轻绩效的现象。绩效自评工作有待加强。根据现场评价情况和查看檬子乡自评报告，檬子乡人民政府绩效目标自评报告存在内容简单、深度不足、部分指标缺乏依据佐证等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right="0" w:rightChars="0" w:firstLine="643" w:firstLineChars="200"/>
        <w:jc w:val="both"/>
        <w:textAlignment w:val="auto"/>
        <w:outlineLvl w:val="9"/>
        <w:rPr>
          <w:rFonts w:hint="eastAsia" w:ascii="仿宋_GB2312" w:hAnsi="Times New Roman" w:eastAsia="仿宋_GB2312" w:cs="Times New Roman"/>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（三）预算编制不够科学，支出控制不够。</w:t>
      </w:r>
      <w:r>
        <w:rPr>
          <w:rFonts w:hint="eastAsia" w:ascii="仿宋_GB2312" w:hAnsi="Times New Roman" w:eastAsia="仿宋_GB2312" w:cs="Times New Roman"/>
          <w:kern w:val="0"/>
          <w:sz w:val="32"/>
          <w:szCs w:val="32"/>
          <w:lang w:val="en-US" w:eastAsia="zh-CN" w:bidi="ar-SA"/>
        </w:rPr>
        <w:t>一是年初预算编制准确性不高，如通过绩效评价发现，檬子乡人民政府“办公费、印刷费、水费、电费、物业管理费”等部门公用经费及非定额公用支出预决算数相差较大。二是预算执行进度不高，檬子乡人民政府部门预算执行进度在6、9、11月分别为32.8%、55.4%、63.7%，12月预算执行进度为84.7%。三是存在预算执行不严，如：依据《旺苍县财政局关于开展“三公”经费、违纪违规乱发钱物等专项检查的通知》（旺财办〔2020〕23号）检查结果，对檬子乡人民政府开展检查时发现公务接待方面存在“三单”不全现象；差旅费报销方面存在超标准报销以及附件依据不齐全现象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五、整改措施及建议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Times New Roman" w:eastAsia="仿宋_GB2312" w:cs="Times New Roman"/>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（一）加强绩效目标编制和审核。</w:t>
      </w:r>
      <w:r>
        <w:rPr>
          <w:rFonts w:hint="eastAsia" w:ascii="仿宋_GB2312" w:hAnsi="Times New Roman" w:eastAsia="仿宋_GB2312" w:cs="Times New Roman"/>
          <w:kern w:val="0"/>
          <w:sz w:val="32"/>
          <w:szCs w:val="32"/>
          <w:lang w:val="en-US" w:eastAsia="zh-CN" w:bidi="ar-SA"/>
        </w:rPr>
        <w:t>部门应强化绩效管理理念，强化绩效目标管理的主体责任意识，科学合理编制目标。部门整体支出绩效目标应根据部门职能职责、中长期规划和年度工作任务进行编制，目标应能反映部门履职所要达到的总体产出和效果。编制的目标要细化量化、规范完整且可衡量，同时加强项目效果方面目标的制定。部门应加强对自身绩效目标的自审工作，切实提高绩效目标编制质量。准确设置项目绩效目标，确保项目效果可衡量。</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仿宋_GB2312" w:hAnsi="Times New Roman" w:eastAsia="仿宋_GB2312" w:cs="Times New Roman"/>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（二）加强对绩效管理的重视和自评。</w:t>
      </w:r>
      <w:r>
        <w:rPr>
          <w:rFonts w:hint="eastAsia" w:ascii="仿宋_GB2312" w:hAnsi="Times New Roman" w:eastAsia="仿宋_GB2312" w:cs="Times New Roman"/>
          <w:kern w:val="0"/>
          <w:sz w:val="32"/>
          <w:szCs w:val="32"/>
          <w:lang w:val="en-US" w:eastAsia="zh-CN" w:bidi="ar-SA"/>
        </w:rPr>
        <w:t>要想使绩效管理得到有效的实施，必须强调全员的绩效意识，改变领导干部的思想，全面领会实施预算绩效管理的重要意义。部门要完善绩效管理的各项制度机制，建立健全全方位、全覆盖、全过程的预算绩效管理体系，按项目进度、预算执行、投入产出、各项效益的阶段性完成情况进行监督检查、监控分析，及时跟进并整改专项项目预算执行过程中存在的问题，切实提高项目资金使用绩效。加强绩效自评工作，提高部门绩效管理水平。部门应当在项目完成后对每个设定的绩效目标都应采取资料收集整理、数据统计分析、问卷调查等方式进行考核评估，以衡量项目取得的成效以及目标的实现情况，并根据考核评估结果不断优化项目实施和管理，提升部门预算绩效管理水平，提高财政资金使用效益。全面加强预算绩效管理，提升绩效管理水平。</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3" w:firstLineChars="200"/>
        <w:textAlignment w:val="auto"/>
        <w:rPr>
          <w:rFonts w:hint="eastAsia" w:ascii="仿宋_GB2312" w:hAnsi="Times New Roman" w:eastAsia="仿宋_GB2312" w:cs="Times New Roman"/>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（三）加强预算编制和执行，科学编制预算。</w:t>
      </w:r>
      <w:r>
        <w:rPr>
          <w:rFonts w:hint="eastAsia" w:ascii="仿宋_GB2312" w:hAnsi="Times New Roman" w:eastAsia="仿宋_GB2312" w:cs="Times New Roman"/>
          <w:kern w:val="0"/>
          <w:sz w:val="32"/>
          <w:szCs w:val="32"/>
          <w:lang w:val="en-US" w:eastAsia="zh-CN" w:bidi="ar-SA"/>
        </w:rPr>
        <w:t>根据制定的绩效目标和计划进度，合理安排年度预算，预算编制应依据充分、测算过程明确具体，建议参考上年度预算实际执行情况和支出绩效评价结果，提高预算编制的准确性；加强项目前期论证和准备工作，提高预算执行进度和均衡性；加强部门预算和专项资金的规范管理，确保预算资金合规使用；对部门日常公用经费及项目支出中相关运转类经费要进行有效控制，提高实际执行与预算的符合程度。强化节约、节能意识，加强经费支出管理，严格控制公用经费开支，降低运行成本，提高资源利用效率。建立和规范项目经费管理制度，加强项目经费管理，严格规范项目经费使用及审批制度，明确项目经费使用范围，严格规范项目经费的审批程序，严禁项目经费挪作他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kern w:val="0"/>
          <w:sz w:val="32"/>
          <w:szCs w:val="32"/>
          <w:lang w:val="en-US" w:eastAsia="zh-CN" w:bidi="ar-SA"/>
        </w:rPr>
      </w:pPr>
    </w:p>
    <w:p>
      <w:pP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br w:type="page"/>
      </w:r>
    </w:p>
    <w:p>
      <w:pPr>
        <w:adjustRightInd w:val="0"/>
        <w:snapToGrid w:val="0"/>
        <w:spacing w:line="240" w:lineRule="atLeast"/>
        <w:jc w:val="center"/>
        <w:rPr>
          <w:rFonts w:ascii="方正小标宋简体" w:hAnsi="华文中宋" w:eastAsia="方正小标宋简体"/>
          <w:b/>
          <w:sz w:val="52"/>
          <w:szCs w:val="52"/>
        </w:rPr>
      </w:pPr>
      <w:r>
        <w:rPr>
          <w:rFonts w:hint="eastAsia" w:ascii="方正小标宋简体" w:hAnsi="华文中宋" w:eastAsia="方正小标宋简体"/>
          <w:b/>
          <w:sz w:val="52"/>
          <w:szCs w:val="52"/>
          <w:lang w:val="en-US" w:eastAsia="zh-CN"/>
        </w:rPr>
        <w:t>旺苍县</w:t>
      </w:r>
      <w:r>
        <w:rPr>
          <w:rFonts w:hint="eastAsia" w:ascii="方正小标宋简体" w:hAnsi="华文中宋" w:eastAsia="方正小标宋简体"/>
          <w:b/>
          <w:sz w:val="52"/>
          <w:szCs w:val="52"/>
        </w:rPr>
        <w:t>燕子乡</w:t>
      </w:r>
      <w:r>
        <w:rPr>
          <w:rFonts w:hint="eastAsia" w:ascii="方正小标宋简体" w:hAnsi="华文中宋" w:eastAsia="方正小标宋简体"/>
          <w:b/>
          <w:sz w:val="52"/>
          <w:szCs w:val="52"/>
          <w:lang w:val="en-US" w:eastAsia="zh-CN"/>
        </w:rPr>
        <w:t>人民政府</w:t>
      </w:r>
      <w:r>
        <w:rPr>
          <w:rFonts w:hint="eastAsia" w:ascii="方正小标宋简体" w:hAnsi="华文中宋" w:eastAsia="方正小标宋简体"/>
          <w:b/>
          <w:sz w:val="52"/>
          <w:szCs w:val="52"/>
        </w:rPr>
        <w:t>部门整体支出</w:t>
      </w: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绩</w:t>
      </w: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效</w:t>
      </w: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评</w:t>
      </w: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价</w:t>
      </w: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报</w:t>
      </w:r>
    </w:p>
    <w:p>
      <w:pPr>
        <w:adjustRightInd w:val="0"/>
        <w:snapToGrid w:val="0"/>
        <w:spacing w:line="24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告</w:t>
      </w: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pStyle w:val="2"/>
        <w:spacing w:before="93"/>
      </w:pPr>
    </w:p>
    <w:p>
      <w:pPr>
        <w:tabs>
          <w:tab w:val="left" w:pos="3885"/>
        </w:tabs>
        <w:snapToGrid w:val="0"/>
        <w:spacing w:line="600" w:lineRule="atLeast"/>
        <w:ind w:firstLine="964" w:firstLineChars="300"/>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评价部门：旺苍县财政局</w:t>
      </w:r>
    </w:p>
    <w:p>
      <w:pPr>
        <w:tabs>
          <w:tab w:val="left" w:pos="3885"/>
        </w:tabs>
        <w:snapToGrid w:val="0"/>
        <w:spacing w:line="600" w:lineRule="atLeast"/>
        <w:ind w:firstLine="964" w:firstLineChars="300"/>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评价人员：李秋江 宋明圣 徐雯</w:t>
      </w:r>
    </w:p>
    <w:p>
      <w:pPr>
        <w:tabs>
          <w:tab w:val="left" w:pos="3885"/>
        </w:tabs>
        <w:snapToGrid w:val="0"/>
        <w:spacing w:line="600" w:lineRule="atLeast"/>
        <w:ind w:firstLine="964" w:firstLineChars="300"/>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报告时间： 2021年9月28日</w:t>
      </w:r>
    </w:p>
    <w:p>
      <w:pPr>
        <w:pStyle w:val="2"/>
        <w:rPr>
          <w:rFonts w:hint="eastAsia"/>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sectPr>
          <w:headerReference r:id="rId30" w:type="default"/>
          <w:footerReference r:id="rId31" w:type="default"/>
          <w:footerReference r:id="rId32" w:type="even"/>
          <w:pgSz w:w="11906" w:h="16838"/>
          <w:pgMar w:top="2098" w:right="1474" w:bottom="1985" w:left="1588" w:header="851" w:footer="1559" w:gutter="0"/>
          <w:pgNumType w:fmt="numberInDash" w:start="1"/>
          <w:cols w:space="720" w:num="1"/>
          <w:docGrid w:type="lines" w:linePitch="312" w:charSpace="0"/>
        </w:sect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一、部门概况</w:t>
      </w:r>
    </w:p>
    <w:p>
      <w:pPr>
        <w:pStyle w:val="5"/>
        <w:pageBreakBefore w:val="0"/>
        <w:widowControl w:val="0"/>
        <w:numPr>
          <w:ilvl w:val="1"/>
          <w:numId w:val="0"/>
        </w:numPr>
        <w:tabs>
          <w:tab w:val="left" w:pos="445"/>
        </w:tabs>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（一）机构组成</w:t>
      </w:r>
    </w:p>
    <w:p>
      <w:pPr>
        <w:pStyle w:val="21"/>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燕子乡人民政府设内设机构6个。</w:t>
      </w:r>
    </w:p>
    <w:p>
      <w:pPr>
        <w:pStyle w:val="21"/>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内设机构：党政综合与乡村振兴办公室、党建工作办公室（村（社区）“两委”负责人，经济责任审计站）、综合行政执法办公室（城镇管理办公室、城乡规划建设和环境卫生整治办公室）、社会事务和治理工作办公室（矛盾纠纷多元化解协调中心、群众工作办公室、应急管理办公室）、经济发展办公室（扶贫开发办公室、生态环境保护办公室）、财政所。</w:t>
      </w:r>
    </w:p>
    <w:p>
      <w:pPr>
        <w:pStyle w:val="5"/>
        <w:pageBreakBefore w:val="0"/>
        <w:widowControl w:val="0"/>
        <w:numPr>
          <w:ilvl w:val="1"/>
          <w:numId w:val="0"/>
        </w:numPr>
        <w:tabs>
          <w:tab w:val="left" w:pos="445"/>
        </w:tabs>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（二）基本职能</w:t>
      </w:r>
    </w:p>
    <w:p>
      <w:pPr>
        <w:pStyle w:val="22"/>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职能主要是负责党务日常工作和机关日常事务管理，监督检查各办、所对上级方针、政策的贯彻落实情况，协调和承办组织、人事、纪检监察、宣传、统战、武装、群团、档案、保密、统计、和政务公开等工作；加强对村民委员会的指导，提高、培育村民委员会自治能力；负责信访、</w:t>
      </w:r>
      <w:r>
        <w:rPr>
          <w:rFonts w:hint="eastAsia" w:ascii="仿宋_GB2312" w:hAnsi="仿宋_GB2312" w:cs="仿宋_GB2312"/>
          <w:sz w:val="32"/>
          <w:szCs w:val="32"/>
          <w:lang w:eastAsia="zh-CN"/>
        </w:rPr>
        <w:t>综合治理</w:t>
      </w:r>
      <w:r>
        <w:rPr>
          <w:rFonts w:hint="eastAsia" w:ascii="仿宋_GB2312" w:hAnsi="仿宋_GB2312" w:eastAsia="仿宋_GB2312" w:cs="仿宋_GB2312"/>
          <w:sz w:val="32"/>
          <w:szCs w:val="32"/>
        </w:rPr>
        <w:t>、矛盾纠纷调处等群众工作，加强对突发事件的预警和管理，建立健全各种应急机制，加强民事纠纷调解，化解农村社会矛盾，切实保障农民合法权益，维护农村社会稳定；承办人大主席团的日常工作。</w:t>
      </w:r>
    </w:p>
    <w:p>
      <w:pPr>
        <w:pStyle w:val="5"/>
        <w:pageBreakBefore w:val="0"/>
        <w:widowControl w:val="0"/>
        <w:numPr>
          <w:ilvl w:val="1"/>
          <w:numId w:val="0"/>
        </w:numPr>
        <w:tabs>
          <w:tab w:val="left" w:pos="445"/>
        </w:tabs>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（三）人员概况</w:t>
      </w:r>
    </w:p>
    <w:p>
      <w:pPr>
        <w:pStyle w:val="22"/>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旺苍县燕子乡人民政府下属二级预算单位0个。总编制40名，其中公务员17人，机关工勤人员1人，事业人员22人；在职人员总数32人，其中公务员16人，机关工勤人员0人，事业人员16人。</w:t>
      </w:r>
    </w:p>
    <w:p>
      <w:pPr>
        <w:pStyle w:val="5"/>
        <w:pageBreakBefore w:val="0"/>
        <w:widowControl w:val="0"/>
        <w:numPr>
          <w:ilvl w:val="1"/>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二、部门财政资金收支情况</w:t>
      </w:r>
    </w:p>
    <w:p>
      <w:pPr>
        <w:pStyle w:val="5"/>
        <w:pageBreakBefore w:val="0"/>
        <w:widowControl w:val="0"/>
        <w:numPr>
          <w:ilvl w:val="1"/>
          <w:numId w:val="0"/>
        </w:numPr>
        <w:tabs>
          <w:tab w:val="left" w:pos="445"/>
        </w:tabs>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（一）部门决策情况</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燕子乡人民政府2020年重点工作如下：（1）聚焦“三大攻坚战”，全面推进小康建设。决战决胜脱贫攻坚，巩固提升脱贫成果。决战决胜污染防治，持续改善生态环境。决战决胜风险防范，压实压紧安全生产。（2）聚焦经济建设，促进产业健康发展。稳定粮油生产，确保粮食安全。壮大特色产业，推进稳定增收。培育农旅产业，夯实发展后劲。强化项目投资，提升经济实力。</w:t>
      </w:r>
      <w:r>
        <w:rPr>
          <w:rFonts w:hint="eastAsia" w:ascii="仿宋_GB2312" w:hAnsi="仿宋_GB2312" w:eastAsia="仿宋_GB2312" w:cs="仿宋_GB2312"/>
          <w:sz w:val="32"/>
          <w:szCs w:val="32"/>
        </w:rPr>
        <w:t>（3）聚焦乡村振兴，全面优化发展环境。着力加快项目建设，夯实基础设施。着力加强精神文明建设，倡导文明乡风。着力推进综合改革，提升服务水平。着力开展为民服务，提升保障水平。（4）聚焦政治建设，全面推进从严治党。强化思想建设，筑牢政治根基。强化组织建设，坚强基层基础。强化干部建设，提升服务能力。强化廉政建设，压实管党责任。</w:t>
      </w:r>
    </w:p>
    <w:p>
      <w:pPr>
        <w:pStyle w:val="5"/>
        <w:pageBreakBefore w:val="0"/>
        <w:widowControl w:val="0"/>
        <w:numPr>
          <w:ilvl w:val="1"/>
          <w:numId w:val="0"/>
        </w:numPr>
        <w:tabs>
          <w:tab w:val="left" w:pos="445"/>
        </w:tabs>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部门财政资金收入情况</w:t>
      </w:r>
    </w:p>
    <w:p>
      <w:pPr>
        <w:pStyle w:val="22"/>
        <w:pageBreakBefore w:val="0"/>
        <w:widowControl w:val="0"/>
        <w:kinsoku/>
        <w:wordWrap/>
        <w:overflowPunct/>
        <w:topLinePunct w:val="0"/>
        <w:autoSpaceDE/>
        <w:autoSpaceDN/>
        <w:bidi w:val="0"/>
        <w:adjustRightInd/>
        <w:snapToGrid/>
        <w:spacing w:line="576" w:lineRule="exact"/>
        <w:textAlignment w:val="auto"/>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rPr>
        <w:t>020年燕子乡人民政府</w:t>
      </w:r>
      <w:r>
        <w:rPr>
          <w:rFonts w:hint="eastAsia" w:ascii="仿宋_GB2312" w:hAnsi="仿宋_GB2312" w:eastAsia="仿宋_GB2312" w:cs="仿宋_GB2312"/>
          <w:sz w:val="32"/>
          <w:szCs w:val="32"/>
        </w:rPr>
        <w:t>收入合计518.66万元，其中：一般公共预算财政拨款收入518.16万元，占99.99%，政府性基金预算财政拨款收入0.5万元，占0.01%；国有资本经营预算财政拨款收入0万元，占0%；事业收入0万元，占0%；经营收入0万元，占0%；附属单位上缴收入0万元，占0%；其他收入0万元，占0%。上年结转130.66万元；具体情况见表</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-1：</w:t>
      </w:r>
    </w:p>
    <w:p>
      <w:pPr>
        <w:pStyle w:val="19"/>
        <w:spacing w:after="0"/>
        <w:ind w:firstLine="482" w:firstLineChars="200"/>
      </w:pPr>
      <w:r>
        <w:rPr>
          <w:rFonts w:hint="eastAsia"/>
        </w:rPr>
        <w:t>表1</w:t>
      </w:r>
      <w:r>
        <w:t>-</w:t>
      </w:r>
      <w:r>
        <w:rPr>
          <w:rFonts w:hint="eastAsia"/>
        </w:rPr>
        <w:t xml:space="preserve">1 </w:t>
      </w:r>
      <w:r>
        <w:rPr>
          <w:rFonts w:hint="eastAsia"/>
          <w:lang w:val="en-US" w:eastAsia="zh-CN"/>
        </w:rPr>
        <w:t xml:space="preserve"> </w:t>
      </w:r>
      <w:r>
        <w:rPr>
          <w:rFonts w:hint="eastAsia"/>
        </w:rPr>
        <w:t>2020</w:t>
      </w:r>
      <w:r>
        <w:t>年</w:t>
      </w:r>
      <w:r>
        <w:rPr>
          <w:rFonts w:hint="eastAsia"/>
        </w:rPr>
        <w:t>燕子乡人民政府</w:t>
      </w:r>
      <w:r>
        <w:t>收入预决算情况表</w:t>
      </w:r>
    </w:p>
    <w:p>
      <w:pPr>
        <w:pStyle w:val="19"/>
        <w:spacing w:after="0"/>
        <w:ind w:firstLine="482" w:firstLineChars="200"/>
        <w:jc w:val="right"/>
      </w:pPr>
      <w:r>
        <w:rPr>
          <w:rFonts w:hint="eastAsia"/>
        </w:rPr>
        <w:t>单位</w:t>
      </w:r>
      <w:r>
        <w:t>：万元</w:t>
      </w:r>
    </w:p>
    <w:tbl>
      <w:tblPr>
        <w:tblStyle w:val="23"/>
        <w:tblW w:w="9218"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54"/>
        <w:gridCol w:w="1658"/>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trPr>
        <w:tc>
          <w:tcPr>
            <w:tcW w:w="3930" w:type="dxa"/>
          </w:tcPr>
          <w:p>
            <w:pPr>
              <w:pStyle w:val="20"/>
              <w:ind w:firstLine="440" w:firstLineChars="200"/>
              <w:rPr>
                <w:color w:val="auto"/>
              </w:rPr>
            </w:pPr>
          </w:p>
        </w:tc>
        <w:tc>
          <w:tcPr>
            <w:tcW w:w="1754" w:type="dxa"/>
          </w:tcPr>
          <w:p>
            <w:pPr>
              <w:pStyle w:val="20"/>
              <w:jc w:val="both"/>
              <w:rPr>
                <w:b/>
                <w:bCs w:val="0"/>
                <w:color w:val="auto"/>
              </w:rPr>
            </w:pPr>
            <w:r>
              <w:rPr>
                <w:rFonts w:hint="eastAsia"/>
                <w:b/>
                <w:bCs w:val="0"/>
                <w:color w:val="auto"/>
              </w:rPr>
              <w:t>收入预算数</w:t>
            </w:r>
          </w:p>
        </w:tc>
        <w:tc>
          <w:tcPr>
            <w:tcW w:w="1658" w:type="dxa"/>
          </w:tcPr>
          <w:p>
            <w:pPr>
              <w:pStyle w:val="20"/>
              <w:jc w:val="both"/>
              <w:rPr>
                <w:b/>
                <w:bCs w:val="0"/>
                <w:color w:val="auto"/>
              </w:rPr>
            </w:pPr>
            <w:r>
              <w:rPr>
                <w:rFonts w:hint="eastAsia"/>
                <w:b/>
                <w:bCs w:val="0"/>
                <w:color w:val="auto"/>
              </w:rPr>
              <w:t>收入调整数</w:t>
            </w:r>
          </w:p>
        </w:tc>
        <w:tc>
          <w:tcPr>
            <w:tcW w:w="1876" w:type="dxa"/>
          </w:tcPr>
          <w:p>
            <w:pPr>
              <w:pStyle w:val="20"/>
              <w:jc w:val="both"/>
              <w:rPr>
                <w:b/>
                <w:bCs w:val="0"/>
                <w:color w:val="auto"/>
              </w:rPr>
            </w:pPr>
            <w:r>
              <w:rPr>
                <w:rFonts w:hint="eastAsia"/>
                <w:b/>
                <w:bCs w:val="0"/>
                <w:color w:val="auto"/>
              </w:rPr>
              <w:t>收入决算数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930" w:type="dxa"/>
          </w:tcPr>
          <w:p>
            <w:pPr>
              <w:pStyle w:val="20"/>
              <w:ind w:firstLine="440" w:firstLineChars="200"/>
              <w:rPr>
                <w:color w:val="auto"/>
              </w:rPr>
            </w:pPr>
            <w:r>
              <w:rPr>
                <w:rFonts w:hint="eastAsia"/>
                <w:color w:val="auto"/>
              </w:rPr>
              <w:t>一般公共预算财政拨款收入</w:t>
            </w:r>
          </w:p>
        </w:tc>
        <w:tc>
          <w:tcPr>
            <w:tcW w:w="1754" w:type="dxa"/>
          </w:tcPr>
          <w:p>
            <w:pPr>
              <w:pStyle w:val="20"/>
              <w:ind w:firstLine="440" w:firstLineChars="200"/>
              <w:rPr>
                <w:color w:val="auto"/>
                <w:lang w:val="en-US"/>
              </w:rPr>
            </w:pPr>
            <w:r>
              <w:rPr>
                <w:rFonts w:hint="eastAsia"/>
                <w:color w:val="auto"/>
                <w:lang w:val="en-US"/>
              </w:rPr>
              <w:t>395.9</w:t>
            </w:r>
          </w:p>
        </w:tc>
        <w:tc>
          <w:tcPr>
            <w:tcW w:w="1658" w:type="dxa"/>
          </w:tcPr>
          <w:p>
            <w:pPr>
              <w:pStyle w:val="20"/>
              <w:ind w:firstLine="440" w:firstLineChars="200"/>
              <w:rPr>
                <w:color w:val="auto"/>
                <w:lang w:val="en-US"/>
              </w:rPr>
            </w:pPr>
            <w:r>
              <w:rPr>
                <w:rFonts w:hint="eastAsia"/>
                <w:color w:val="auto"/>
                <w:lang w:val="en-US"/>
              </w:rPr>
              <w:t>518.16</w:t>
            </w:r>
          </w:p>
        </w:tc>
        <w:tc>
          <w:tcPr>
            <w:tcW w:w="1876" w:type="dxa"/>
          </w:tcPr>
          <w:p>
            <w:pPr>
              <w:pStyle w:val="20"/>
              <w:ind w:firstLine="440" w:firstLineChars="200"/>
              <w:rPr>
                <w:color w:val="auto"/>
                <w:lang w:val="en-US"/>
              </w:rPr>
            </w:pPr>
            <w:r>
              <w:rPr>
                <w:rFonts w:hint="eastAsia"/>
                <w:color w:val="auto"/>
                <w:lang w:val="en-US"/>
              </w:rPr>
              <w:t>518.16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930" w:type="dxa"/>
          </w:tcPr>
          <w:p>
            <w:pPr>
              <w:pStyle w:val="20"/>
              <w:ind w:firstLine="440" w:firstLineChars="200"/>
              <w:rPr>
                <w:color w:val="auto"/>
              </w:rPr>
            </w:pPr>
            <w:r>
              <w:rPr>
                <w:rFonts w:hint="eastAsia"/>
                <w:color w:val="auto"/>
              </w:rPr>
              <w:t>政府性基金预算财政拨款收入</w:t>
            </w:r>
          </w:p>
        </w:tc>
        <w:tc>
          <w:tcPr>
            <w:tcW w:w="1754" w:type="dxa"/>
          </w:tcPr>
          <w:p>
            <w:pPr>
              <w:pStyle w:val="20"/>
              <w:ind w:firstLine="440" w:firstLineChars="200"/>
              <w:rPr>
                <w:color w:val="auto"/>
                <w:lang w:val="en-US"/>
              </w:rPr>
            </w:pPr>
          </w:p>
        </w:tc>
        <w:tc>
          <w:tcPr>
            <w:tcW w:w="1658" w:type="dxa"/>
          </w:tcPr>
          <w:p>
            <w:pPr>
              <w:pStyle w:val="20"/>
              <w:ind w:firstLine="440" w:firstLineChars="200"/>
              <w:rPr>
                <w:color w:val="auto"/>
                <w:lang w:val="en-US"/>
              </w:rPr>
            </w:pPr>
            <w:r>
              <w:rPr>
                <w:rFonts w:hint="eastAsia"/>
                <w:color w:val="auto"/>
                <w:lang w:val="en-US"/>
              </w:rPr>
              <w:t>0.5</w:t>
            </w:r>
          </w:p>
        </w:tc>
        <w:tc>
          <w:tcPr>
            <w:tcW w:w="1876" w:type="dxa"/>
          </w:tcPr>
          <w:p>
            <w:pPr>
              <w:pStyle w:val="20"/>
              <w:ind w:firstLine="440" w:firstLineChars="200"/>
              <w:rPr>
                <w:color w:val="auto"/>
                <w:lang w:val="en-US"/>
              </w:rPr>
            </w:pPr>
            <w:r>
              <w:rPr>
                <w:rFonts w:hint="eastAsia"/>
                <w:color w:val="auto"/>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930" w:type="dxa"/>
          </w:tcPr>
          <w:p>
            <w:pPr>
              <w:pStyle w:val="20"/>
              <w:ind w:firstLine="440" w:firstLineChars="200"/>
              <w:rPr>
                <w:color w:val="auto"/>
              </w:rPr>
            </w:pPr>
            <w:r>
              <w:rPr>
                <w:rFonts w:hint="eastAsia"/>
                <w:color w:val="auto"/>
              </w:rPr>
              <w:t>经营收入</w:t>
            </w:r>
          </w:p>
        </w:tc>
        <w:tc>
          <w:tcPr>
            <w:tcW w:w="1754" w:type="dxa"/>
          </w:tcPr>
          <w:p>
            <w:pPr>
              <w:pStyle w:val="20"/>
              <w:ind w:firstLine="440" w:firstLineChars="200"/>
              <w:rPr>
                <w:color w:val="auto"/>
              </w:rPr>
            </w:pPr>
          </w:p>
        </w:tc>
        <w:tc>
          <w:tcPr>
            <w:tcW w:w="1658" w:type="dxa"/>
          </w:tcPr>
          <w:p>
            <w:pPr>
              <w:pStyle w:val="20"/>
              <w:ind w:firstLine="440" w:firstLineChars="200"/>
              <w:rPr>
                <w:color w:val="auto"/>
              </w:rPr>
            </w:pPr>
          </w:p>
        </w:tc>
        <w:tc>
          <w:tcPr>
            <w:tcW w:w="1876" w:type="dxa"/>
          </w:tcPr>
          <w:p>
            <w:pPr>
              <w:pStyle w:val="20"/>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930" w:type="dxa"/>
          </w:tcPr>
          <w:p>
            <w:pPr>
              <w:pStyle w:val="20"/>
              <w:ind w:firstLine="440" w:firstLineChars="200"/>
              <w:rPr>
                <w:color w:val="auto"/>
              </w:rPr>
            </w:pPr>
            <w:r>
              <w:rPr>
                <w:rFonts w:hint="eastAsia"/>
                <w:color w:val="auto"/>
              </w:rPr>
              <w:t>其他收入</w:t>
            </w:r>
          </w:p>
        </w:tc>
        <w:tc>
          <w:tcPr>
            <w:tcW w:w="1754" w:type="dxa"/>
          </w:tcPr>
          <w:p>
            <w:pPr>
              <w:pStyle w:val="20"/>
              <w:ind w:firstLine="440" w:firstLineChars="200"/>
              <w:rPr>
                <w:color w:val="auto"/>
              </w:rPr>
            </w:pPr>
          </w:p>
        </w:tc>
        <w:tc>
          <w:tcPr>
            <w:tcW w:w="1658" w:type="dxa"/>
          </w:tcPr>
          <w:p>
            <w:pPr>
              <w:pStyle w:val="20"/>
              <w:ind w:firstLine="440" w:firstLineChars="200"/>
              <w:rPr>
                <w:color w:val="auto"/>
              </w:rPr>
            </w:pPr>
          </w:p>
        </w:tc>
        <w:tc>
          <w:tcPr>
            <w:tcW w:w="1876" w:type="dxa"/>
          </w:tcPr>
          <w:p>
            <w:pPr>
              <w:pStyle w:val="20"/>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930" w:type="dxa"/>
          </w:tcPr>
          <w:p>
            <w:pPr>
              <w:pStyle w:val="20"/>
              <w:ind w:firstLine="440" w:firstLineChars="200"/>
              <w:rPr>
                <w:color w:val="auto"/>
              </w:rPr>
            </w:pPr>
            <w:r>
              <w:rPr>
                <w:rFonts w:hint="eastAsia"/>
                <w:color w:val="auto"/>
              </w:rPr>
              <w:t>年初</w:t>
            </w:r>
            <w:r>
              <w:rPr>
                <w:color w:val="auto"/>
              </w:rPr>
              <w:t>结转结余</w:t>
            </w:r>
          </w:p>
        </w:tc>
        <w:tc>
          <w:tcPr>
            <w:tcW w:w="1754" w:type="dxa"/>
          </w:tcPr>
          <w:p>
            <w:pPr>
              <w:pStyle w:val="20"/>
              <w:ind w:firstLine="440" w:firstLineChars="200"/>
              <w:rPr>
                <w:color w:val="auto"/>
                <w:lang w:val="en-US"/>
              </w:rPr>
            </w:pPr>
            <w:r>
              <w:rPr>
                <w:rFonts w:hint="eastAsia"/>
                <w:color w:val="auto"/>
                <w:lang w:val="en-US"/>
              </w:rPr>
              <w:t>125.49</w:t>
            </w:r>
          </w:p>
        </w:tc>
        <w:tc>
          <w:tcPr>
            <w:tcW w:w="1658" w:type="dxa"/>
          </w:tcPr>
          <w:p>
            <w:pPr>
              <w:pStyle w:val="20"/>
              <w:ind w:firstLine="440" w:firstLineChars="200"/>
              <w:rPr>
                <w:color w:val="auto"/>
                <w:lang w:val="en-US"/>
              </w:rPr>
            </w:pPr>
            <w:r>
              <w:rPr>
                <w:rFonts w:hint="eastAsia"/>
                <w:color w:val="auto"/>
                <w:lang w:val="en-US"/>
              </w:rPr>
              <w:t>130.67</w:t>
            </w:r>
          </w:p>
        </w:tc>
        <w:tc>
          <w:tcPr>
            <w:tcW w:w="1876" w:type="dxa"/>
          </w:tcPr>
          <w:p>
            <w:pPr>
              <w:pStyle w:val="20"/>
              <w:ind w:firstLine="440" w:firstLineChars="200"/>
              <w:jc w:val="both"/>
              <w:rPr>
                <w:color w:val="auto"/>
                <w:lang w:val="en-US"/>
              </w:rPr>
            </w:pPr>
            <w:r>
              <w:rPr>
                <w:rFonts w:hint="eastAsia"/>
                <w:color w:val="auto"/>
                <w:lang w:val="en-US"/>
              </w:rPr>
              <w:t>130.67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930" w:type="dxa"/>
          </w:tcPr>
          <w:p>
            <w:pPr>
              <w:pStyle w:val="20"/>
              <w:ind w:firstLine="442" w:firstLineChars="200"/>
              <w:rPr>
                <w:b/>
                <w:bCs w:val="0"/>
                <w:color w:val="auto"/>
              </w:rPr>
            </w:pPr>
            <w:r>
              <w:rPr>
                <w:rFonts w:hint="eastAsia"/>
                <w:b/>
                <w:bCs w:val="0"/>
                <w:color w:val="auto"/>
              </w:rPr>
              <w:t>合计</w:t>
            </w:r>
          </w:p>
        </w:tc>
        <w:tc>
          <w:tcPr>
            <w:tcW w:w="1754" w:type="dxa"/>
          </w:tcPr>
          <w:p>
            <w:pPr>
              <w:pStyle w:val="20"/>
              <w:ind w:firstLine="442" w:firstLineChars="200"/>
              <w:rPr>
                <w:b/>
                <w:bCs w:val="0"/>
                <w:color w:val="auto"/>
                <w:lang w:val="en-US"/>
              </w:rPr>
            </w:pPr>
            <w:r>
              <w:rPr>
                <w:rFonts w:hint="eastAsia"/>
                <w:b/>
                <w:bCs w:val="0"/>
                <w:color w:val="auto"/>
                <w:lang w:val="en-US"/>
              </w:rPr>
              <w:t>521.39</w:t>
            </w:r>
          </w:p>
        </w:tc>
        <w:tc>
          <w:tcPr>
            <w:tcW w:w="1658" w:type="dxa"/>
          </w:tcPr>
          <w:p>
            <w:pPr>
              <w:pStyle w:val="20"/>
              <w:ind w:firstLine="442" w:firstLineChars="200"/>
              <w:rPr>
                <w:b/>
                <w:bCs w:val="0"/>
                <w:color w:val="auto"/>
                <w:lang w:val="en-US"/>
              </w:rPr>
            </w:pPr>
            <w:r>
              <w:rPr>
                <w:rFonts w:hint="eastAsia"/>
                <w:b/>
                <w:bCs w:val="0"/>
                <w:color w:val="auto"/>
                <w:lang w:val="en-US"/>
              </w:rPr>
              <w:t>649.33</w:t>
            </w:r>
          </w:p>
        </w:tc>
        <w:tc>
          <w:tcPr>
            <w:tcW w:w="1876" w:type="dxa"/>
          </w:tcPr>
          <w:p>
            <w:pPr>
              <w:pStyle w:val="20"/>
              <w:ind w:firstLine="442" w:firstLineChars="200"/>
              <w:rPr>
                <w:b/>
                <w:bCs w:val="0"/>
                <w:color w:val="auto"/>
                <w:lang w:val="en-US"/>
              </w:rPr>
            </w:pPr>
            <w:r>
              <w:rPr>
                <w:rFonts w:hint="eastAsia"/>
                <w:b/>
                <w:bCs w:val="0"/>
                <w:color w:val="auto"/>
                <w:lang w:val="en-US"/>
              </w:rPr>
              <w:t>649.33</w:t>
            </w:r>
          </w:p>
        </w:tc>
      </w:tr>
    </w:tbl>
    <w:p>
      <w:pPr>
        <w:tabs>
          <w:tab w:val="left" w:pos="1265"/>
        </w:tabs>
        <w:spacing w:line="560" w:lineRule="exact"/>
        <w:ind w:firstLine="643" w:firstLineChars="200"/>
        <w:rPr>
          <w:rFonts w:hint="eastAsia" w:ascii="楷体_GB2312" w:eastAsia="楷体_GB2312"/>
          <w:b/>
          <w:sz w:val="32"/>
          <w:szCs w:val="32"/>
        </w:rPr>
      </w:pPr>
    </w:p>
    <w:p>
      <w:pPr>
        <w:tabs>
          <w:tab w:val="left" w:pos="1265"/>
        </w:tabs>
        <w:spacing w:line="560" w:lineRule="exact"/>
        <w:ind w:firstLine="643" w:firstLineChars="200"/>
        <w:rPr>
          <w:rFonts w:ascii="楷体_GB2312" w:eastAsia="楷体_GB2312"/>
          <w:b/>
          <w:sz w:val="32"/>
          <w:szCs w:val="32"/>
        </w:rPr>
      </w:pPr>
      <w:r>
        <w:rPr>
          <w:rFonts w:hint="eastAsia" w:ascii="楷体_GB2312" w:eastAsia="楷体_GB2312"/>
          <w:b/>
          <w:sz w:val="32"/>
          <w:szCs w:val="32"/>
        </w:rPr>
        <w:t>（三）部门财政资金支出情况</w:t>
      </w:r>
    </w:p>
    <w:p>
      <w:pPr>
        <w:pStyle w:val="22"/>
        <w:rPr>
          <w:rFonts w:hint="eastAsia" w:ascii="仿宋_GB2312" w:hAnsi="仿宋_GB2312" w:eastAsia="仿宋_GB2312" w:cs="仿宋_GB2312"/>
          <w:lang w:val="en-US"/>
        </w:rPr>
      </w:pPr>
      <w:r>
        <w:rPr>
          <w:rFonts w:hint="eastAsia" w:ascii="仿宋_GB2312" w:hAnsi="仿宋_GB2312" w:eastAsia="仿宋_GB2312" w:cs="仿宋_GB2312"/>
          <w:lang w:val="en-US"/>
        </w:rPr>
        <w:t>2</w:t>
      </w:r>
      <w:r>
        <w:rPr>
          <w:rFonts w:hint="eastAsia" w:ascii="仿宋_GB2312" w:hAnsi="仿宋_GB2312" w:eastAsia="仿宋_GB2312" w:cs="仿宋_GB2312"/>
        </w:rPr>
        <w:t>020年燕子乡人民政府支出合计528.2</w:t>
      </w:r>
      <w:r>
        <w:rPr>
          <w:rFonts w:hint="eastAsia" w:ascii="仿宋_GB2312" w:hAnsi="仿宋_GB2312" w:eastAsia="仿宋_GB2312" w:cs="仿宋_GB2312"/>
          <w:lang w:val="en-US"/>
        </w:rPr>
        <w:t>5</w:t>
      </w:r>
      <w:r>
        <w:rPr>
          <w:rFonts w:hint="eastAsia" w:ascii="仿宋_GB2312" w:hAnsi="仿宋_GB2312" w:eastAsia="仿宋_GB2312" w:cs="仿宋_GB2312"/>
        </w:rPr>
        <w:t>万元，其中：基本支出402.</w:t>
      </w:r>
      <w:r>
        <w:rPr>
          <w:rFonts w:hint="eastAsia" w:ascii="仿宋_GB2312" w:hAnsi="仿宋_GB2312" w:eastAsia="仿宋_GB2312" w:cs="仿宋_GB2312"/>
          <w:lang w:val="en-US"/>
        </w:rPr>
        <w:t>5</w:t>
      </w:r>
      <w:r>
        <w:rPr>
          <w:rFonts w:hint="eastAsia" w:ascii="仿宋_GB2312" w:hAnsi="仿宋_GB2312" w:eastAsia="仿宋_GB2312" w:cs="仿宋_GB2312"/>
        </w:rPr>
        <w:t>万元，占76.19%；项目支出125.7</w:t>
      </w:r>
      <w:r>
        <w:rPr>
          <w:rFonts w:hint="eastAsia" w:ascii="仿宋_GB2312" w:hAnsi="仿宋_GB2312" w:eastAsia="仿宋_GB2312" w:cs="仿宋_GB2312"/>
          <w:lang w:val="en-US"/>
        </w:rPr>
        <w:t>5</w:t>
      </w:r>
      <w:r>
        <w:rPr>
          <w:rFonts w:hint="eastAsia" w:ascii="仿宋_GB2312" w:hAnsi="仿宋_GB2312" w:eastAsia="仿宋_GB2312" w:cs="仿宋_GB2312"/>
        </w:rPr>
        <w:t>万元，占23.81%；上缴上级支出0万元，占0%；经营支出0万元，占0%；对附属单位补助支出0万元，占0%；年末结转结余121.09万元。年初支出预算数为</w:t>
      </w:r>
      <w:r>
        <w:rPr>
          <w:rFonts w:hint="eastAsia" w:ascii="仿宋_GB2312" w:hAnsi="仿宋_GB2312" w:eastAsia="仿宋_GB2312" w:cs="仿宋_GB2312"/>
          <w:lang w:val="en-US"/>
        </w:rPr>
        <w:t>521.4</w:t>
      </w:r>
      <w:r>
        <w:rPr>
          <w:rFonts w:hint="eastAsia" w:ascii="仿宋_GB2312" w:hAnsi="仿宋_GB2312" w:eastAsia="仿宋_GB2312" w:cs="仿宋_GB2312"/>
        </w:rPr>
        <w:t>万元，支出调整预算数为</w:t>
      </w:r>
      <w:r>
        <w:rPr>
          <w:rFonts w:hint="eastAsia" w:ascii="仿宋_GB2312" w:hAnsi="仿宋_GB2312" w:eastAsia="仿宋_GB2312" w:cs="仿宋_GB2312"/>
          <w:lang w:val="en-US"/>
        </w:rPr>
        <w:t>649.33</w:t>
      </w:r>
      <w:r>
        <w:rPr>
          <w:rFonts w:hint="eastAsia" w:ascii="仿宋_GB2312" w:hAnsi="仿宋_GB2312" w:eastAsia="仿宋_GB2312" w:cs="仿宋_GB2312"/>
        </w:rPr>
        <w:t>万元，支出决算数为</w:t>
      </w:r>
      <w:r>
        <w:rPr>
          <w:rFonts w:hint="eastAsia" w:ascii="仿宋_GB2312" w:hAnsi="仿宋_GB2312" w:eastAsia="仿宋_GB2312" w:cs="仿宋_GB2312"/>
          <w:lang w:val="en-US"/>
        </w:rPr>
        <w:t>649.33</w:t>
      </w:r>
      <w:r>
        <w:rPr>
          <w:rFonts w:hint="eastAsia" w:ascii="仿宋_GB2312" w:hAnsi="仿宋_GB2312" w:eastAsia="仿宋_GB2312" w:cs="仿宋_GB2312"/>
        </w:rPr>
        <w:t>万元。具体情况见表</w:t>
      </w:r>
      <w:r>
        <w:rPr>
          <w:rFonts w:hint="eastAsia" w:ascii="仿宋_GB2312" w:hAnsi="仿宋_GB2312" w:eastAsia="仿宋_GB2312" w:cs="仿宋_GB2312"/>
          <w:lang w:val="en-US"/>
        </w:rPr>
        <w:t>1</w:t>
      </w:r>
      <w:r>
        <w:rPr>
          <w:rFonts w:hint="eastAsia" w:ascii="仿宋_GB2312" w:hAnsi="仿宋_GB2312" w:eastAsia="仿宋_GB2312" w:cs="仿宋_GB2312"/>
        </w:rPr>
        <w:t>-2</w:t>
      </w:r>
      <w:r>
        <w:rPr>
          <w:rFonts w:hint="eastAsia" w:ascii="仿宋_GB2312" w:hAnsi="仿宋_GB2312" w:eastAsia="仿宋_GB2312" w:cs="仿宋_GB2312"/>
          <w:lang w:val="en-US"/>
        </w:rPr>
        <w:t>：</w:t>
      </w:r>
    </w:p>
    <w:p>
      <w:pPr>
        <w:pStyle w:val="19"/>
        <w:spacing w:after="0"/>
        <w:ind w:firstLine="482" w:firstLineChars="200"/>
      </w:pPr>
      <w:r>
        <w:rPr>
          <w:rFonts w:hint="eastAsia"/>
        </w:rPr>
        <w:t>表1</w:t>
      </w:r>
      <w:r>
        <w:t>-</w:t>
      </w:r>
      <w:r>
        <w:rPr>
          <w:rFonts w:hint="eastAsia"/>
        </w:rPr>
        <w:t>2  2020</w:t>
      </w:r>
      <w:r>
        <w:t>年</w:t>
      </w:r>
      <w:r>
        <w:rPr>
          <w:rFonts w:hint="eastAsia"/>
        </w:rPr>
        <w:t>燕子乡人民政府支出</w:t>
      </w:r>
      <w:r>
        <w:t>预决算情况表</w:t>
      </w:r>
    </w:p>
    <w:p>
      <w:pPr>
        <w:pStyle w:val="19"/>
        <w:spacing w:after="0"/>
        <w:ind w:firstLine="482" w:firstLineChars="200"/>
        <w:jc w:val="right"/>
      </w:pPr>
      <w:r>
        <w:rPr>
          <w:rFonts w:hint="eastAsia"/>
        </w:rPr>
        <w:t>单位</w:t>
      </w:r>
      <w:r>
        <w:t>：万元</w:t>
      </w:r>
    </w:p>
    <w:tbl>
      <w:tblPr>
        <w:tblStyle w:val="1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2258"/>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2259" w:type="dxa"/>
          </w:tcPr>
          <w:p>
            <w:pPr>
              <w:pStyle w:val="20"/>
              <w:ind w:firstLine="440" w:firstLineChars="200"/>
              <w:rPr>
                <w:color w:val="auto"/>
              </w:rPr>
            </w:pPr>
          </w:p>
        </w:tc>
        <w:tc>
          <w:tcPr>
            <w:tcW w:w="2258" w:type="dxa"/>
          </w:tcPr>
          <w:p>
            <w:pPr>
              <w:pStyle w:val="20"/>
              <w:ind w:firstLine="442" w:firstLineChars="200"/>
              <w:rPr>
                <w:b/>
                <w:color w:val="auto"/>
              </w:rPr>
            </w:pPr>
            <w:r>
              <w:rPr>
                <w:rFonts w:hint="eastAsia"/>
                <w:b/>
                <w:color w:val="auto"/>
              </w:rPr>
              <w:t>支出</w:t>
            </w:r>
            <w:r>
              <w:rPr>
                <w:b/>
                <w:color w:val="auto"/>
              </w:rPr>
              <w:t>预算数</w:t>
            </w:r>
          </w:p>
        </w:tc>
        <w:tc>
          <w:tcPr>
            <w:tcW w:w="2261" w:type="dxa"/>
          </w:tcPr>
          <w:p>
            <w:pPr>
              <w:pStyle w:val="20"/>
              <w:ind w:firstLine="442" w:firstLineChars="200"/>
              <w:rPr>
                <w:b/>
                <w:color w:val="auto"/>
              </w:rPr>
            </w:pPr>
            <w:r>
              <w:rPr>
                <w:rFonts w:hint="eastAsia"/>
                <w:b/>
                <w:color w:val="auto"/>
              </w:rPr>
              <w:t>支出</w:t>
            </w:r>
            <w:r>
              <w:rPr>
                <w:b/>
                <w:color w:val="auto"/>
              </w:rPr>
              <w:t>调整数</w:t>
            </w:r>
          </w:p>
        </w:tc>
        <w:tc>
          <w:tcPr>
            <w:tcW w:w="2261" w:type="dxa"/>
          </w:tcPr>
          <w:p>
            <w:pPr>
              <w:pStyle w:val="20"/>
              <w:ind w:firstLine="442" w:firstLineChars="200"/>
              <w:rPr>
                <w:b/>
                <w:color w:val="auto"/>
              </w:rPr>
            </w:pPr>
            <w:r>
              <w:rPr>
                <w:rFonts w:hint="eastAsia"/>
                <w:b/>
                <w:color w:val="auto"/>
              </w:rPr>
              <w:t>支出</w:t>
            </w:r>
            <w:r>
              <w:rPr>
                <w:b/>
                <w:color w:val="auto"/>
              </w:rPr>
              <w:t>决算</w:t>
            </w:r>
            <w:r>
              <w:rPr>
                <w:rFonts w:hint="eastAsia"/>
                <w:b/>
                <w:color w:val="auto"/>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59" w:type="dxa"/>
          </w:tcPr>
          <w:p>
            <w:pPr>
              <w:pStyle w:val="20"/>
              <w:ind w:firstLine="440" w:firstLineChars="200"/>
              <w:rPr>
                <w:color w:val="auto"/>
              </w:rPr>
            </w:pPr>
            <w:r>
              <w:rPr>
                <w:rFonts w:hint="eastAsia"/>
                <w:color w:val="auto"/>
              </w:rPr>
              <w:t>基本支出</w:t>
            </w:r>
          </w:p>
        </w:tc>
        <w:tc>
          <w:tcPr>
            <w:tcW w:w="2258" w:type="dxa"/>
          </w:tcPr>
          <w:p>
            <w:pPr>
              <w:pStyle w:val="20"/>
              <w:ind w:firstLine="440" w:firstLineChars="200"/>
              <w:rPr>
                <w:color w:val="auto"/>
                <w:lang w:val="en-US"/>
              </w:rPr>
            </w:pPr>
            <w:r>
              <w:rPr>
                <w:rFonts w:hint="eastAsia"/>
                <w:color w:val="auto"/>
                <w:lang w:val="en-US"/>
              </w:rPr>
              <w:t>423.89</w:t>
            </w:r>
          </w:p>
        </w:tc>
        <w:tc>
          <w:tcPr>
            <w:tcW w:w="2261" w:type="dxa"/>
          </w:tcPr>
          <w:p>
            <w:pPr>
              <w:pStyle w:val="20"/>
              <w:ind w:firstLine="440" w:firstLineChars="200"/>
              <w:rPr>
                <w:color w:val="auto"/>
                <w:lang w:val="en-US"/>
              </w:rPr>
            </w:pPr>
            <w:r>
              <w:rPr>
                <w:rFonts w:hint="eastAsia"/>
                <w:color w:val="auto"/>
                <w:lang w:val="en-US"/>
              </w:rPr>
              <w:t>456.3</w:t>
            </w:r>
          </w:p>
        </w:tc>
        <w:tc>
          <w:tcPr>
            <w:tcW w:w="2261" w:type="dxa"/>
          </w:tcPr>
          <w:p>
            <w:pPr>
              <w:pStyle w:val="20"/>
              <w:ind w:firstLine="440" w:firstLineChars="200"/>
              <w:rPr>
                <w:color w:val="auto"/>
                <w:lang w:val="en-US"/>
              </w:rPr>
            </w:pPr>
            <w:r>
              <w:rPr>
                <w:rFonts w:hint="eastAsia"/>
                <w:color w:val="auto"/>
                <w:lang w:val="en-US"/>
              </w:rPr>
              <w:t>402.5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59" w:type="dxa"/>
          </w:tcPr>
          <w:p>
            <w:pPr>
              <w:pStyle w:val="20"/>
              <w:ind w:firstLine="440" w:firstLineChars="200"/>
              <w:rPr>
                <w:color w:val="auto"/>
              </w:rPr>
            </w:pPr>
            <w:r>
              <w:rPr>
                <w:rFonts w:hint="eastAsia"/>
                <w:color w:val="auto"/>
              </w:rPr>
              <w:t>项目支出</w:t>
            </w:r>
          </w:p>
        </w:tc>
        <w:tc>
          <w:tcPr>
            <w:tcW w:w="2258" w:type="dxa"/>
          </w:tcPr>
          <w:p>
            <w:pPr>
              <w:pStyle w:val="20"/>
              <w:ind w:firstLine="440" w:firstLineChars="200"/>
              <w:rPr>
                <w:color w:val="auto"/>
                <w:lang w:val="en-US"/>
              </w:rPr>
            </w:pPr>
            <w:r>
              <w:rPr>
                <w:rFonts w:hint="eastAsia"/>
                <w:color w:val="auto"/>
                <w:lang w:val="en-US"/>
              </w:rPr>
              <w:t>97.50</w:t>
            </w:r>
          </w:p>
        </w:tc>
        <w:tc>
          <w:tcPr>
            <w:tcW w:w="2261" w:type="dxa"/>
          </w:tcPr>
          <w:p>
            <w:pPr>
              <w:pStyle w:val="20"/>
              <w:ind w:firstLine="440" w:firstLineChars="200"/>
              <w:rPr>
                <w:color w:val="auto"/>
                <w:lang w:val="en-US"/>
              </w:rPr>
            </w:pPr>
            <w:r>
              <w:rPr>
                <w:rFonts w:hint="eastAsia"/>
                <w:color w:val="auto"/>
                <w:lang w:val="en-US"/>
              </w:rPr>
              <w:t>193.03</w:t>
            </w:r>
          </w:p>
        </w:tc>
        <w:tc>
          <w:tcPr>
            <w:tcW w:w="2261" w:type="dxa"/>
          </w:tcPr>
          <w:p>
            <w:pPr>
              <w:pStyle w:val="20"/>
              <w:ind w:firstLine="440" w:firstLineChars="200"/>
              <w:rPr>
                <w:color w:val="auto"/>
                <w:lang w:val="en-US"/>
              </w:rPr>
            </w:pPr>
            <w:r>
              <w:rPr>
                <w:rFonts w:hint="eastAsia"/>
                <w:color w:val="auto"/>
                <w:lang w:val="en-US"/>
              </w:rPr>
              <w:t>125.75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59" w:type="dxa"/>
          </w:tcPr>
          <w:p>
            <w:pPr>
              <w:pStyle w:val="20"/>
              <w:ind w:firstLine="440" w:firstLineChars="200"/>
              <w:rPr>
                <w:color w:val="auto"/>
              </w:rPr>
            </w:pPr>
            <w:r>
              <w:rPr>
                <w:rFonts w:hint="eastAsia"/>
                <w:color w:val="auto"/>
              </w:rPr>
              <w:t>经营支出</w:t>
            </w:r>
          </w:p>
        </w:tc>
        <w:tc>
          <w:tcPr>
            <w:tcW w:w="2258" w:type="dxa"/>
          </w:tcPr>
          <w:p>
            <w:pPr>
              <w:pStyle w:val="20"/>
              <w:ind w:firstLine="440" w:firstLineChars="200"/>
              <w:rPr>
                <w:color w:val="auto"/>
              </w:rPr>
            </w:pPr>
          </w:p>
        </w:tc>
        <w:tc>
          <w:tcPr>
            <w:tcW w:w="2261" w:type="dxa"/>
          </w:tcPr>
          <w:p>
            <w:pPr>
              <w:pStyle w:val="20"/>
              <w:ind w:firstLine="440" w:firstLineChars="200"/>
              <w:rPr>
                <w:color w:val="auto"/>
              </w:rPr>
            </w:pPr>
          </w:p>
        </w:tc>
        <w:tc>
          <w:tcPr>
            <w:tcW w:w="2261" w:type="dxa"/>
          </w:tcPr>
          <w:p>
            <w:pPr>
              <w:pStyle w:val="20"/>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59" w:type="dxa"/>
          </w:tcPr>
          <w:p>
            <w:pPr>
              <w:pStyle w:val="20"/>
              <w:ind w:firstLine="440" w:firstLineChars="200"/>
              <w:rPr>
                <w:color w:val="auto"/>
              </w:rPr>
            </w:pPr>
            <w:r>
              <w:rPr>
                <w:rFonts w:hint="eastAsia"/>
                <w:color w:val="auto"/>
              </w:rPr>
              <w:t>结余分配</w:t>
            </w:r>
          </w:p>
        </w:tc>
        <w:tc>
          <w:tcPr>
            <w:tcW w:w="2258" w:type="dxa"/>
          </w:tcPr>
          <w:p>
            <w:pPr>
              <w:pStyle w:val="20"/>
              <w:ind w:firstLine="440" w:firstLineChars="200"/>
              <w:rPr>
                <w:color w:val="auto"/>
              </w:rPr>
            </w:pPr>
          </w:p>
        </w:tc>
        <w:tc>
          <w:tcPr>
            <w:tcW w:w="2261" w:type="dxa"/>
          </w:tcPr>
          <w:p>
            <w:pPr>
              <w:pStyle w:val="20"/>
              <w:ind w:firstLine="440" w:firstLineChars="200"/>
              <w:rPr>
                <w:color w:val="auto"/>
              </w:rPr>
            </w:pPr>
          </w:p>
        </w:tc>
        <w:tc>
          <w:tcPr>
            <w:tcW w:w="2261" w:type="dxa"/>
          </w:tcPr>
          <w:p>
            <w:pPr>
              <w:pStyle w:val="20"/>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59" w:type="dxa"/>
          </w:tcPr>
          <w:p>
            <w:pPr>
              <w:pStyle w:val="20"/>
              <w:ind w:firstLine="440" w:firstLineChars="200"/>
              <w:rPr>
                <w:color w:val="auto"/>
              </w:rPr>
            </w:pPr>
            <w:r>
              <w:rPr>
                <w:rFonts w:hint="eastAsia"/>
                <w:color w:val="auto"/>
              </w:rPr>
              <w:t>年末</w:t>
            </w:r>
            <w:r>
              <w:rPr>
                <w:color w:val="auto"/>
              </w:rPr>
              <w:t>结转结余</w:t>
            </w:r>
          </w:p>
        </w:tc>
        <w:tc>
          <w:tcPr>
            <w:tcW w:w="2258" w:type="dxa"/>
          </w:tcPr>
          <w:p>
            <w:pPr>
              <w:pStyle w:val="20"/>
              <w:ind w:firstLine="440" w:firstLineChars="200"/>
              <w:rPr>
                <w:color w:val="auto"/>
                <w:lang w:val="en-US"/>
              </w:rPr>
            </w:pPr>
          </w:p>
        </w:tc>
        <w:tc>
          <w:tcPr>
            <w:tcW w:w="2261" w:type="dxa"/>
          </w:tcPr>
          <w:p>
            <w:pPr>
              <w:pStyle w:val="20"/>
              <w:ind w:firstLine="440" w:firstLineChars="200"/>
              <w:rPr>
                <w:color w:val="auto"/>
                <w:lang w:val="en-US"/>
              </w:rPr>
            </w:pPr>
          </w:p>
        </w:tc>
        <w:tc>
          <w:tcPr>
            <w:tcW w:w="2261" w:type="dxa"/>
          </w:tcPr>
          <w:p>
            <w:pPr>
              <w:pStyle w:val="20"/>
              <w:ind w:firstLine="440" w:firstLineChars="200"/>
              <w:rPr>
                <w:color w:val="auto"/>
                <w:lang w:val="en-US"/>
              </w:rPr>
            </w:pPr>
            <w:r>
              <w:rPr>
                <w:rFonts w:hint="eastAsia"/>
                <w:color w:val="auto"/>
                <w:lang w:val="en-US"/>
              </w:rPr>
              <w:t>121.09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259" w:type="dxa"/>
          </w:tcPr>
          <w:p>
            <w:pPr>
              <w:pStyle w:val="20"/>
              <w:ind w:firstLine="442" w:firstLineChars="200"/>
              <w:rPr>
                <w:b/>
                <w:color w:val="auto"/>
              </w:rPr>
            </w:pPr>
            <w:r>
              <w:rPr>
                <w:rFonts w:hint="eastAsia"/>
                <w:b/>
                <w:color w:val="auto"/>
              </w:rPr>
              <w:t>合计</w:t>
            </w:r>
          </w:p>
        </w:tc>
        <w:tc>
          <w:tcPr>
            <w:tcW w:w="2258" w:type="dxa"/>
          </w:tcPr>
          <w:p>
            <w:pPr>
              <w:pStyle w:val="20"/>
              <w:ind w:firstLine="442" w:firstLineChars="200"/>
              <w:rPr>
                <w:b/>
                <w:color w:val="auto"/>
                <w:lang w:val="en-US"/>
              </w:rPr>
            </w:pPr>
            <w:r>
              <w:rPr>
                <w:rFonts w:hint="eastAsia"/>
                <w:b/>
                <w:color w:val="auto"/>
                <w:lang w:val="en-US"/>
              </w:rPr>
              <w:t>521.4</w:t>
            </w:r>
          </w:p>
        </w:tc>
        <w:tc>
          <w:tcPr>
            <w:tcW w:w="2261" w:type="dxa"/>
          </w:tcPr>
          <w:p>
            <w:pPr>
              <w:pStyle w:val="20"/>
              <w:ind w:firstLine="442" w:firstLineChars="200"/>
              <w:rPr>
                <w:b/>
                <w:color w:val="auto"/>
                <w:lang w:val="en-US"/>
              </w:rPr>
            </w:pPr>
            <w:r>
              <w:rPr>
                <w:rFonts w:hint="eastAsia"/>
                <w:b/>
                <w:color w:val="auto"/>
                <w:lang w:val="en-US"/>
              </w:rPr>
              <w:t>649.33</w:t>
            </w:r>
          </w:p>
        </w:tc>
        <w:tc>
          <w:tcPr>
            <w:tcW w:w="2261" w:type="dxa"/>
          </w:tcPr>
          <w:p>
            <w:pPr>
              <w:pStyle w:val="20"/>
              <w:ind w:firstLine="442" w:firstLineChars="200"/>
              <w:rPr>
                <w:b/>
                <w:color w:val="auto"/>
                <w:lang w:val="en-US"/>
              </w:rPr>
            </w:pPr>
            <w:r>
              <w:rPr>
                <w:rFonts w:hint="eastAsia"/>
                <w:b/>
                <w:color w:val="auto"/>
                <w:lang w:val="en-US"/>
              </w:rPr>
              <w:t>649.33</w:t>
            </w:r>
          </w:p>
        </w:tc>
      </w:tr>
    </w:tbl>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三、评价结论和绩效分析</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（一）评价结论</w:t>
      </w:r>
    </w:p>
    <w:p>
      <w:pPr>
        <w:pStyle w:val="22"/>
        <w:rPr>
          <w:rFonts w:hint="eastAsia" w:ascii="仿宋_GB2312" w:hAnsi="仿宋_GB2312" w:eastAsia="仿宋_GB2312" w:cs="仿宋_GB2312"/>
        </w:rPr>
      </w:pPr>
      <w:r>
        <w:rPr>
          <w:rFonts w:hint="eastAsia" w:ascii="仿宋_GB2312" w:hAnsi="仿宋_GB2312" w:eastAsia="仿宋_GB2312" w:cs="仿宋_GB2312"/>
          <w:lang w:val="en-US"/>
        </w:rPr>
        <w:t>燕子乡人民政府</w:t>
      </w:r>
      <w:r>
        <w:rPr>
          <w:rFonts w:hint="eastAsia" w:ascii="仿宋_GB2312" w:hAnsi="仿宋_GB2312" w:eastAsia="仿宋_GB2312" w:cs="仿宋_GB2312"/>
        </w:rPr>
        <w:t>预算测算过程较为完整，在</w:t>
      </w:r>
      <w:r>
        <w:rPr>
          <w:rFonts w:hint="eastAsia" w:ascii="仿宋_GB2312" w:hAnsi="仿宋_GB2312" w:eastAsia="仿宋_GB2312" w:cs="仿宋_GB2312"/>
          <w:lang w:val="en-US"/>
        </w:rPr>
        <w:t>预算编制、</w:t>
      </w:r>
      <w:r>
        <w:rPr>
          <w:rFonts w:hint="eastAsia" w:ascii="仿宋_GB2312" w:hAnsi="仿宋_GB2312" w:eastAsia="仿宋_GB2312" w:cs="仿宋_GB2312"/>
        </w:rPr>
        <w:t>信息公开等综合管理方面执行较好，部门整体支出绩效完成情况良好。但评价中也发现</w:t>
      </w:r>
      <w:r>
        <w:rPr>
          <w:rFonts w:hint="eastAsia" w:ascii="仿宋_GB2312" w:hAnsi="仿宋_GB2312" w:eastAsia="仿宋_GB2312" w:cs="仿宋_GB2312"/>
          <w:lang w:val="en-US"/>
        </w:rPr>
        <w:t>部门预算执行方面</w:t>
      </w:r>
      <w:r>
        <w:rPr>
          <w:rFonts w:hint="eastAsia" w:ascii="仿宋_GB2312" w:hAnsi="仿宋_GB2312" w:eastAsia="仿宋_GB2312" w:cs="仿宋_GB2312"/>
        </w:rPr>
        <w:t>存在瑕疵，本次整体支出绩效评级综合得分情况如下：预算管理指标权重为</w:t>
      </w:r>
      <w:r>
        <w:rPr>
          <w:rFonts w:hint="eastAsia" w:ascii="仿宋_GB2312" w:hAnsi="仿宋_GB2312" w:eastAsia="仿宋_GB2312" w:cs="仿宋_GB2312"/>
          <w:lang w:val="en-US"/>
        </w:rPr>
        <w:t>80</w:t>
      </w:r>
      <w:r>
        <w:rPr>
          <w:rFonts w:hint="eastAsia" w:ascii="仿宋_GB2312" w:hAnsi="仿宋_GB2312" w:eastAsia="仿宋_GB2312" w:cs="仿宋_GB2312"/>
        </w:rPr>
        <w:t>分，得分为</w:t>
      </w:r>
      <w:r>
        <w:rPr>
          <w:rFonts w:hint="eastAsia" w:ascii="仿宋_GB2312" w:hAnsi="仿宋_GB2312" w:eastAsia="仿宋_GB2312" w:cs="仿宋_GB2312"/>
          <w:lang w:val="en-US"/>
        </w:rPr>
        <w:t>53.59</w:t>
      </w:r>
      <w:r>
        <w:rPr>
          <w:rFonts w:hint="eastAsia" w:ascii="仿宋_GB2312" w:hAnsi="仿宋_GB2312" w:eastAsia="仿宋_GB2312" w:cs="仿宋_GB2312"/>
        </w:rPr>
        <w:t>分，得分率为</w:t>
      </w:r>
      <w:r>
        <w:rPr>
          <w:rFonts w:hint="eastAsia" w:ascii="仿宋_GB2312" w:hAnsi="仿宋_GB2312" w:eastAsia="仿宋_GB2312" w:cs="仿宋_GB2312"/>
          <w:lang w:val="en-US"/>
        </w:rPr>
        <w:t>67</w:t>
      </w:r>
      <w:r>
        <w:rPr>
          <w:rFonts w:hint="eastAsia" w:ascii="仿宋_GB2312" w:hAnsi="仿宋_GB2312" w:eastAsia="仿宋_GB2312" w:cs="仿宋_GB2312"/>
        </w:rPr>
        <w:t>%；</w:t>
      </w:r>
      <w:r>
        <w:rPr>
          <w:rFonts w:hint="eastAsia" w:ascii="仿宋_GB2312" w:hAnsi="仿宋_GB2312" w:eastAsia="仿宋_GB2312" w:cs="仿宋_GB2312"/>
          <w:lang w:val="en-US"/>
        </w:rPr>
        <w:t>绩效结果运用</w:t>
      </w:r>
      <w:r>
        <w:rPr>
          <w:rFonts w:hint="eastAsia" w:ascii="仿宋_GB2312" w:hAnsi="仿宋_GB2312" w:eastAsia="仿宋_GB2312" w:cs="仿宋_GB2312"/>
        </w:rPr>
        <w:t>指标权重为</w:t>
      </w:r>
      <w:r>
        <w:rPr>
          <w:rFonts w:hint="eastAsia" w:ascii="仿宋_GB2312" w:hAnsi="仿宋_GB2312" w:eastAsia="仿宋_GB2312" w:cs="仿宋_GB2312"/>
          <w:lang w:val="en-US"/>
        </w:rPr>
        <w:t>20</w:t>
      </w:r>
      <w:r>
        <w:rPr>
          <w:rFonts w:hint="eastAsia" w:ascii="仿宋_GB2312" w:hAnsi="仿宋_GB2312" w:eastAsia="仿宋_GB2312" w:cs="仿宋_GB2312"/>
        </w:rPr>
        <w:t>分，得分为</w:t>
      </w:r>
      <w:r>
        <w:rPr>
          <w:rFonts w:hint="eastAsia" w:ascii="仿宋_GB2312" w:hAnsi="仿宋_GB2312" w:eastAsia="仿宋_GB2312" w:cs="仿宋_GB2312"/>
          <w:lang w:val="en-US"/>
        </w:rPr>
        <w:t>16</w:t>
      </w:r>
      <w:r>
        <w:rPr>
          <w:rFonts w:hint="eastAsia" w:ascii="仿宋_GB2312" w:hAnsi="仿宋_GB2312" w:eastAsia="仿宋_GB2312" w:cs="仿宋_GB2312"/>
        </w:rPr>
        <w:t>分，得分率为</w:t>
      </w:r>
      <w:r>
        <w:rPr>
          <w:rFonts w:hint="eastAsia" w:ascii="仿宋_GB2312" w:hAnsi="仿宋_GB2312" w:eastAsia="仿宋_GB2312" w:cs="仿宋_GB2312"/>
          <w:lang w:val="en-US"/>
        </w:rPr>
        <w:t>80</w:t>
      </w:r>
      <w:r>
        <w:rPr>
          <w:rFonts w:hint="eastAsia" w:ascii="仿宋_GB2312" w:hAnsi="仿宋_GB2312" w:eastAsia="仿宋_GB2312" w:cs="仿宋_GB2312"/>
        </w:rPr>
        <w:t>%；本项目总分为</w:t>
      </w:r>
      <w:r>
        <w:rPr>
          <w:rFonts w:hint="eastAsia" w:ascii="仿宋_GB2312" w:hAnsi="仿宋_GB2312" w:eastAsia="仿宋_GB2312" w:cs="仿宋_GB2312"/>
          <w:lang w:val="en-US"/>
        </w:rPr>
        <w:t>69.59</w:t>
      </w:r>
      <w:r>
        <w:rPr>
          <w:rFonts w:hint="eastAsia" w:ascii="仿宋_GB2312" w:hAnsi="仿宋_GB2312" w:eastAsia="仿宋_GB2312" w:cs="仿宋_GB2312"/>
        </w:rPr>
        <w:t>分。详情见下表</w:t>
      </w:r>
      <w:r>
        <w:rPr>
          <w:rFonts w:hint="eastAsia" w:ascii="仿宋_GB2312" w:hAnsi="仿宋_GB2312" w:eastAsia="仿宋_GB2312" w:cs="仿宋_GB2312"/>
          <w:lang w:val="en-US"/>
        </w:rPr>
        <w:t>2</w:t>
      </w:r>
      <w:r>
        <w:rPr>
          <w:rFonts w:hint="eastAsia" w:ascii="仿宋_GB2312" w:hAnsi="仿宋_GB2312" w:eastAsia="仿宋_GB2312" w:cs="仿宋_GB2312"/>
        </w:rPr>
        <w:t>-1。</w:t>
      </w:r>
    </w:p>
    <w:p>
      <w:pPr>
        <w:pStyle w:val="19"/>
        <w:spacing w:after="0"/>
        <w:ind w:firstLine="482" w:firstLineChars="200"/>
      </w:pPr>
      <w:r>
        <w:t>表</w:t>
      </w:r>
      <w:r>
        <w:rPr>
          <w:rFonts w:hint="eastAsia"/>
        </w:rPr>
        <w:t xml:space="preserve">2-1 </w:t>
      </w:r>
      <w:r>
        <w:rPr>
          <w:rFonts w:hint="eastAsia"/>
          <w:lang w:val="en-US" w:eastAsia="zh-CN"/>
        </w:rPr>
        <w:t xml:space="preserve"> </w:t>
      </w:r>
      <w:r>
        <w:rPr>
          <w:rFonts w:hint="eastAsia"/>
        </w:rPr>
        <w:t>2020年燕子乡人民政府</w:t>
      </w:r>
      <w:r>
        <w:t>部门整体支出绩效得分情况表</w:t>
      </w:r>
    </w:p>
    <w:tbl>
      <w:tblPr>
        <w:tblStyle w:val="12"/>
        <w:tblW w:w="8917" w:type="dxa"/>
        <w:tblInd w:w="0" w:type="dxa"/>
        <w:tblLayout w:type="fixed"/>
        <w:tblCellMar>
          <w:top w:w="15" w:type="dxa"/>
          <w:left w:w="15" w:type="dxa"/>
          <w:bottom w:w="15" w:type="dxa"/>
          <w:right w:w="15" w:type="dxa"/>
        </w:tblCellMar>
      </w:tblPr>
      <w:tblGrid>
        <w:gridCol w:w="2122"/>
        <w:gridCol w:w="1083"/>
        <w:gridCol w:w="1692"/>
        <w:gridCol w:w="1199"/>
        <w:gridCol w:w="1033"/>
        <w:gridCol w:w="1033"/>
        <w:gridCol w:w="755"/>
      </w:tblGrid>
      <w:tr>
        <w:tblPrEx>
          <w:tblCellMar>
            <w:top w:w="15" w:type="dxa"/>
            <w:left w:w="15" w:type="dxa"/>
            <w:bottom w:w="15" w:type="dxa"/>
            <w:right w:w="15" w:type="dxa"/>
          </w:tblCellMar>
        </w:tblPrEx>
        <w:trPr>
          <w:trHeight w:val="355" w:hRule="atLeast"/>
        </w:trPr>
        <w:tc>
          <w:tcPr>
            <w:tcW w:w="4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绩效指标</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指标分值</w:t>
            </w:r>
          </w:p>
        </w:tc>
        <w:tc>
          <w:tcPr>
            <w:tcW w:w="103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kern w:val="0"/>
                <w:sz w:val="20"/>
                <w:szCs w:val="20"/>
              </w:rPr>
            </w:pPr>
            <w:r>
              <w:rPr>
                <w:rFonts w:hint="eastAsia" w:ascii="仿宋" w:hAnsi="仿宋" w:eastAsia="仿宋" w:cs="仿宋"/>
                <w:b/>
                <w:color w:val="000000"/>
                <w:kern w:val="0"/>
                <w:sz w:val="20"/>
                <w:szCs w:val="20"/>
              </w:rPr>
              <w:t>自评得分</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评价得分</w:t>
            </w:r>
          </w:p>
        </w:tc>
        <w:tc>
          <w:tcPr>
            <w:tcW w:w="75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kern w:val="0"/>
                <w:sz w:val="20"/>
                <w:szCs w:val="20"/>
              </w:rPr>
            </w:pPr>
            <w:r>
              <w:rPr>
                <w:rFonts w:hint="eastAsia" w:ascii="仿宋" w:hAnsi="仿宋" w:eastAsia="仿宋" w:cs="仿宋"/>
                <w:b/>
                <w:color w:val="000000"/>
                <w:kern w:val="0"/>
                <w:sz w:val="20"/>
                <w:szCs w:val="20"/>
              </w:rPr>
              <w:t>备注</w:t>
            </w:r>
          </w:p>
        </w:tc>
      </w:tr>
      <w:tr>
        <w:tblPrEx>
          <w:tblCellMar>
            <w:top w:w="15" w:type="dxa"/>
            <w:left w:w="15" w:type="dxa"/>
            <w:bottom w:w="15" w:type="dxa"/>
            <w:right w:w="15" w:type="dxa"/>
          </w:tblCellMar>
        </w:tblPrEx>
        <w:trPr>
          <w:trHeight w:val="355" w:hRule="atLeast"/>
        </w:trPr>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一级指标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二级指标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三级指标</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103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75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r>
      <w:tr>
        <w:tblPrEx>
          <w:tblCellMar>
            <w:top w:w="15" w:type="dxa"/>
            <w:left w:w="15" w:type="dxa"/>
            <w:bottom w:w="15" w:type="dxa"/>
            <w:right w:w="15" w:type="dxa"/>
          </w:tblCellMar>
        </w:tblPrEx>
        <w:trPr>
          <w:trHeight w:val="355" w:hRule="atLeast"/>
        </w:trPr>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部门预算管理（80分）</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预算</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编制</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目标制定</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9.5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9</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55" w:hRule="atLeast"/>
        </w:trPr>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目标完成</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9</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55" w:hRule="atLeast"/>
        </w:trPr>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编制准确</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9.5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55" w:hRule="atLeast"/>
        </w:trPr>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textAlignment w:val="center"/>
              <w:rPr>
                <w:rFonts w:ascii="宋体" w:hAnsi="宋体" w:cs="宋体"/>
                <w:color w:val="000000"/>
                <w:kern w:val="0"/>
                <w:sz w:val="18"/>
                <w:szCs w:val="18"/>
              </w:rPr>
            </w:pPr>
            <w:r>
              <w:rPr>
                <w:rFonts w:hint="eastAsia" w:ascii="宋体" w:hAnsi="宋体" w:cs="宋体"/>
                <w:color w:val="000000"/>
                <w:kern w:val="0"/>
                <w:sz w:val="18"/>
                <w:szCs w:val="18"/>
              </w:rPr>
              <w:t>预算</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执行</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支出控制</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9.5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55" w:hRule="atLeast"/>
        </w:trPr>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动态调整</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9.5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55" w:hRule="atLeast"/>
        </w:trPr>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执行进度</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7.95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519" w:hRule="atLeast"/>
        </w:trPr>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完成</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结果</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预算完成</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9 </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8.14</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465" w:hRule="atLeast"/>
        </w:trPr>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违规记录</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10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9</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721" w:hRule="atLeast"/>
        </w:trPr>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绩效结果应用（20分）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自评</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质量</w:t>
            </w:r>
          </w:p>
          <w:p>
            <w:pPr>
              <w:pStyle w:val="2"/>
              <w:keepNext w:val="0"/>
              <w:keepLines w:val="0"/>
              <w:pageBreakBefore w:val="0"/>
              <w:kinsoku/>
              <w:wordWrap/>
              <w:overflowPunct/>
              <w:topLinePunct w:val="0"/>
              <w:autoSpaceDE/>
              <w:autoSpaceDN/>
              <w:bidi w:val="0"/>
              <w:adjustRightInd/>
              <w:snapToGrid/>
              <w:spacing w:beforeLines="0" w:line="200" w:lineRule="exact"/>
              <w:jc w:val="center"/>
              <w:rPr>
                <w:rFonts w:ascii="宋体" w:hAnsi="宋体" w:cs="宋体"/>
                <w:color w:val="000000"/>
                <w:sz w:val="18"/>
                <w:szCs w:val="18"/>
              </w:rPr>
            </w:pPr>
            <w:r>
              <w:rPr>
                <w:rFonts w:hint="eastAsia" w:ascii="宋体" w:hAnsi="宋体" w:cs="宋体"/>
                <w:color w:val="000000"/>
                <w:kern w:val="0"/>
                <w:sz w:val="18"/>
                <w:szCs w:val="18"/>
              </w:rPr>
              <w:t>（4分）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自评准确</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3.5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73" w:hRule="atLeast"/>
        </w:trPr>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信息</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公开</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目标公开</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630" w:hRule="atLeast"/>
        </w:trPr>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自评公开</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526" w:hRule="atLeast"/>
        </w:trPr>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整改</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反馈</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结果整改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457" w:hRule="atLeast"/>
        </w:trPr>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应用反馈</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trHeight w:val="365" w:hRule="atLeast"/>
        </w:trPr>
        <w:tc>
          <w:tcPr>
            <w:tcW w:w="4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总分合计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 xml:space="preserve">93.5 </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69.59</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bl>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（二）部门预算管理情况分析</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1.预算编制情况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（1）目标制定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燕子乡人民政府按照2020年部门预算编制要求，积极开展预算编报工作，在规定时间内完成了部门预算编制任务。部门预算编制准确、规范、完整无漏项，基础信息和科目使用准确，项目名称、绩效指标、项目内容等说明符合规定，单位编制、人员情况与供养人员横向联网系统数据一致。部门整体支出绩效目标表申报表填报存在指标填写归类不严谨情况。例如：三级指标“通村公路硬化”下设“指标值”中包含核桃品改2125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该指标满分10分，根据指标评价标准和公式计算，得分9分。</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（2）目标完成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2020年燕子乡人民政府共设置部门项目绩效目标2个，均全部完成。数量指标的完成情况详见表3-1：</w:t>
      </w:r>
    </w:p>
    <w:p>
      <w:pPr>
        <w:pStyle w:val="2"/>
        <w:spacing w:before="93"/>
        <w:jc w:val="center"/>
        <w:rPr>
          <w:b/>
          <w:bCs/>
          <w:sz w:val="24"/>
        </w:rPr>
      </w:pPr>
      <w:r>
        <w:rPr>
          <w:b/>
          <w:bCs/>
          <w:sz w:val="24"/>
        </w:rPr>
        <w:t>表</w:t>
      </w:r>
      <w:r>
        <w:rPr>
          <w:rFonts w:hint="eastAsia"/>
          <w:b/>
          <w:bCs/>
          <w:sz w:val="24"/>
        </w:rPr>
        <w:t>3-1</w:t>
      </w:r>
      <w:r>
        <w:rPr>
          <w:rFonts w:hint="eastAsia"/>
          <w:b/>
          <w:bCs/>
          <w:sz w:val="24"/>
          <w:lang w:val="en-US" w:eastAsia="zh-CN"/>
        </w:rPr>
        <w:t xml:space="preserve"> </w:t>
      </w:r>
      <w:r>
        <w:rPr>
          <w:rFonts w:hint="eastAsia"/>
          <w:b/>
          <w:bCs/>
          <w:sz w:val="24"/>
        </w:rPr>
        <w:t xml:space="preserve"> 2020年燕子乡人民政府绩效目标完成情况</w:t>
      </w: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4770"/>
        <w:gridCol w:w="1316"/>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991" w:type="dxa"/>
            <w:vAlign w:val="center"/>
          </w:tcPr>
          <w:p>
            <w:pPr>
              <w:pStyle w:val="2"/>
              <w:spacing w:before="93"/>
              <w:jc w:val="center"/>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4770" w:type="dxa"/>
            <w:vAlign w:val="center"/>
          </w:tcPr>
          <w:p>
            <w:pPr>
              <w:pStyle w:val="2"/>
              <w:spacing w:before="93"/>
              <w:jc w:val="center"/>
              <w:rPr>
                <w:rFonts w:hint="eastAsia" w:ascii="宋体" w:hAnsi="宋体" w:eastAsia="宋体" w:cs="宋体"/>
                <w:b/>
                <w:bCs/>
                <w:sz w:val="21"/>
                <w:szCs w:val="21"/>
              </w:rPr>
            </w:pPr>
            <w:r>
              <w:rPr>
                <w:rFonts w:hint="eastAsia" w:ascii="宋体" w:hAnsi="宋体" w:eastAsia="宋体" w:cs="宋体"/>
                <w:b/>
                <w:bCs/>
                <w:sz w:val="21"/>
                <w:szCs w:val="21"/>
              </w:rPr>
              <w:t>项目完成指标</w:t>
            </w:r>
          </w:p>
        </w:tc>
        <w:tc>
          <w:tcPr>
            <w:tcW w:w="1316" w:type="dxa"/>
            <w:vAlign w:val="center"/>
          </w:tcPr>
          <w:p>
            <w:pPr>
              <w:pStyle w:val="2"/>
              <w:spacing w:before="93"/>
              <w:jc w:val="center"/>
              <w:rPr>
                <w:rFonts w:hint="eastAsia" w:ascii="宋体" w:hAnsi="宋体" w:eastAsia="宋体" w:cs="宋体"/>
                <w:b/>
                <w:bCs/>
                <w:sz w:val="21"/>
                <w:szCs w:val="21"/>
              </w:rPr>
            </w:pPr>
            <w:r>
              <w:rPr>
                <w:rFonts w:hint="eastAsia" w:ascii="宋体" w:hAnsi="宋体" w:eastAsia="宋体" w:cs="宋体"/>
                <w:b/>
                <w:bCs/>
                <w:sz w:val="21"/>
                <w:szCs w:val="21"/>
              </w:rPr>
              <w:t>实际完成</w:t>
            </w:r>
          </w:p>
          <w:p>
            <w:pPr>
              <w:pStyle w:val="2"/>
              <w:spacing w:before="93"/>
              <w:jc w:val="center"/>
              <w:rPr>
                <w:rFonts w:hint="eastAsia" w:ascii="宋体" w:hAnsi="宋体" w:eastAsia="宋体" w:cs="宋体"/>
                <w:b/>
                <w:bCs/>
                <w:sz w:val="21"/>
                <w:szCs w:val="21"/>
              </w:rPr>
            </w:pPr>
            <w:r>
              <w:rPr>
                <w:rFonts w:hint="eastAsia" w:ascii="宋体" w:hAnsi="宋体" w:eastAsia="宋体" w:cs="宋体"/>
                <w:b/>
                <w:bCs/>
                <w:sz w:val="21"/>
                <w:szCs w:val="21"/>
              </w:rPr>
              <w:t>情况</w:t>
            </w:r>
          </w:p>
        </w:tc>
        <w:tc>
          <w:tcPr>
            <w:tcW w:w="983" w:type="dxa"/>
            <w:vAlign w:val="center"/>
          </w:tcPr>
          <w:p>
            <w:pPr>
              <w:pStyle w:val="2"/>
              <w:spacing w:before="93"/>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991" w:type="dxa"/>
            <w:vMerge w:val="restart"/>
            <w:vAlign w:val="center"/>
          </w:tcPr>
          <w:p>
            <w:pPr>
              <w:pStyle w:val="2"/>
              <w:spacing w:before="93"/>
              <w:jc w:val="center"/>
              <w:rPr>
                <w:rFonts w:hint="eastAsia" w:ascii="宋体" w:hAnsi="宋体" w:eastAsia="宋体" w:cs="宋体"/>
                <w:sz w:val="21"/>
                <w:szCs w:val="21"/>
              </w:rPr>
            </w:pPr>
            <w:r>
              <w:rPr>
                <w:rFonts w:hint="eastAsia" w:ascii="宋体" w:hAnsi="宋体" w:eastAsia="宋体" w:cs="宋体"/>
                <w:b/>
                <w:bCs/>
                <w:sz w:val="21"/>
                <w:szCs w:val="21"/>
              </w:rPr>
              <w:t>党组织活动经费</w:t>
            </w:r>
          </w:p>
        </w:tc>
        <w:tc>
          <w:tcPr>
            <w:tcW w:w="4770"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开展三会一课大比武活动12次</w:t>
            </w:r>
          </w:p>
        </w:tc>
        <w:tc>
          <w:tcPr>
            <w:tcW w:w="1316"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完成</w:t>
            </w:r>
          </w:p>
        </w:tc>
        <w:tc>
          <w:tcPr>
            <w:tcW w:w="983" w:type="dxa"/>
            <w:vAlign w:val="center"/>
          </w:tcPr>
          <w:p>
            <w:pPr>
              <w:pStyle w:val="2"/>
              <w:spacing w:before="93"/>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91" w:type="dxa"/>
            <w:vMerge w:val="continue"/>
            <w:vAlign w:val="center"/>
          </w:tcPr>
          <w:p>
            <w:pPr>
              <w:pStyle w:val="2"/>
              <w:spacing w:before="93"/>
              <w:jc w:val="center"/>
              <w:rPr>
                <w:rFonts w:hint="eastAsia" w:ascii="宋体" w:hAnsi="宋体" w:eastAsia="宋体" w:cs="宋体"/>
                <w:sz w:val="21"/>
                <w:szCs w:val="21"/>
              </w:rPr>
            </w:pPr>
          </w:p>
        </w:tc>
        <w:tc>
          <w:tcPr>
            <w:tcW w:w="4770"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组织党员教育培训4次</w:t>
            </w:r>
          </w:p>
        </w:tc>
        <w:tc>
          <w:tcPr>
            <w:tcW w:w="1316"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完成</w:t>
            </w:r>
          </w:p>
        </w:tc>
        <w:tc>
          <w:tcPr>
            <w:tcW w:w="983" w:type="dxa"/>
            <w:vAlign w:val="center"/>
          </w:tcPr>
          <w:p>
            <w:pPr>
              <w:pStyle w:val="2"/>
              <w:spacing w:before="93"/>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91" w:type="dxa"/>
            <w:vMerge w:val="continue"/>
            <w:vAlign w:val="center"/>
          </w:tcPr>
          <w:p>
            <w:pPr>
              <w:pStyle w:val="2"/>
              <w:spacing w:before="93"/>
              <w:jc w:val="center"/>
              <w:rPr>
                <w:rFonts w:hint="eastAsia" w:ascii="宋体" w:hAnsi="宋体" w:eastAsia="宋体" w:cs="宋体"/>
                <w:sz w:val="21"/>
                <w:szCs w:val="21"/>
              </w:rPr>
            </w:pPr>
          </w:p>
        </w:tc>
        <w:tc>
          <w:tcPr>
            <w:tcW w:w="4770"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订阅购买党建资料（含党报党刊）学习类，合计10份</w:t>
            </w:r>
          </w:p>
        </w:tc>
        <w:tc>
          <w:tcPr>
            <w:tcW w:w="1316"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完成</w:t>
            </w:r>
          </w:p>
        </w:tc>
        <w:tc>
          <w:tcPr>
            <w:tcW w:w="983" w:type="dxa"/>
            <w:vAlign w:val="center"/>
          </w:tcPr>
          <w:p>
            <w:pPr>
              <w:pStyle w:val="2"/>
              <w:spacing w:before="93"/>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91" w:type="dxa"/>
            <w:vMerge w:val="continue"/>
            <w:vAlign w:val="center"/>
          </w:tcPr>
          <w:p>
            <w:pPr>
              <w:pStyle w:val="2"/>
              <w:spacing w:before="93"/>
              <w:jc w:val="center"/>
              <w:rPr>
                <w:rFonts w:hint="eastAsia" w:ascii="宋体" w:hAnsi="宋体" w:eastAsia="宋体" w:cs="宋体"/>
                <w:sz w:val="21"/>
                <w:szCs w:val="21"/>
              </w:rPr>
            </w:pPr>
          </w:p>
        </w:tc>
        <w:tc>
          <w:tcPr>
            <w:tcW w:w="4770"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组织开展主题党员活动4次</w:t>
            </w:r>
          </w:p>
        </w:tc>
        <w:tc>
          <w:tcPr>
            <w:tcW w:w="1316"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完成</w:t>
            </w:r>
          </w:p>
        </w:tc>
        <w:tc>
          <w:tcPr>
            <w:tcW w:w="983" w:type="dxa"/>
            <w:vAlign w:val="center"/>
          </w:tcPr>
          <w:p>
            <w:pPr>
              <w:pStyle w:val="2"/>
              <w:spacing w:before="93"/>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91" w:type="dxa"/>
            <w:vMerge w:val="restart"/>
            <w:vAlign w:val="center"/>
          </w:tcPr>
          <w:p>
            <w:pPr>
              <w:pStyle w:val="2"/>
              <w:spacing w:before="93"/>
              <w:jc w:val="center"/>
              <w:rPr>
                <w:rFonts w:hint="eastAsia" w:ascii="宋体" w:hAnsi="宋体" w:eastAsia="宋体" w:cs="宋体"/>
                <w:sz w:val="21"/>
                <w:szCs w:val="21"/>
              </w:rPr>
            </w:pPr>
            <w:r>
              <w:rPr>
                <w:rFonts w:hint="eastAsia" w:ascii="宋体" w:hAnsi="宋体" w:eastAsia="宋体" w:cs="宋体"/>
                <w:b/>
                <w:bCs/>
                <w:sz w:val="21"/>
                <w:szCs w:val="21"/>
              </w:rPr>
              <w:t>扫黑除恶工作经费</w:t>
            </w:r>
          </w:p>
        </w:tc>
        <w:tc>
          <w:tcPr>
            <w:tcW w:w="4770"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开展专项治理活动5次</w:t>
            </w:r>
          </w:p>
        </w:tc>
        <w:tc>
          <w:tcPr>
            <w:tcW w:w="1316"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完成</w:t>
            </w:r>
          </w:p>
        </w:tc>
        <w:tc>
          <w:tcPr>
            <w:tcW w:w="983" w:type="dxa"/>
            <w:vAlign w:val="center"/>
          </w:tcPr>
          <w:p>
            <w:pPr>
              <w:pStyle w:val="2"/>
              <w:spacing w:before="93"/>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91" w:type="dxa"/>
            <w:vMerge w:val="continue"/>
            <w:vAlign w:val="center"/>
          </w:tcPr>
          <w:p>
            <w:pPr>
              <w:pStyle w:val="2"/>
              <w:spacing w:before="93"/>
              <w:jc w:val="center"/>
              <w:rPr>
                <w:rFonts w:hint="eastAsia" w:ascii="宋体" w:hAnsi="宋体" w:eastAsia="宋体" w:cs="宋体"/>
                <w:sz w:val="21"/>
                <w:szCs w:val="21"/>
              </w:rPr>
            </w:pPr>
          </w:p>
        </w:tc>
        <w:tc>
          <w:tcPr>
            <w:tcW w:w="4770"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扫黑除恶相关宣传活动5次</w:t>
            </w:r>
          </w:p>
        </w:tc>
        <w:tc>
          <w:tcPr>
            <w:tcW w:w="1316" w:type="dxa"/>
            <w:vAlign w:val="center"/>
          </w:tcPr>
          <w:p>
            <w:pPr>
              <w:pStyle w:val="2"/>
              <w:spacing w:before="93"/>
              <w:jc w:val="center"/>
              <w:rPr>
                <w:rFonts w:hint="eastAsia" w:ascii="宋体" w:hAnsi="宋体" w:eastAsia="宋体" w:cs="宋体"/>
                <w:sz w:val="21"/>
                <w:szCs w:val="21"/>
              </w:rPr>
            </w:pPr>
            <w:r>
              <w:rPr>
                <w:rFonts w:hint="eastAsia" w:ascii="宋体" w:hAnsi="宋体" w:eastAsia="宋体" w:cs="宋体"/>
                <w:sz w:val="21"/>
                <w:szCs w:val="21"/>
              </w:rPr>
              <w:t>完成</w:t>
            </w:r>
          </w:p>
        </w:tc>
        <w:tc>
          <w:tcPr>
            <w:tcW w:w="983" w:type="dxa"/>
            <w:vAlign w:val="center"/>
          </w:tcPr>
          <w:p>
            <w:pPr>
              <w:pStyle w:val="2"/>
              <w:spacing w:before="93"/>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91" w:type="dxa"/>
            <w:vMerge w:val="restart"/>
            <w:vAlign w:val="center"/>
          </w:tcPr>
          <w:p>
            <w:pPr>
              <w:pStyle w:val="2"/>
              <w:jc w:val="center"/>
              <w:rPr>
                <w:rFonts w:hint="eastAsia" w:ascii="宋体" w:hAnsi="宋体" w:eastAsia="宋体" w:cs="宋体"/>
                <w:sz w:val="21"/>
                <w:szCs w:val="21"/>
              </w:rPr>
            </w:pPr>
            <w:r>
              <w:rPr>
                <w:rFonts w:hint="eastAsia" w:ascii="宋体" w:hAnsi="宋体" w:eastAsia="宋体" w:cs="宋体"/>
                <w:b/>
                <w:bCs/>
                <w:sz w:val="21"/>
                <w:szCs w:val="21"/>
                <w:vertAlign w:val="baseline"/>
                <w:lang w:val="en-US" w:eastAsia="zh-CN"/>
              </w:rPr>
              <w:t>人大代表经费</w:t>
            </w:r>
          </w:p>
        </w:tc>
        <w:tc>
          <w:tcPr>
            <w:tcW w:w="4770" w:type="dxa"/>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开展乡人民代表大会≧1次，36人</w:t>
            </w:r>
          </w:p>
        </w:tc>
        <w:tc>
          <w:tcPr>
            <w:tcW w:w="1316" w:type="dxa"/>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完成</w:t>
            </w:r>
          </w:p>
        </w:tc>
        <w:tc>
          <w:tcPr>
            <w:tcW w:w="983" w:type="dxa"/>
            <w:vAlign w:val="center"/>
          </w:tcPr>
          <w:p>
            <w:pPr>
              <w:pStyle w:val="2"/>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91" w:type="dxa"/>
            <w:vMerge w:val="continue"/>
            <w:vAlign w:val="center"/>
          </w:tcPr>
          <w:p>
            <w:pPr>
              <w:pStyle w:val="2"/>
              <w:jc w:val="center"/>
              <w:rPr>
                <w:rFonts w:hint="eastAsia" w:ascii="宋体" w:hAnsi="宋体" w:eastAsia="宋体" w:cs="宋体"/>
                <w:sz w:val="21"/>
                <w:szCs w:val="21"/>
              </w:rPr>
            </w:pPr>
          </w:p>
        </w:tc>
        <w:tc>
          <w:tcPr>
            <w:tcW w:w="4770" w:type="dxa"/>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开展视察、调研和执法检查≧4次</w:t>
            </w:r>
          </w:p>
        </w:tc>
        <w:tc>
          <w:tcPr>
            <w:tcW w:w="1316" w:type="dxa"/>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完成</w:t>
            </w:r>
          </w:p>
        </w:tc>
        <w:tc>
          <w:tcPr>
            <w:tcW w:w="983" w:type="dxa"/>
            <w:vAlign w:val="center"/>
          </w:tcPr>
          <w:p>
            <w:pPr>
              <w:pStyle w:val="2"/>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91" w:type="dxa"/>
            <w:vMerge w:val="continue"/>
            <w:vAlign w:val="center"/>
          </w:tcPr>
          <w:p>
            <w:pPr>
              <w:pStyle w:val="2"/>
              <w:jc w:val="center"/>
              <w:rPr>
                <w:rFonts w:hint="eastAsia" w:ascii="宋体" w:hAnsi="宋体" w:eastAsia="宋体" w:cs="宋体"/>
                <w:sz w:val="21"/>
                <w:szCs w:val="21"/>
              </w:rPr>
            </w:pPr>
          </w:p>
        </w:tc>
        <w:tc>
          <w:tcPr>
            <w:tcW w:w="4770" w:type="dxa"/>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代表述职活动≧1次，36人</w:t>
            </w:r>
          </w:p>
        </w:tc>
        <w:tc>
          <w:tcPr>
            <w:tcW w:w="1316" w:type="dxa"/>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完成</w:t>
            </w:r>
          </w:p>
        </w:tc>
        <w:tc>
          <w:tcPr>
            <w:tcW w:w="983" w:type="dxa"/>
            <w:vAlign w:val="center"/>
          </w:tcPr>
          <w:p>
            <w:pPr>
              <w:pStyle w:val="2"/>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91" w:type="dxa"/>
            <w:vMerge w:val="continue"/>
            <w:vAlign w:val="center"/>
          </w:tcPr>
          <w:p>
            <w:pPr>
              <w:pStyle w:val="2"/>
              <w:jc w:val="center"/>
              <w:rPr>
                <w:rFonts w:hint="eastAsia" w:ascii="宋体" w:hAnsi="宋体" w:eastAsia="宋体" w:cs="宋体"/>
                <w:sz w:val="21"/>
                <w:szCs w:val="21"/>
              </w:rPr>
            </w:pPr>
          </w:p>
        </w:tc>
        <w:tc>
          <w:tcPr>
            <w:tcW w:w="4770" w:type="dxa"/>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人大代表培训≧1次，36人</w:t>
            </w:r>
          </w:p>
        </w:tc>
        <w:tc>
          <w:tcPr>
            <w:tcW w:w="1316" w:type="dxa"/>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完成</w:t>
            </w:r>
          </w:p>
        </w:tc>
        <w:tc>
          <w:tcPr>
            <w:tcW w:w="983" w:type="dxa"/>
            <w:vAlign w:val="center"/>
          </w:tcPr>
          <w:p>
            <w:pPr>
              <w:pStyle w:val="2"/>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91" w:type="dxa"/>
            <w:vAlign w:val="center"/>
          </w:tcPr>
          <w:p>
            <w:pPr>
              <w:pStyle w:val="2"/>
              <w:jc w:val="center"/>
              <w:rPr>
                <w:rFonts w:hint="eastAsia" w:ascii="宋体" w:hAnsi="宋体" w:eastAsia="宋体" w:cs="宋体"/>
                <w:sz w:val="21"/>
                <w:szCs w:val="21"/>
              </w:rPr>
            </w:pPr>
            <w:r>
              <w:rPr>
                <w:rFonts w:hint="eastAsia" w:ascii="宋体" w:hAnsi="宋体" w:eastAsia="宋体" w:cs="宋体"/>
                <w:b/>
                <w:bCs/>
                <w:sz w:val="21"/>
                <w:szCs w:val="21"/>
                <w:vertAlign w:val="baseline"/>
                <w:lang w:val="en-US" w:eastAsia="zh-CN"/>
              </w:rPr>
              <w:t>炊事员报酬</w:t>
            </w:r>
          </w:p>
        </w:tc>
        <w:tc>
          <w:tcPr>
            <w:tcW w:w="4770" w:type="dxa"/>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临聘全职炊事管理人员1人</w:t>
            </w:r>
          </w:p>
        </w:tc>
        <w:tc>
          <w:tcPr>
            <w:tcW w:w="1316" w:type="dxa"/>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完成</w:t>
            </w:r>
          </w:p>
        </w:tc>
        <w:tc>
          <w:tcPr>
            <w:tcW w:w="983" w:type="dxa"/>
            <w:vAlign w:val="center"/>
          </w:tcPr>
          <w:p>
            <w:pPr>
              <w:pStyle w:val="2"/>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91" w:type="dxa"/>
            <w:vMerge w:val="restart"/>
            <w:vAlign w:val="center"/>
          </w:tcPr>
          <w:p>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食品药品安全工作</w:t>
            </w:r>
          </w:p>
        </w:tc>
        <w:tc>
          <w:tcPr>
            <w:tcW w:w="4770" w:type="dxa"/>
            <w:vAlign w:val="center"/>
          </w:tcPr>
          <w:p>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开展辖区食品安全监督检查，全年≥10次</w:t>
            </w:r>
          </w:p>
        </w:tc>
        <w:tc>
          <w:tcPr>
            <w:tcW w:w="1316" w:type="dxa"/>
            <w:vAlign w:val="center"/>
          </w:tcPr>
          <w:p>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完成</w:t>
            </w:r>
          </w:p>
        </w:tc>
        <w:tc>
          <w:tcPr>
            <w:tcW w:w="983" w:type="dxa"/>
            <w:vAlign w:val="center"/>
          </w:tcPr>
          <w:p>
            <w:pPr>
              <w:pStyle w:val="2"/>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91" w:type="dxa"/>
            <w:vMerge w:val="continue"/>
            <w:vAlign w:val="center"/>
          </w:tcPr>
          <w:p>
            <w:pPr>
              <w:pStyle w:val="2"/>
              <w:jc w:val="center"/>
              <w:rPr>
                <w:rFonts w:hint="eastAsia" w:ascii="宋体" w:hAnsi="宋体" w:eastAsia="宋体" w:cs="宋体"/>
                <w:sz w:val="21"/>
                <w:szCs w:val="21"/>
                <w:vertAlign w:val="baseline"/>
                <w:lang w:val="en-US" w:eastAsia="zh-CN"/>
              </w:rPr>
            </w:pPr>
          </w:p>
        </w:tc>
        <w:tc>
          <w:tcPr>
            <w:tcW w:w="4770" w:type="dxa"/>
            <w:vAlign w:val="center"/>
          </w:tcPr>
          <w:p>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开展辖区食品安全信息员、各流通经营单位的食品安全培训，全年≥3次</w:t>
            </w:r>
          </w:p>
        </w:tc>
        <w:tc>
          <w:tcPr>
            <w:tcW w:w="1316" w:type="dxa"/>
            <w:vAlign w:val="center"/>
          </w:tcPr>
          <w:p>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完成</w:t>
            </w:r>
          </w:p>
        </w:tc>
        <w:tc>
          <w:tcPr>
            <w:tcW w:w="983" w:type="dxa"/>
            <w:vAlign w:val="center"/>
          </w:tcPr>
          <w:p>
            <w:pPr>
              <w:pStyle w:val="2"/>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91" w:type="dxa"/>
            <w:vAlign w:val="center"/>
          </w:tcPr>
          <w:p>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基层武装经费</w:t>
            </w:r>
          </w:p>
        </w:tc>
        <w:tc>
          <w:tcPr>
            <w:tcW w:w="4770" w:type="dxa"/>
            <w:vAlign w:val="center"/>
          </w:tcPr>
          <w:p>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完成征兵数量≥2人，适龄青年100%兵役登记，完成民兵整组工作。</w:t>
            </w:r>
          </w:p>
        </w:tc>
        <w:tc>
          <w:tcPr>
            <w:tcW w:w="1316" w:type="dxa"/>
            <w:vAlign w:val="center"/>
          </w:tcPr>
          <w:p>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完成</w:t>
            </w:r>
          </w:p>
        </w:tc>
        <w:tc>
          <w:tcPr>
            <w:tcW w:w="983" w:type="dxa"/>
            <w:vAlign w:val="center"/>
          </w:tcPr>
          <w:p>
            <w:pPr>
              <w:pStyle w:val="2"/>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91" w:type="dxa"/>
            <w:vMerge w:val="restart"/>
            <w:vAlign w:val="center"/>
          </w:tcPr>
          <w:p>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健康生活高效工作</w:t>
            </w:r>
          </w:p>
        </w:tc>
        <w:tc>
          <w:tcPr>
            <w:tcW w:w="4770" w:type="dxa"/>
            <w:vAlign w:val="center"/>
          </w:tcPr>
          <w:p>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举办职工运动会次数≧1次，职工参与≧20人</w:t>
            </w:r>
          </w:p>
        </w:tc>
        <w:tc>
          <w:tcPr>
            <w:tcW w:w="1316" w:type="dxa"/>
            <w:vAlign w:val="center"/>
          </w:tcPr>
          <w:p>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完成</w:t>
            </w:r>
          </w:p>
        </w:tc>
        <w:tc>
          <w:tcPr>
            <w:tcW w:w="983" w:type="dxa"/>
            <w:vAlign w:val="center"/>
          </w:tcPr>
          <w:p>
            <w:pPr>
              <w:pStyle w:val="2"/>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91" w:type="dxa"/>
            <w:vMerge w:val="continue"/>
            <w:vAlign w:val="center"/>
          </w:tcPr>
          <w:p>
            <w:pPr>
              <w:pStyle w:val="2"/>
              <w:jc w:val="center"/>
              <w:rPr>
                <w:rFonts w:hint="eastAsia" w:ascii="宋体" w:hAnsi="宋体" w:eastAsia="宋体" w:cs="宋体"/>
                <w:sz w:val="21"/>
                <w:szCs w:val="21"/>
                <w:vertAlign w:val="baseline"/>
                <w:lang w:val="en-US" w:eastAsia="zh-CN"/>
              </w:rPr>
            </w:pPr>
          </w:p>
        </w:tc>
        <w:tc>
          <w:tcPr>
            <w:tcW w:w="4770" w:type="dxa"/>
            <w:vAlign w:val="center"/>
          </w:tcPr>
          <w:p>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开展文娱活动，丰富健康生活≧2次，职工参与≧24人</w:t>
            </w:r>
          </w:p>
        </w:tc>
        <w:tc>
          <w:tcPr>
            <w:tcW w:w="1316" w:type="dxa"/>
            <w:vAlign w:val="center"/>
          </w:tcPr>
          <w:p>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完成</w:t>
            </w:r>
          </w:p>
        </w:tc>
        <w:tc>
          <w:tcPr>
            <w:tcW w:w="983" w:type="dxa"/>
            <w:vAlign w:val="center"/>
          </w:tcPr>
          <w:p>
            <w:pPr>
              <w:pStyle w:val="2"/>
              <w:jc w:val="center"/>
              <w:rPr>
                <w:rFonts w:hint="eastAsia" w:ascii="宋体" w:hAnsi="宋体" w:eastAsia="宋体" w:cs="宋体"/>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该指标分值标准10分，根据指标评价标准和公式计算，综合参考2020年综合目标绩效考评结果，得分9.5分。</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（3）编制准确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燕子乡人民政府部门年初预算数为395.9万元，预算调整数为518.66万元，依据指标体系计分标准：指标得分=1-年初预算数（一上）/（财政下达数（一下）+预算调整数）基本支出资金，预决算偏差程度为24%。</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该指标分值标准10分，根据指标评价标准和公式计算，预决算程度偏差超过20%，不得分。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预算执行情况</w:t>
      </w:r>
    </w:p>
    <w:p>
      <w:pPr>
        <w:keepNext w:val="0"/>
        <w:keepLines w:val="0"/>
        <w:pageBreakBefore w:val="0"/>
        <w:widowControl w:val="0"/>
        <w:tabs>
          <w:tab w:val="left" w:pos="268"/>
        </w:tabs>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（1）支出控制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燕子乡人民政府部门公用经费及非定额公用支出预算金额为59.14万元，其中：日常公用经费预算数59.14万元，项目支出中办公费、印刷费、水费、电费、物业管理费预算数分别为0万元、0万元、0万元、0万元、0万元。决算金额为84.47万元，其中：日常公用经费决算数49.78万元，项目支出中办公费、印刷费、水费、电费、物业管理费预算数分别为23.17万元、8.52万元、0万元、3万元、0万元。部门公用经费及非定额公用支出决算数与预算数的偏差程度为42.8%。</w:t>
      </w:r>
    </w:p>
    <w:p>
      <w:pPr>
        <w:pStyle w:val="19"/>
      </w:pPr>
      <w:r>
        <w:rPr>
          <w:rFonts w:hint="eastAsia"/>
        </w:rPr>
        <w:t>表4-1</w:t>
      </w:r>
      <w:r>
        <w:rPr>
          <w:rFonts w:hint="eastAsia"/>
          <w:lang w:val="en-US" w:eastAsia="zh-CN"/>
        </w:rPr>
        <w:t xml:space="preserve">  </w:t>
      </w:r>
      <w:r>
        <w:rPr>
          <w:rFonts w:hint="eastAsia"/>
        </w:rPr>
        <w:t>2020</w:t>
      </w:r>
      <w:r>
        <w:t>年</w:t>
      </w:r>
      <w:r>
        <w:rPr>
          <w:rFonts w:hint="eastAsia"/>
        </w:rPr>
        <w:t>燕子乡人民政府部门公用经费及非定额公用支出预决算情况表</w:t>
      </w:r>
    </w:p>
    <w:tbl>
      <w:tblPr>
        <w:tblStyle w:val="12"/>
        <w:tblpPr w:leftFromText="180" w:rightFromText="180" w:vertAnchor="text" w:horzAnchor="page" w:tblpX="1955" w:tblpY="580"/>
        <w:tblOverlap w:val="never"/>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259"/>
        <w:gridCol w:w="1136"/>
        <w:gridCol w:w="1136"/>
        <w:gridCol w:w="1136"/>
        <w:gridCol w:w="1136"/>
        <w:gridCol w:w="1139"/>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blHeader/>
        </w:trPr>
        <w:tc>
          <w:tcPr>
            <w:tcW w:w="1000" w:type="dxa"/>
            <w:vMerge w:val="restart"/>
            <w:vAlign w:val="center"/>
          </w:tcPr>
          <w:p>
            <w:pPr>
              <w:pStyle w:val="20"/>
              <w:jc w:val="center"/>
              <w:rPr>
                <w:color w:val="auto"/>
              </w:rPr>
            </w:pPr>
          </w:p>
        </w:tc>
        <w:tc>
          <w:tcPr>
            <w:tcW w:w="1259" w:type="dxa"/>
            <w:vMerge w:val="restart"/>
            <w:vAlign w:val="center"/>
          </w:tcPr>
          <w:p>
            <w:pPr>
              <w:pStyle w:val="20"/>
              <w:jc w:val="center"/>
              <w:rPr>
                <w:b/>
                <w:color w:val="auto"/>
                <w:lang w:val="en-US"/>
              </w:rPr>
            </w:pPr>
            <w:r>
              <w:rPr>
                <w:rFonts w:hint="eastAsia"/>
                <w:b/>
                <w:color w:val="auto"/>
                <w:lang w:val="en-US"/>
              </w:rPr>
              <w:t>日常公用经费</w:t>
            </w:r>
          </w:p>
        </w:tc>
        <w:tc>
          <w:tcPr>
            <w:tcW w:w="5683" w:type="dxa"/>
            <w:gridSpan w:val="5"/>
            <w:vAlign w:val="center"/>
          </w:tcPr>
          <w:p>
            <w:pPr>
              <w:pStyle w:val="20"/>
              <w:jc w:val="center"/>
              <w:rPr>
                <w:b/>
                <w:color w:val="auto"/>
                <w:lang w:val="en-US"/>
              </w:rPr>
            </w:pPr>
            <w:r>
              <w:rPr>
                <w:rFonts w:hint="eastAsia"/>
                <w:b/>
                <w:color w:val="auto"/>
                <w:lang w:val="en-US"/>
              </w:rPr>
              <w:t>非定额公用支出</w:t>
            </w:r>
          </w:p>
        </w:tc>
        <w:tc>
          <w:tcPr>
            <w:tcW w:w="1196" w:type="dxa"/>
            <w:vMerge w:val="restart"/>
            <w:vAlign w:val="center"/>
          </w:tcPr>
          <w:p>
            <w:pPr>
              <w:pStyle w:val="20"/>
              <w:jc w:val="center"/>
              <w:rPr>
                <w:b/>
                <w:color w:val="auto"/>
                <w:lang w:val="en-US"/>
              </w:rPr>
            </w:pPr>
            <w:r>
              <w:rPr>
                <w:rFonts w:hint="eastAsia"/>
                <w:b/>
                <w:color w:val="auto"/>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00" w:type="dxa"/>
            <w:vMerge w:val="continue"/>
            <w:vAlign w:val="center"/>
          </w:tcPr>
          <w:p>
            <w:pPr>
              <w:pStyle w:val="20"/>
              <w:jc w:val="center"/>
              <w:rPr>
                <w:color w:val="auto"/>
              </w:rPr>
            </w:pPr>
          </w:p>
        </w:tc>
        <w:tc>
          <w:tcPr>
            <w:tcW w:w="1259" w:type="dxa"/>
            <w:vMerge w:val="continue"/>
            <w:vAlign w:val="center"/>
          </w:tcPr>
          <w:p>
            <w:pPr>
              <w:pStyle w:val="20"/>
              <w:jc w:val="center"/>
              <w:rPr>
                <w:color w:val="auto"/>
                <w:lang w:val="en-US"/>
              </w:rPr>
            </w:pPr>
          </w:p>
        </w:tc>
        <w:tc>
          <w:tcPr>
            <w:tcW w:w="1136" w:type="dxa"/>
            <w:vAlign w:val="center"/>
          </w:tcPr>
          <w:p>
            <w:pPr>
              <w:pStyle w:val="20"/>
              <w:jc w:val="center"/>
              <w:rPr>
                <w:b/>
                <w:color w:val="auto"/>
                <w:lang w:val="en-US"/>
              </w:rPr>
            </w:pPr>
            <w:r>
              <w:rPr>
                <w:rFonts w:hint="eastAsia"/>
                <w:b/>
                <w:color w:val="auto"/>
                <w:lang w:val="en-US"/>
              </w:rPr>
              <w:t>办公费</w:t>
            </w:r>
          </w:p>
        </w:tc>
        <w:tc>
          <w:tcPr>
            <w:tcW w:w="1136" w:type="dxa"/>
            <w:vAlign w:val="center"/>
          </w:tcPr>
          <w:p>
            <w:pPr>
              <w:pStyle w:val="20"/>
              <w:jc w:val="center"/>
              <w:rPr>
                <w:b/>
                <w:color w:val="auto"/>
                <w:lang w:val="en-US"/>
              </w:rPr>
            </w:pPr>
            <w:r>
              <w:rPr>
                <w:rFonts w:hint="eastAsia"/>
                <w:b/>
                <w:color w:val="auto"/>
                <w:lang w:val="en-US"/>
              </w:rPr>
              <w:t>印刷费</w:t>
            </w:r>
          </w:p>
        </w:tc>
        <w:tc>
          <w:tcPr>
            <w:tcW w:w="1136" w:type="dxa"/>
            <w:vAlign w:val="center"/>
          </w:tcPr>
          <w:p>
            <w:pPr>
              <w:pStyle w:val="20"/>
              <w:jc w:val="center"/>
              <w:rPr>
                <w:b/>
                <w:color w:val="auto"/>
                <w:lang w:val="en-US"/>
              </w:rPr>
            </w:pPr>
            <w:r>
              <w:rPr>
                <w:rFonts w:hint="eastAsia"/>
                <w:b/>
                <w:color w:val="auto"/>
                <w:lang w:val="en-US"/>
              </w:rPr>
              <w:t>水费</w:t>
            </w:r>
          </w:p>
        </w:tc>
        <w:tc>
          <w:tcPr>
            <w:tcW w:w="1136" w:type="dxa"/>
            <w:vAlign w:val="center"/>
          </w:tcPr>
          <w:p>
            <w:pPr>
              <w:pStyle w:val="20"/>
              <w:jc w:val="center"/>
              <w:rPr>
                <w:b/>
                <w:color w:val="auto"/>
                <w:lang w:val="en-US"/>
              </w:rPr>
            </w:pPr>
            <w:r>
              <w:rPr>
                <w:rFonts w:hint="eastAsia"/>
                <w:b/>
                <w:color w:val="auto"/>
                <w:lang w:val="en-US"/>
              </w:rPr>
              <w:t>电费</w:t>
            </w:r>
          </w:p>
        </w:tc>
        <w:tc>
          <w:tcPr>
            <w:tcW w:w="1139" w:type="dxa"/>
            <w:vAlign w:val="center"/>
          </w:tcPr>
          <w:p>
            <w:pPr>
              <w:pStyle w:val="20"/>
              <w:jc w:val="center"/>
              <w:rPr>
                <w:b/>
                <w:color w:val="auto"/>
                <w:lang w:val="en-US"/>
              </w:rPr>
            </w:pPr>
            <w:r>
              <w:rPr>
                <w:rFonts w:hint="eastAsia"/>
                <w:b/>
                <w:color w:val="auto"/>
                <w:lang w:val="en-US"/>
              </w:rPr>
              <w:t>物业管理费</w:t>
            </w:r>
          </w:p>
        </w:tc>
        <w:tc>
          <w:tcPr>
            <w:tcW w:w="1196" w:type="dxa"/>
            <w:vMerge w:val="continue"/>
            <w:vAlign w:val="center"/>
          </w:tcPr>
          <w:p>
            <w:pPr>
              <w:pStyle w:val="20"/>
              <w:jc w:val="center"/>
              <w:rPr>
                <w:b/>
                <w:color w:va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00" w:type="dxa"/>
            <w:vAlign w:val="center"/>
          </w:tcPr>
          <w:p>
            <w:pPr>
              <w:pStyle w:val="20"/>
              <w:jc w:val="center"/>
              <w:rPr>
                <w:color w:val="auto"/>
                <w:lang w:val="en-US"/>
              </w:rPr>
            </w:pPr>
            <w:r>
              <w:rPr>
                <w:rFonts w:hint="eastAsia"/>
                <w:b/>
                <w:bCs w:val="0"/>
                <w:color w:val="auto"/>
                <w:lang w:val="en-US"/>
              </w:rPr>
              <w:t>预算数</w:t>
            </w:r>
          </w:p>
        </w:tc>
        <w:tc>
          <w:tcPr>
            <w:tcW w:w="1259" w:type="dxa"/>
            <w:vAlign w:val="center"/>
          </w:tcPr>
          <w:p>
            <w:pPr>
              <w:pStyle w:val="20"/>
              <w:jc w:val="center"/>
              <w:rPr>
                <w:color w:val="auto"/>
                <w:lang w:val="en-US"/>
              </w:rPr>
            </w:pPr>
            <w:r>
              <w:rPr>
                <w:rFonts w:hint="eastAsia"/>
                <w:color w:val="auto"/>
                <w:lang w:val="en-US"/>
              </w:rPr>
              <w:t>59.14</w:t>
            </w:r>
          </w:p>
        </w:tc>
        <w:tc>
          <w:tcPr>
            <w:tcW w:w="1136" w:type="dxa"/>
            <w:vAlign w:val="center"/>
          </w:tcPr>
          <w:p>
            <w:pPr>
              <w:pStyle w:val="20"/>
              <w:jc w:val="center"/>
              <w:rPr>
                <w:color w:val="auto"/>
                <w:lang w:val="en-US"/>
              </w:rPr>
            </w:pPr>
            <w:r>
              <w:rPr>
                <w:rFonts w:hint="eastAsia"/>
                <w:color w:val="auto"/>
                <w:lang w:val="en-US"/>
              </w:rPr>
              <w:t>0</w:t>
            </w:r>
          </w:p>
        </w:tc>
        <w:tc>
          <w:tcPr>
            <w:tcW w:w="1136" w:type="dxa"/>
            <w:vAlign w:val="center"/>
          </w:tcPr>
          <w:p>
            <w:pPr>
              <w:pStyle w:val="20"/>
              <w:jc w:val="center"/>
              <w:rPr>
                <w:color w:val="auto"/>
                <w:lang w:val="en-US"/>
              </w:rPr>
            </w:pPr>
            <w:r>
              <w:rPr>
                <w:rFonts w:hint="eastAsia"/>
                <w:color w:val="auto"/>
                <w:lang w:val="en-US"/>
              </w:rPr>
              <w:t>0</w:t>
            </w:r>
          </w:p>
        </w:tc>
        <w:tc>
          <w:tcPr>
            <w:tcW w:w="1136" w:type="dxa"/>
            <w:vAlign w:val="center"/>
          </w:tcPr>
          <w:p>
            <w:pPr>
              <w:pStyle w:val="20"/>
              <w:jc w:val="center"/>
              <w:rPr>
                <w:color w:val="auto"/>
                <w:lang w:val="en-US"/>
              </w:rPr>
            </w:pPr>
            <w:r>
              <w:rPr>
                <w:rFonts w:hint="eastAsia"/>
                <w:color w:val="auto"/>
                <w:lang w:val="en-US"/>
              </w:rPr>
              <w:t>0</w:t>
            </w:r>
          </w:p>
        </w:tc>
        <w:tc>
          <w:tcPr>
            <w:tcW w:w="1136" w:type="dxa"/>
            <w:vAlign w:val="center"/>
          </w:tcPr>
          <w:p>
            <w:pPr>
              <w:pStyle w:val="20"/>
              <w:jc w:val="center"/>
              <w:rPr>
                <w:color w:val="auto"/>
                <w:lang w:val="en-US"/>
              </w:rPr>
            </w:pPr>
            <w:r>
              <w:rPr>
                <w:rFonts w:hint="eastAsia"/>
                <w:color w:val="auto"/>
                <w:lang w:val="en-US"/>
              </w:rPr>
              <w:t>0</w:t>
            </w:r>
          </w:p>
        </w:tc>
        <w:tc>
          <w:tcPr>
            <w:tcW w:w="1139" w:type="dxa"/>
            <w:vAlign w:val="center"/>
          </w:tcPr>
          <w:p>
            <w:pPr>
              <w:pStyle w:val="20"/>
              <w:jc w:val="center"/>
              <w:rPr>
                <w:color w:val="auto"/>
                <w:lang w:val="en-US"/>
              </w:rPr>
            </w:pPr>
            <w:r>
              <w:rPr>
                <w:rFonts w:hint="eastAsia"/>
                <w:color w:val="auto"/>
                <w:lang w:val="en-US"/>
              </w:rPr>
              <w:t>0</w:t>
            </w:r>
          </w:p>
        </w:tc>
        <w:tc>
          <w:tcPr>
            <w:tcW w:w="1196" w:type="dxa"/>
            <w:vAlign w:val="center"/>
          </w:tcPr>
          <w:p>
            <w:pPr>
              <w:pStyle w:val="20"/>
              <w:jc w:val="center"/>
              <w:rPr>
                <w:color w:val="auto"/>
                <w:lang w:val="en-US"/>
              </w:rPr>
            </w:pPr>
            <w:r>
              <w:rPr>
                <w:rFonts w:hint="eastAsia"/>
                <w:color w:val="auto"/>
                <w:lang w:val="en-US"/>
              </w:rPr>
              <w:t>59.14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0" w:type="dxa"/>
            <w:vAlign w:val="center"/>
          </w:tcPr>
          <w:p>
            <w:pPr>
              <w:pStyle w:val="20"/>
              <w:jc w:val="center"/>
              <w:rPr>
                <w:b/>
                <w:color w:val="auto"/>
                <w:lang w:val="en-US"/>
              </w:rPr>
            </w:pPr>
            <w:r>
              <w:rPr>
                <w:rFonts w:hint="eastAsia"/>
                <w:b/>
                <w:color w:val="auto"/>
                <w:lang w:val="en-US"/>
              </w:rPr>
              <w:t>决算数</w:t>
            </w:r>
          </w:p>
        </w:tc>
        <w:tc>
          <w:tcPr>
            <w:tcW w:w="1259" w:type="dxa"/>
            <w:vAlign w:val="center"/>
          </w:tcPr>
          <w:p>
            <w:pPr>
              <w:pStyle w:val="20"/>
              <w:jc w:val="center"/>
              <w:rPr>
                <w:b/>
                <w:color w:val="auto"/>
                <w:lang w:val="en-US"/>
              </w:rPr>
            </w:pPr>
            <w:r>
              <w:rPr>
                <w:rFonts w:hint="eastAsia"/>
                <w:b/>
                <w:color w:val="auto"/>
                <w:lang w:val="en-US"/>
              </w:rPr>
              <w:t>49.78</w:t>
            </w:r>
          </w:p>
        </w:tc>
        <w:tc>
          <w:tcPr>
            <w:tcW w:w="1136" w:type="dxa"/>
            <w:vAlign w:val="center"/>
          </w:tcPr>
          <w:p>
            <w:pPr>
              <w:pStyle w:val="20"/>
              <w:jc w:val="center"/>
              <w:rPr>
                <w:bCs w:val="0"/>
                <w:color w:val="auto"/>
                <w:lang w:val="en-US"/>
              </w:rPr>
            </w:pPr>
            <w:r>
              <w:rPr>
                <w:rFonts w:hint="eastAsia"/>
                <w:bCs w:val="0"/>
                <w:color w:val="auto"/>
                <w:lang w:val="en-US"/>
              </w:rPr>
              <w:t>23.17</w:t>
            </w:r>
          </w:p>
        </w:tc>
        <w:tc>
          <w:tcPr>
            <w:tcW w:w="1136" w:type="dxa"/>
            <w:vAlign w:val="center"/>
          </w:tcPr>
          <w:p>
            <w:pPr>
              <w:pStyle w:val="20"/>
              <w:jc w:val="center"/>
              <w:rPr>
                <w:bCs w:val="0"/>
                <w:color w:val="auto"/>
                <w:lang w:val="en-US"/>
              </w:rPr>
            </w:pPr>
            <w:r>
              <w:rPr>
                <w:rFonts w:hint="eastAsia"/>
                <w:bCs w:val="0"/>
                <w:color w:val="auto"/>
                <w:lang w:val="en-US"/>
              </w:rPr>
              <w:t>8.52</w:t>
            </w:r>
          </w:p>
        </w:tc>
        <w:tc>
          <w:tcPr>
            <w:tcW w:w="1136" w:type="dxa"/>
            <w:vAlign w:val="center"/>
          </w:tcPr>
          <w:p>
            <w:pPr>
              <w:pStyle w:val="20"/>
              <w:jc w:val="center"/>
              <w:rPr>
                <w:bCs w:val="0"/>
                <w:color w:val="auto"/>
                <w:lang w:val="en-US"/>
              </w:rPr>
            </w:pPr>
            <w:r>
              <w:rPr>
                <w:rFonts w:hint="eastAsia"/>
                <w:bCs w:val="0"/>
                <w:color w:val="auto"/>
                <w:lang w:val="en-US"/>
              </w:rPr>
              <w:t>0</w:t>
            </w:r>
          </w:p>
        </w:tc>
        <w:tc>
          <w:tcPr>
            <w:tcW w:w="1136" w:type="dxa"/>
            <w:vAlign w:val="center"/>
          </w:tcPr>
          <w:p>
            <w:pPr>
              <w:pStyle w:val="20"/>
              <w:jc w:val="center"/>
              <w:rPr>
                <w:bCs w:val="0"/>
                <w:color w:val="auto"/>
                <w:lang w:val="en-US"/>
              </w:rPr>
            </w:pPr>
            <w:r>
              <w:rPr>
                <w:rFonts w:hint="eastAsia"/>
                <w:bCs w:val="0"/>
                <w:color w:val="auto"/>
                <w:lang w:val="en-US"/>
              </w:rPr>
              <w:t>3</w:t>
            </w:r>
          </w:p>
        </w:tc>
        <w:tc>
          <w:tcPr>
            <w:tcW w:w="1139" w:type="dxa"/>
            <w:vAlign w:val="center"/>
          </w:tcPr>
          <w:p>
            <w:pPr>
              <w:pStyle w:val="20"/>
              <w:jc w:val="center"/>
              <w:rPr>
                <w:bCs w:val="0"/>
                <w:color w:val="auto"/>
                <w:lang w:val="en-US"/>
              </w:rPr>
            </w:pPr>
            <w:r>
              <w:rPr>
                <w:rFonts w:hint="eastAsia"/>
                <w:bCs w:val="0"/>
                <w:color w:val="auto"/>
                <w:lang w:val="en-US"/>
              </w:rPr>
              <w:t>0</w:t>
            </w:r>
          </w:p>
        </w:tc>
        <w:tc>
          <w:tcPr>
            <w:tcW w:w="1196" w:type="dxa"/>
            <w:vAlign w:val="center"/>
          </w:tcPr>
          <w:p>
            <w:pPr>
              <w:pStyle w:val="20"/>
              <w:jc w:val="center"/>
              <w:rPr>
                <w:b/>
                <w:color w:val="auto"/>
                <w:lang w:val="en-US"/>
              </w:rPr>
            </w:pPr>
            <w:r>
              <w:rPr>
                <w:rFonts w:hint="eastAsia"/>
                <w:b/>
                <w:color w:val="auto"/>
                <w:lang w:val="en-US"/>
              </w:rPr>
              <w:t>84.47</w:t>
            </w:r>
          </w:p>
        </w:tc>
      </w:tr>
    </w:tbl>
    <w:p>
      <w:pPr>
        <w:pStyle w:val="19"/>
        <w:jc w:val="right"/>
      </w:pPr>
      <w:r>
        <w:rPr>
          <w:rFonts w:hint="eastAsia"/>
        </w:rPr>
        <w:t>单位</w:t>
      </w:r>
      <w: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该指标分值标准10分，根据指标评价标准和公式计算，预决算偏差程度超过20%，不得分。</w:t>
      </w:r>
    </w:p>
    <w:p>
      <w:pPr>
        <w:keepNext w:val="0"/>
        <w:keepLines w:val="0"/>
        <w:pageBreakBefore w:val="0"/>
        <w:widowControl w:val="0"/>
        <w:kinsoku/>
        <w:wordWrap/>
        <w:overflowPunct/>
        <w:topLinePunct w:val="0"/>
        <w:autoSpaceDE/>
        <w:autoSpaceDN/>
        <w:bidi w:val="0"/>
        <w:adjustRightInd/>
        <w:snapToGrid/>
        <w:spacing w:line="576" w:lineRule="exact"/>
        <w:ind w:left="420" w:leftChars="2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（2）动态调整</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2020年，燕子乡人民政府绩效监控调整取消额为0元，预算结余注销额为0万元。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该指标分值标准10分，根据指标评价标准和公式计算，得分10分。</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（3）执行进度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根据《旺苍县2021年度部门整体支出绩效评价指标体系》，部门预算执行进度在6、9、11月应达到序时进度的80%、90%、90%，即实际支出进度分别达到40%、67.5%、82.5%。燕子乡人民政府2020年1-6月预算数443.85万元，执行数129.39万元，执行进度29.2%；1-9月预算数483.5万元，执行数277.03万元，执行进度57.3%；1-11月预算数483.5万元，执行数310.71万元，执行进度64.3%。各阶段预算执行进度均未达到目标要求。</w:t>
      </w:r>
    </w:p>
    <w:p>
      <w:pPr>
        <w:pStyle w:val="19"/>
      </w:pPr>
      <w:r>
        <w:rPr>
          <w:rFonts w:hint="eastAsia"/>
        </w:rPr>
        <w:t>表4-2</w:t>
      </w:r>
      <w:r>
        <w:rPr>
          <w:rFonts w:hint="eastAsia"/>
          <w:lang w:val="en-US" w:eastAsia="zh-CN"/>
        </w:rPr>
        <w:t xml:space="preserve">  </w:t>
      </w:r>
      <w:r>
        <w:rPr>
          <w:rFonts w:hint="eastAsia"/>
        </w:rPr>
        <w:t>2020</w:t>
      </w:r>
      <w:r>
        <w:t>年</w:t>
      </w:r>
      <w:r>
        <w:rPr>
          <w:rFonts w:hint="eastAsia"/>
        </w:rPr>
        <w:t>燕子乡人民政府部门预算执行进度表</w:t>
      </w:r>
    </w:p>
    <w:p>
      <w:pPr>
        <w:pStyle w:val="19"/>
        <w:jc w:val="right"/>
      </w:pPr>
      <w:r>
        <w:rPr>
          <w:rFonts w:hint="eastAsia"/>
        </w:rPr>
        <w:t>单位</w:t>
      </w:r>
      <w:r>
        <w:t>：万元</w:t>
      </w:r>
    </w:p>
    <w:tbl>
      <w:tblPr>
        <w:tblStyle w:val="12"/>
        <w:tblpPr w:leftFromText="180" w:rightFromText="180" w:vertAnchor="text" w:horzAnchor="page" w:tblpX="2136" w:tblpY="213"/>
        <w:tblOverlap w:val="never"/>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216"/>
        <w:gridCol w:w="2216"/>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51" w:type="dxa"/>
            <w:vAlign w:val="center"/>
          </w:tcPr>
          <w:p>
            <w:pPr>
              <w:pStyle w:val="20"/>
              <w:jc w:val="center"/>
              <w:rPr>
                <w:color w:val="auto"/>
                <w:lang w:val="en-US"/>
              </w:rPr>
            </w:pPr>
            <w:r>
              <w:rPr>
                <w:rFonts w:hint="eastAsia"/>
                <w:b/>
                <w:bCs w:val="0"/>
                <w:color w:val="auto"/>
                <w:lang w:val="en-US"/>
              </w:rPr>
              <w:t>月份</w:t>
            </w:r>
          </w:p>
        </w:tc>
        <w:tc>
          <w:tcPr>
            <w:tcW w:w="2216" w:type="dxa"/>
            <w:vAlign w:val="center"/>
          </w:tcPr>
          <w:p>
            <w:pPr>
              <w:pStyle w:val="20"/>
              <w:jc w:val="center"/>
              <w:rPr>
                <w:color w:val="auto"/>
                <w:lang w:val="en-US"/>
              </w:rPr>
            </w:pPr>
            <w:r>
              <w:rPr>
                <w:rFonts w:hint="eastAsia"/>
                <w:color w:val="auto"/>
                <w:lang w:val="en-US"/>
              </w:rPr>
              <w:t>预算数</w:t>
            </w:r>
          </w:p>
        </w:tc>
        <w:tc>
          <w:tcPr>
            <w:tcW w:w="2216" w:type="dxa"/>
            <w:vAlign w:val="center"/>
          </w:tcPr>
          <w:p>
            <w:pPr>
              <w:pStyle w:val="20"/>
              <w:jc w:val="center"/>
              <w:rPr>
                <w:color w:val="auto"/>
                <w:lang w:val="en-US"/>
              </w:rPr>
            </w:pPr>
            <w:r>
              <w:rPr>
                <w:rFonts w:hint="eastAsia"/>
                <w:color w:val="auto"/>
                <w:lang w:val="en-US"/>
              </w:rPr>
              <w:t>执行数</w:t>
            </w:r>
          </w:p>
        </w:tc>
        <w:tc>
          <w:tcPr>
            <w:tcW w:w="2216" w:type="dxa"/>
            <w:vAlign w:val="center"/>
          </w:tcPr>
          <w:p>
            <w:pPr>
              <w:pStyle w:val="20"/>
              <w:jc w:val="center"/>
              <w:rPr>
                <w:color w:val="auto"/>
                <w:lang w:val="en-US"/>
              </w:rPr>
            </w:pPr>
            <w:r>
              <w:rPr>
                <w:rFonts w:hint="eastAsia"/>
                <w:color w:val="auto"/>
                <w:lang w:val="en-US"/>
              </w:rPr>
              <w:t>实际支付进度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51" w:type="dxa"/>
            <w:vAlign w:val="center"/>
          </w:tcPr>
          <w:p>
            <w:pPr>
              <w:pStyle w:val="20"/>
              <w:jc w:val="center"/>
              <w:rPr>
                <w:b/>
                <w:color w:val="auto"/>
                <w:lang w:val="en-US"/>
              </w:rPr>
            </w:pPr>
            <w:r>
              <w:rPr>
                <w:rFonts w:hint="eastAsia"/>
                <w:b/>
                <w:color w:val="auto"/>
                <w:lang w:val="en-US"/>
              </w:rPr>
              <w:t>1-6月</w:t>
            </w:r>
          </w:p>
        </w:tc>
        <w:tc>
          <w:tcPr>
            <w:tcW w:w="2216" w:type="dxa"/>
            <w:vAlign w:val="center"/>
          </w:tcPr>
          <w:p>
            <w:pPr>
              <w:pStyle w:val="20"/>
              <w:jc w:val="center"/>
              <w:rPr>
                <w:bCs w:val="0"/>
                <w:color w:val="auto"/>
                <w:lang w:val="en-US"/>
              </w:rPr>
            </w:pPr>
            <w:r>
              <w:rPr>
                <w:rFonts w:hint="eastAsia"/>
                <w:bCs w:val="0"/>
                <w:color w:val="auto"/>
                <w:lang w:val="en-US"/>
              </w:rPr>
              <w:t>443.85</w:t>
            </w:r>
          </w:p>
        </w:tc>
        <w:tc>
          <w:tcPr>
            <w:tcW w:w="2216" w:type="dxa"/>
            <w:vAlign w:val="center"/>
          </w:tcPr>
          <w:p>
            <w:pPr>
              <w:pStyle w:val="20"/>
              <w:jc w:val="center"/>
              <w:rPr>
                <w:bCs w:val="0"/>
                <w:color w:val="auto"/>
                <w:lang w:val="en-US"/>
              </w:rPr>
            </w:pPr>
            <w:r>
              <w:rPr>
                <w:rFonts w:hint="eastAsia"/>
                <w:bCs w:val="0"/>
                <w:color w:val="auto"/>
                <w:lang w:val="en-US"/>
              </w:rPr>
              <w:t>129.39</w:t>
            </w:r>
          </w:p>
        </w:tc>
        <w:tc>
          <w:tcPr>
            <w:tcW w:w="2216" w:type="dxa"/>
            <w:vAlign w:val="center"/>
          </w:tcPr>
          <w:p>
            <w:pPr>
              <w:pStyle w:val="20"/>
              <w:jc w:val="center"/>
              <w:rPr>
                <w:bCs w:val="0"/>
                <w:color w:val="auto"/>
                <w:lang w:val="en-US"/>
              </w:rPr>
            </w:pPr>
            <w:r>
              <w:rPr>
                <w:rFonts w:hint="eastAsia"/>
                <w:bCs w:val="0"/>
                <w:color w:val="auto"/>
                <w:lang w:val="en-US"/>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51" w:type="dxa"/>
            <w:vAlign w:val="center"/>
          </w:tcPr>
          <w:p>
            <w:pPr>
              <w:pStyle w:val="20"/>
              <w:jc w:val="center"/>
              <w:rPr>
                <w:b/>
                <w:color w:val="auto"/>
                <w:lang w:val="en-US"/>
              </w:rPr>
            </w:pPr>
            <w:r>
              <w:rPr>
                <w:rFonts w:hint="eastAsia"/>
                <w:b/>
                <w:color w:val="auto"/>
                <w:lang w:val="en-US"/>
              </w:rPr>
              <w:t>1-9月</w:t>
            </w:r>
          </w:p>
        </w:tc>
        <w:tc>
          <w:tcPr>
            <w:tcW w:w="2216" w:type="dxa"/>
            <w:vAlign w:val="center"/>
          </w:tcPr>
          <w:p>
            <w:pPr>
              <w:pStyle w:val="20"/>
              <w:jc w:val="center"/>
              <w:rPr>
                <w:bCs w:val="0"/>
                <w:color w:val="auto"/>
                <w:lang w:val="en-US"/>
              </w:rPr>
            </w:pPr>
            <w:r>
              <w:rPr>
                <w:rFonts w:hint="eastAsia"/>
                <w:bCs w:val="0"/>
                <w:color w:val="auto"/>
                <w:lang w:val="en-US"/>
              </w:rPr>
              <w:t>483.5</w:t>
            </w:r>
          </w:p>
        </w:tc>
        <w:tc>
          <w:tcPr>
            <w:tcW w:w="2216" w:type="dxa"/>
            <w:vAlign w:val="center"/>
          </w:tcPr>
          <w:p>
            <w:pPr>
              <w:pStyle w:val="20"/>
              <w:jc w:val="center"/>
              <w:rPr>
                <w:bCs w:val="0"/>
                <w:color w:val="auto"/>
                <w:lang w:val="en-US"/>
              </w:rPr>
            </w:pPr>
            <w:r>
              <w:rPr>
                <w:rFonts w:hint="eastAsia"/>
                <w:bCs w:val="0"/>
                <w:color w:val="auto"/>
                <w:lang w:val="en-US"/>
              </w:rPr>
              <w:t>277.03</w:t>
            </w:r>
          </w:p>
        </w:tc>
        <w:tc>
          <w:tcPr>
            <w:tcW w:w="2216" w:type="dxa"/>
            <w:vAlign w:val="center"/>
          </w:tcPr>
          <w:p>
            <w:pPr>
              <w:pStyle w:val="20"/>
              <w:jc w:val="center"/>
              <w:rPr>
                <w:bCs w:val="0"/>
                <w:color w:val="auto"/>
                <w:lang w:val="en-US"/>
              </w:rPr>
            </w:pPr>
            <w:r>
              <w:rPr>
                <w:rFonts w:hint="eastAsia"/>
                <w:bCs w:val="0"/>
                <w:color w:val="auto"/>
                <w:lang w:val="en-US"/>
              </w:rPr>
              <w:t>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51" w:type="dxa"/>
            <w:vAlign w:val="center"/>
          </w:tcPr>
          <w:p>
            <w:pPr>
              <w:pStyle w:val="20"/>
              <w:jc w:val="center"/>
              <w:rPr>
                <w:b/>
                <w:color w:val="auto"/>
                <w:lang w:val="en-US"/>
              </w:rPr>
            </w:pPr>
            <w:r>
              <w:rPr>
                <w:rFonts w:hint="eastAsia"/>
                <w:b/>
                <w:color w:val="auto"/>
                <w:lang w:val="en-US"/>
              </w:rPr>
              <w:t>1-11月</w:t>
            </w:r>
          </w:p>
        </w:tc>
        <w:tc>
          <w:tcPr>
            <w:tcW w:w="2216" w:type="dxa"/>
            <w:vAlign w:val="center"/>
          </w:tcPr>
          <w:p>
            <w:pPr>
              <w:pStyle w:val="20"/>
              <w:jc w:val="center"/>
              <w:rPr>
                <w:bCs w:val="0"/>
                <w:color w:val="auto"/>
                <w:lang w:val="en-US"/>
              </w:rPr>
            </w:pPr>
            <w:r>
              <w:rPr>
                <w:rFonts w:hint="eastAsia"/>
                <w:bCs w:val="0"/>
                <w:color w:val="auto"/>
                <w:lang w:val="en-US"/>
              </w:rPr>
              <w:t>483.5</w:t>
            </w:r>
          </w:p>
        </w:tc>
        <w:tc>
          <w:tcPr>
            <w:tcW w:w="2216" w:type="dxa"/>
            <w:vAlign w:val="center"/>
          </w:tcPr>
          <w:p>
            <w:pPr>
              <w:pStyle w:val="20"/>
              <w:jc w:val="center"/>
              <w:rPr>
                <w:bCs w:val="0"/>
                <w:color w:val="auto"/>
                <w:lang w:val="en-US"/>
              </w:rPr>
            </w:pPr>
            <w:r>
              <w:rPr>
                <w:rFonts w:hint="eastAsia"/>
                <w:bCs w:val="0"/>
                <w:color w:val="auto"/>
                <w:lang w:val="en-US"/>
              </w:rPr>
              <w:t>310.71</w:t>
            </w:r>
          </w:p>
        </w:tc>
        <w:tc>
          <w:tcPr>
            <w:tcW w:w="2216" w:type="dxa"/>
            <w:vAlign w:val="center"/>
          </w:tcPr>
          <w:p>
            <w:pPr>
              <w:pStyle w:val="20"/>
              <w:jc w:val="center"/>
              <w:rPr>
                <w:bCs w:val="0"/>
                <w:color w:val="auto"/>
                <w:lang w:val="en-US"/>
              </w:rPr>
            </w:pPr>
            <w:r>
              <w:rPr>
                <w:rFonts w:hint="eastAsia"/>
                <w:bCs w:val="0"/>
                <w:color w:val="auto"/>
                <w:lang w:val="en-US"/>
              </w:rPr>
              <w:t>64.3%</w:t>
            </w:r>
          </w:p>
        </w:tc>
      </w:tr>
    </w:tbl>
    <w:p>
      <w:pPr>
        <w:pStyle w:val="19"/>
        <w:ind w:firstLine="482" w:firstLineChars="200"/>
        <w:jc w:val="right"/>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该指标分值标准10分，根据指标评价标准和公式计算，得7.95分。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3.完成结果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（1）预算完成</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燕子乡人民政府2020年部门财政收入预算649.33万元，全年实际执行528.24万元，执行进度81.4%。</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该指标分值标准10分，根据指标评价标准和公式计算，得分8.14分。</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（2）违规记录 </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旺苍县财政局关于开展“三公”经费、违纪违规乱发钱物等专项检查的通知》（旺财办〔2020〕23号）文件要求，旺苍县财政局对燕子乡人民政府开展检查时发现存在以下问题：公务接待方面存在超标准接待、“三单”不全现象；差旅费报销方面存在超范围报销情况等。</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该指标分值标准10分，根据指标评价标准和公式计算，得分 9分。扣1分。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（二）绩效结果应用分析</w:t>
      </w:r>
    </w:p>
    <w:p>
      <w:pPr>
        <w:keepNext w:val="0"/>
        <w:keepLines w:val="0"/>
        <w:pageBreakBefore w:val="0"/>
        <w:widowControl w:val="0"/>
        <w:tabs>
          <w:tab w:val="left" w:pos="5696"/>
        </w:tabs>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1.自评质量</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rPr>
        <w:t>燕子乡人民政府2020年部门整体支出绩效自评得分90分（除自评质量指标外，满分96分）。根据现场评价情况，评价组对燕子乡人民政府的考评得分为69.59分（除自评质量指标外，满分96分）。燕子乡人民政府自评得分与评价组考评分的差异为29%。</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该指标分值标准4分，根据指标评价标准和公式计算，得分0分。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2.信息公开</w:t>
      </w:r>
    </w:p>
    <w:p>
      <w:pPr>
        <w:pStyle w:val="2"/>
        <w:keepNext w:val="0"/>
        <w:keepLines w:val="0"/>
        <w:pageBreakBefore w:val="0"/>
        <w:widowControl w:val="0"/>
        <w:tabs>
          <w:tab w:val="left" w:pos="362"/>
        </w:tabs>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（1）目标公开</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按照财政局要求，燕子乡人民政府绩效目标说明已按要求随部门预算在政府网站向社会公开。</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该指标分值标准4分，根据指标评价标准和公式计算，得分4分。</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（2）自评公开</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按照财政局要求，燕子乡人民政府并将部门整体绩效自评情况和自行组织的评价情况随同决算公开。 </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该指标分值标准4分，根据指标评价标准和公式计算，得分4分。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3.整改反馈</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highlight w:val="none"/>
          <w:lang w:val="en-US" w:eastAsia="zh-CN"/>
        </w:rPr>
        <w:t>按照财政局要求，</w:t>
      </w:r>
      <w:r>
        <w:rPr>
          <w:rFonts w:hint="eastAsia" w:ascii="仿宋_GB2312" w:hAnsi="仿宋_GB2312" w:eastAsia="仿宋_GB2312" w:cs="仿宋_GB2312"/>
          <w:sz w:val="32"/>
          <w:szCs w:val="32"/>
          <w:lang w:val="en-US" w:eastAsia="zh-CN"/>
        </w:rPr>
        <w:t>檬子乡人民政府</w:t>
      </w:r>
      <w:r>
        <w:rPr>
          <w:rFonts w:hint="eastAsia" w:ascii="仿宋_GB2312" w:hAnsi="仿宋_GB2312" w:eastAsia="仿宋_GB2312" w:cs="仿宋_GB2312"/>
          <w:sz w:val="32"/>
          <w:szCs w:val="32"/>
          <w:highlight w:val="none"/>
        </w:rPr>
        <w:t>做到了按时向财政部门报送相应绩效自评报告</w:t>
      </w:r>
      <w:r>
        <w:rPr>
          <w:rFonts w:hint="eastAsia" w:ascii="仿宋_GB2312" w:hAnsi="仿宋_GB2312" w:eastAsia="仿宋_GB2312" w:cs="仿宋_GB2312"/>
          <w:sz w:val="32"/>
          <w:szCs w:val="32"/>
          <w:highlight w:val="none"/>
          <w:lang w:val="en-US" w:eastAsia="zh-CN"/>
        </w:rPr>
        <w:t>以及绩效相关表格，</w:t>
      </w:r>
      <w:r>
        <w:rPr>
          <w:rFonts w:hint="eastAsia" w:ascii="仿宋_GB2312" w:hAnsi="仿宋_GB2312" w:eastAsia="仿宋_GB2312" w:cs="仿宋_GB2312"/>
          <w:sz w:val="32"/>
          <w:szCs w:val="32"/>
          <w:highlight w:val="none"/>
        </w:rPr>
        <w:t>不扣分。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该指标分值标准4分，根据指标评价标准和公式计算，得分4分。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绩效目标编制不规范。</w:t>
      </w:r>
      <w:r>
        <w:rPr>
          <w:rFonts w:hint="eastAsia" w:ascii="仿宋_GB2312" w:hAnsi="仿宋_GB2312" w:eastAsia="仿宋_GB2312" w:cs="仿宋_GB2312"/>
          <w:sz w:val="32"/>
          <w:szCs w:val="32"/>
        </w:rPr>
        <w:t>一是三级指标定性描述不够充分具体，如数量指标中三级指标“脱贫攻坚”“产业发展”等描述不准确，指向不明确，指标本身涵盖范围广泛；三级指标“通村公路硬化”指标下，指标值包括了核桃品改项目，与其指标不符。二是部分绩效目标不具代表性，年度主要任务在年度绩效指标中未被体现，目标设置上没能选取最能代表总体目标的关键指标，如年初目标申报表中主要任务有描述“提升现代农业园区数量，新发展农民专业合作社”，而未设置相关完成情况数量及质量指标。三是部分绩效目标完成指标缺乏明确的业务数据支撑，评价依据和评价标准不够明确。未能充分达到通过设定绩效目标以加强预算绩效管理、提升财政资金使用效益的目的。例如：社会效益指标下，所有指标的指标值都是文字叙述，无可评估的标准，难以界定完成程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全面实施预算绩效管理乏力。</w:t>
      </w:r>
      <w:r>
        <w:rPr>
          <w:rFonts w:hint="eastAsia" w:ascii="仿宋_GB2312" w:hAnsi="仿宋_GB2312" w:eastAsia="仿宋_GB2312" w:cs="仿宋_GB2312"/>
          <w:sz w:val="32"/>
          <w:szCs w:val="32"/>
        </w:rPr>
        <w:t>一是未牢固树立预算绩效管理理念，对预算绩效管理主体责任重视不够，存在重投入轻管理，重支出轻绩效的现象，主要表现在预算绩效管理制度不全，责任划分不清，人员分工不明。二是全过程推动预算绩效管理力度不强，未能积极主动系统深入谋划预算绩效管理工作，对全过程预算绩效管理存在的问题挖掘不深，主要表现在自评质量不高，佐证资料不齐，事中监控事后评价不够深入。</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（三）部门预算管理刚性不足。</w:t>
      </w:r>
      <w:r>
        <w:rPr>
          <w:rFonts w:hint="eastAsia" w:ascii="仿宋_GB2312" w:hAnsi="仿宋_GB2312" w:eastAsia="仿宋_GB2312" w:cs="仿宋_GB2312"/>
          <w:sz w:val="32"/>
          <w:szCs w:val="32"/>
        </w:rPr>
        <w:t>一是年初预算编制准确性不高，如通过绩效评价发现，燕子乡人民政府“办公费、印刷费、水费、电费、物业管理费”等部门公用经费及非定额公用支出预决算数相差较大。二是预算执行进度不高，如部门预算执行进度在6、9、11月分别为29.2%,57.3%,64.3%，12月预算执行进度为81.4%。三是存在预算执行不严，如：依据《旺苍县财政局关于开展“三公”经费、违纪违规乱发钱物等专项检查的通知》（旺财办〔2020〕23号）</w:t>
      </w:r>
      <w:r>
        <w:rPr>
          <w:rFonts w:hint="eastAsia" w:ascii="仿宋_GB2312" w:hAnsi="仿宋_GB2312" w:eastAsia="仿宋_GB2312" w:cs="仿宋_GB2312"/>
          <w:sz w:val="32"/>
          <w:szCs w:val="32"/>
          <w:lang w:val="en-US" w:eastAsia="zh-CN"/>
        </w:rPr>
        <w:t>检查结果</w:t>
      </w:r>
      <w:r>
        <w:rPr>
          <w:rFonts w:hint="eastAsia" w:ascii="仿宋_GB2312" w:hAnsi="仿宋_GB2312" w:eastAsia="仿宋_GB2312" w:cs="仿宋_GB2312"/>
          <w:sz w:val="32"/>
          <w:szCs w:val="32"/>
        </w:rPr>
        <w:t>，对燕子乡人民政府开展检查时发现公务接待方面存在超标准接待、“三单”不全现象；差旅费报销方面存在超范围报销情况等。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五、整改措施及建议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（一）准确设置项目绩效目标，确保项目效果可衡量。</w:t>
      </w:r>
      <w:r>
        <w:rPr>
          <w:rFonts w:hint="eastAsia" w:ascii="仿宋_GB2312" w:hAnsi="仿宋_GB2312" w:eastAsia="仿宋_GB2312" w:cs="仿宋_GB2312"/>
          <w:sz w:val="32"/>
          <w:szCs w:val="32"/>
        </w:rPr>
        <w:t>部门应强化绩效管理理念，按照“谁申请资金，谁编制目标”的原则和规定的方法、程序科学合理编制预算绩效目标。部门整体支出绩效目标应根据部门职能职责、中长期规划和年度工作任务进行编制，目标应能反映部门履职所要达到的总体产出和效果。编制的目标要细化量化、规范完整且可衡量，同时加强项目效果方面目标的制定。部门应加强对自身绩效目标的自审工作，切实提高绩效目标编制质量。</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（二）全面加强预算绩效管理，提升绩效管理水平。</w:t>
      </w:r>
      <w:r>
        <w:rPr>
          <w:rFonts w:hint="eastAsia" w:ascii="仿宋_GB2312" w:hAnsi="仿宋_GB2312" w:eastAsia="仿宋_GB2312" w:cs="仿宋_GB2312"/>
          <w:sz w:val="32"/>
          <w:szCs w:val="32"/>
        </w:rPr>
        <w:t>组织干部学习《中共旺苍县委旺苍县人民政府关于全面实施预算绩效管理的实施意见》（旺委发〔2020〕7号）文件精神，全面领会实施预算绩效管理的重要意义，推动树牢绩效管理意识，扛起绩效管理主体责任，加强绩效管理思考谋划，完善绩效管理的各项制度机制。建立健全全方位、全覆盖、全过程的预算绩效管理体系，做细做实事中监控和重点评价，以绩效管理推动聚焦主责主业，形成运转有效的部门预算绩效管控机制，全面提升财政资源配置和使用效益。</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（三）准确编制政府预算，强化预算管理。</w:t>
      </w:r>
      <w:r>
        <w:rPr>
          <w:rFonts w:hint="eastAsia" w:ascii="仿宋_GB2312" w:hAnsi="仿宋_GB2312" w:eastAsia="仿宋_GB2312" w:cs="仿宋_GB2312"/>
          <w:sz w:val="32"/>
          <w:szCs w:val="32"/>
        </w:rPr>
        <w:t>根据制定的绩效目标和计划进度，合理安排年度预算，预算编制应依据充分、测算过程明确具体，建议参考上年度预算实际执行情况和支出绩效评价结果，提高预算编制的准确性；加强项目前期论证和准备工作，提高预算执行进度和均衡性；加强部门预算和专项资金的规范管理，确保预算资金合规使用；对部门日常公用经费及项目支出中相关运转类经费要进行有效控制，提高实际执行与预算的符合程度。强化节约、节能意识，加强经费支出管理，严格控制公用经费开支，降低运行成本，提高资源利用效率。建立和规范项目经费管理制度，加强项目经费管理，严格规范项目经费使用及审批制度，明确项目经费使用范围，严格规范项目经费的审批程序，严禁项目经费挪作他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adjustRightInd w:val="0"/>
        <w:snapToGrid w:val="0"/>
        <w:spacing w:line="240" w:lineRule="atLeast"/>
        <w:jc w:val="center"/>
        <w:rPr>
          <w:rFonts w:hint="eastAsia" w:ascii="方正小标宋简体" w:hAnsi="华文中宋" w:eastAsia="方正小标宋简体"/>
          <w:b/>
          <w:sz w:val="42"/>
          <w:szCs w:val="36"/>
        </w:rPr>
      </w:pPr>
      <w:r>
        <w:rPr>
          <w:rFonts w:hint="eastAsia" w:ascii="方正小标宋简体" w:hAnsi="华文中宋" w:eastAsia="方正小标宋简体"/>
          <w:b/>
          <w:sz w:val="50"/>
          <w:szCs w:val="44"/>
        </w:rPr>
        <w:t>旺苍县残疾人联合会部门整体支出</w:t>
      </w:r>
    </w:p>
    <w:p>
      <w:pPr>
        <w:adjustRightInd w:val="0"/>
        <w:snapToGrid w:val="0"/>
        <w:spacing w:line="240" w:lineRule="atLeast"/>
        <w:ind w:left="105" w:leftChars="50" w:firstLine="372" w:firstLineChars="103"/>
        <w:jc w:val="center"/>
        <w:rPr>
          <w:rFonts w:hint="eastAsia" w:ascii="方正小标宋简体" w:hAnsi="华文中宋" w:eastAsia="方正小标宋简体"/>
          <w:b/>
          <w:sz w:val="36"/>
          <w:szCs w:val="36"/>
        </w:rPr>
      </w:pPr>
    </w:p>
    <w:p>
      <w:pPr>
        <w:adjustRightInd w:val="0"/>
        <w:snapToGrid w:val="0"/>
        <w:spacing w:line="240" w:lineRule="atLeast"/>
        <w:ind w:left="105" w:leftChars="50" w:firstLine="372" w:firstLineChars="103"/>
        <w:jc w:val="center"/>
        <w:rPr>
          <w:rFonts w:hint="eastAsia" w:ascii="方正小标宋简体" w:hAnsi="华文中宋" w:eastAsia="方正小标宋简体"/>
          <w:b/>
          <w:sz w:val="36"/>
          <w:szCs w:val="36"/>
        </w:rPr>
      </w:pP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绩</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效</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评</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价</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报</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告</w:t>
      </w:r>
    </w:p>
    <w:p>
      <w:pPr>
        <w:adjustRightInd w:val="0"/>
        <w:snapToGrid w:val="0"/>
        <w:spacing w:line="240" w:lineRule="atLeast"/>
        <w:ind w:left="105" w:leftChars="50" w:firstLine="372" w:firstLineChars="103"/>
        <w:jc w:val="center"/>
        <w:rPr>
          <w:rFonts w:hint="eastAsia" w:ascii="方正小标宋简体" w:hAnsi="华文中宋" w:eastAsia="方正小标宋简体"/>
          <w:b/>
          <w:sz w:val="36"/>
          <w:szCs w:val="36"/>
        </w:rPr>
      </w:pPr>
    </w:p>
    <w:p>
      <w:pPr>
        <w:adjustRightInd w:val="0"/>
        <w:snapToGrid w:val="0"/>
        <w:spacing w:line="240" w:lineRule="atLeast"/>
        <w:ind w:left="105" w:leftChars="50" w:firstLine="370" w:firstLineChars="103"/>
        <w:jc w:val="center"/>
        <w:rPr>
          <w:rFonts w:hint="eastAsia" w:ascii="楷体" w:hAnsi="楷体" w:eastAsia="楷体" w:cs="楷体"/>
          <w:bCs/>
          <w:sz w:val="36"/>
          <w:szCs w:val="36"/>
        </w:rPr>
      </w:pPr>
    </w:p>
    <w:p>
      <w:pPr>
        <w:adjustRightInd w:val="0"/>
        <w:snapToGrid w:val="0"/>
        <w:spacing w:line="240" w:lineRule="atLeast"/>
        <w:ind w:left="105" w:leftChars="50" w:firstLine="370" w:firstLineChars="103"/>
        <w:jc w:val="center"/>
        <w:rPr>
          <w:rFonts w:hint="eastAsia" w:ascii="楷体" w:hAnsi="楷体" w:eastAsia="楷体" w:cs="楷体"/>
          <w:bCs/>
          <w:sz w:val="36"/>
          <w:szCs w:val="36"/>
        </w:rPr>
      </w:pPr>
    </w:p>
    <w:p>
      <w:pPr>
        <w:tabs>
          <w:tab w:val="left" w:pos="3885"/>
        </w:tabs>
        <w:snapToGrid w:val="0"/>
        <w:spacing w:line="600" w:lineRule="atLeast"/>
        <w:ind w:firstLine="1084" w:firstLineChars="300"/>
        <w:jc w:val="left"/>
        <w:rPr>
          <w:rFonts w:hint="eastAsia" w:ascii="楷体" w:hAnsi="楷体" w:eastAsia="楷体" w:cs="楷体"/>
          <w:b/>
          <w:sz w:val="36"/>
          <w:szCs w:val="36"/>
        </w:rPr>
      </w:pPr>
      <w:r>
        <w:rPr>
          <w:rFonts w:hint="eastAsia" w:ascii="楷体" w:hAnsi="楷体" w:eastAsia="楷体" w:cs="楷体"/>
          <w:b/>
          <w:sz w:val="36"/>
          <w:szCs w:val="36"/>
        </w:rPr>
        <w:t>评价部门：旺苍县财政局社保股</w:t>
      </w:r>
    </w:p>
    <w:p>
      <w:pPr>
        <w:tabs>
          <w:tab w:val="left" w:pos="3885"/>
        </w:tabs>
        <w:snapToGrid w:val="0"/>
        <w:spacing w:line="600" w:lineRule="atLeast"/>
        <w:ind w:firstLine="1084" w:firstLineChars="300"/>
        <w:jc w:val="left"/>
        <w:rPr>
          <w:rFonts w:hint="eastAsia" w:ascii="楷体" w:hAnsi="楷体" w:eastAsia="楷体" w:cs="楷体"/>
          <w:b/>
          <w:sz w:val="36"/>
          <w:szCs w:val="36"/>
        </w:rPr>
      </w:pPr>
      <w:r>
        <w:rPr>
          <w:rFonts w:hint="eastAsia" w:ascii="楷体" w:hAnsi="楷体" w:eastAsia="楷体" w:cs="楷体"/>
          <w:b/>
          <w:sz w:val="36"/>
          <w:szCs w:val="36"/>
        </w:rPr>
        <w:t xml:space="preserve">评价人员：李勤才、赵毅、程颖  </w:t>
      </w:r>
    </w:p>
    <w:p>
      <w:pPr>
        <w:tabs>
          <w:tab w:val="left" w:pos="3885"/>
        </w:tabs>
        <w:snapToGrid w:val="0"/>
        <w:spacing w:line="600" w:lineRule="atLeast"/>
        <w:ind w:firstLine="1084" w:firstLineChars="300"/>
        <w:jc w:val="left"/>
        <w:rPr>
          <w:rFonts w:hint="eastAsia" w:ascii="楷体" w:hAnsi="楷体" w:eastAsia="楷体" w:cs="楷体"/>
          <w:b/>
          <w:sz w:val="36"/>
          <w:szCs w:val="36"/>
        </w:rPr>
      </w:pPr>
      <w:r>
        <w:rPr>
          <w:rFonts w:hint="eastAsia" w:ascii="楷体" w:hAnsi="楷体" w:eastAsia="楷体" w:cs="楷体"/>
          <w:b/>
          <w:sz w:val="36"/>
          <w:szCs w:val="36"/>
        </w:rPr>
        <w:t>报告时间：2021年 9 月18日</w:t>
      </w:r>
    </w:p>
    <w:p>
      <w:pPr>
        <w:spacing w:line="560" w:lineRule="exact"/>
        <w:ind w:firstLine="640" w:firstLineChars="200"/>
        <w:rPr>
          <w:rFonts w:hint="eastAsia" w:ascii="黑体" w:hAnsi="黑体" w:eastAsia="黑体"/>
          <w:sz w:val="32"/>
          <w:szCs w:val="32"/>
        </w:rPr>
        <w:sectPr>
          <w:headerReference r:id="rId33" w:type="default"/>
          <w:footerReference r:id="rId34" w:type="default"/>
          <w:footerReference r:id="rId35" w:type="even"/>
          <w:pgSz w:w="11906" w:h="16838"/>
          <w:pgMar w:top="2098" w:right="1474" w:bottom="1985" w:left="1588" w:header="851" w:footer="1559" w:gutter="0"/>
          <w:pgNumType w:fmt="numberInDash" w:start="1"/>
          <w:cols w:space="720" w:num="1"/>
          <w:docGrid w:type="lines" w:linePitch="312" w:charSpace="0"/>
        </w:sect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一、部门概况</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（一）机构构成</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旺苍县残疾人联合会下属二级单位2个，其中行政单位0个，参照公务员法管理的事业单位0个，其他事业单位2个。</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纳入旺苍县残疾人联合会2019年度部门决算编制范围的二级预算单位包括：</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(1)旺苍县残疾人康复中心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(2)旺苍县残疾人服务中心</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（二）基本职能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1.弘扬人道主义，发展残疾人事业。调查残疾人状况，建档立卡，核发残疾人相关证书，宣传贯彻残疾人有关法律法规，开展残疾人康复教育、劳动就业、社会保障等工作。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建立、完善残疾人康复服务机构，加强工作指导和信息交流，推动康复训练和社区康复训练服务开展实用康复技术培训，加强适合社区和家庭训练的康复技术力量。制定康复训练评估标准，规范康复训练档案，在残疾人及其家庭中普及康复知识，提高康复质量，进行残疾人康复需求调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对残疾人进行待业调查、劳动力评估、劳动能力评估、就业培训和提供就业服务。开展残疾人扶贫解困工作（残疾人危房改造，农村、城镇残疾人实用技能培训），制定残疾人扶贫规划，并负责组织实施盲人按摩培训工作对残疾人扶贫项目进行考查论证，为残疾人提供产前、产中、产后物资、技术、信息等项目服务。管理使用好扶贫贷款，确保借贷扶贫安全、有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开展残疾人就业登记、咨询及劳动能力评估，根据用人单位的招工意向，组织残疾人培训，建立和管理残疾人人才库，推荐残疾人就业。按政策规定，向安置残疾人不足在职职工总数1.5%的单位征收残疾人就业保障金，负责纳税单位交纳残疾人就业保障金的审核、计退工作和非纳税单位银行托收合同的签订及应交款的核定工作。开展残疾人扶贫工作，组织残疾人参与来料加工，扶持城镇残疾人个体从业，扶持农村残疾人从事种养业等家庭副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协调管理全县残疾人用品用具供应服务工作；组织开展全县残疾人用品用具的供需调查；做好残疾人用品用具的宣传、推广、使用工作。组织实施以政府为主导，各类医疗、工伤保险为基础的残疾人用品用具的供应服务工作，逐步满足不同层次残疾人的需求。做好残疾人用品用具知识宣传服务工作、供应服务工作、维修服务工作、租赁服务工作，并落实到新区、使残疾人就近（社区）得到各项服务。</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（三）人员结构及相关情况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旺苍县残疾人联合会截</w:t>
      </w:r>
      <w:r>
        <w:rPr>
          <w:rFonts w:hint="eastAsia" w:ascii="仿宋_GB2312" w:eastAsia="仿宋_GB2312"/>
          <w:sz w:val="32"/>
          <w:szCs w:val="32"/>
          <w:lang w:eastAsia="zh-CN"/>
        </w:rPr>
        <w:t>至</w:t>
      </w:r>
      <w:r>
        <w:rPr>
          <w:rFonts w:hint="eastAsia" w:ascii="仿宋_GB2312" w:eastAsia="仿宋_GB2312"/>
          <w:sz w:val="32"/>
          <w:szCs w:val="32"/>
        </w:rPr>
        <w:t>2020年12月31日在职人员17人，新增2人。其中编制 16名，其中公务员 5人，机关工勤人员 0人，事业人员 11人；在职人员总数 17人，其中公务员 6人，机关工勤人员 0人，事业人员 11人。</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二、部门财政资金收支情况</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（一）部门决策情况</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1.高度重视，不断加强残疾人服务体系建设</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照“代表、服务、管理”职能要求，切实为残疾人服好务。一是坚持残疾人事业与经济社会协调发展，统一纳入县域经济社会中长规划。二是制定符合我县实际的促进残疾人事业发展的政策和措施并落实。三是将残疾人事业发展经费列入财政预算，并逐年增加。四是县委县政府每年召开一次专题会，研究解决残疾人工作中的困难和问题。五是借助乡镇行政区划调整，充实了班子力量；配齐了23个乡镇残联理事长、村（社区）残协主席及专职委员和社区康复协调员51人，并落实了村残协专委待遇。</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2.健全体系，不断强化残疾人的民生保障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围绕 “两不愁、三保障”脱贫攻坚的底线要求，切实加强了残疾人基本民生保障。一是强化兜底保障。对符合最低生活保障条件的残疾人家庭应保尽保，对处于最低生活保障边缘的残疾人家庭户适当给予倾斜。二是将年度脱贫84人纳入残疾人居家灵活就业补助对象，并给予8.4万元就业补助。三是落实护理和生活补贴。对符合困难残疾人生活补贴和重度残疾人护理补贴条件的残疾人做到应补尽补，全年共发放补贴1273.158万元（困补7608人864.03万元，护理补贴3694人256.388万元，扶贫补贴1259人152.74万元）。四是帮助残疾人参加基本养老保险和基本医疗保险。对持证入库14933名残疾人免费纳入“新农合”和城镇居民医疗保险，重度残疾人基本养老保险其应缴保费由县财政全额代缴，覆盖率达到100%。五是对507名因病因灾或其它原因造成家庭临时困难的残疾人予以救助，共发放救助资金32.87万元。六是为方便残疾人的出行，对96名残疾人机动车给予3.504万元的燃油补贴。</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3.扶持就业，不断拓展残疾人增收渠道</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围绕残疾人增收脱贫，切实加强了残疾人就业创业工作。一是大力开展残疾人就业培训。为帮助贫困残疾人家庭提升就业和生产能力。完成残疾人技能技术培训130人/次，农村实用技术培训200人/次。二是扶助残疾人就业创业。在东河、普济创建残疾人“双创”基地2个，补助资金10万元。双创基地实现年收入50万元，带动20余名残疾人就业增收。帮助835名（就业739人；创业96人）残疾人实现居家灵活就业创业，发放补助资金73.9万元；帮助600人贫困残疾人发展生产；依法推进按比例安置就业，全年有36家企业和单位安置残疾人就业132人；举办就业招聘会2场，组织51名残疾人外出务工，向眉山市吉香居有限公司推荐10名残疾人集中就业；实现居家托养180人，解放劳动力180人，实现家庭增收100余万元。三是实施好股权量化项目。加大对木门（化龙乡）、龙凤镇、大德（金溪镇）三个股权量化基地进行指导和监管，为74名贫困残疾人分红2.5452万元。四是协助残保金征收。及时对企业单位用残情况进行核实，并协助残保金征收，做到应收尽收，全年共征收残保金780万元。</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4.优化服务，不断提升残疾人公共服务水平</w:t>
      </w:r>
    </w:p>
    <w:p>
      <w:pPr>
        <w:spacing w:line="560" w:lineRule="exact"/>
        <w:ind w:firstLine="640" w:firstLineChars="200"/>
        <w:rPr>
          <w:rFonts w:hint="eastAsia" w:ascii="仿宋_GB2312" w:eastAsia="仿宋_GB2312"/>
          <w:sz w:val="32"/>
          <w:szCs w:val="32"/>
        </w:rPr>
      </w:pPr>
      <w:r>
        <w:rPr>
          <w:rFonts w:hint="eastAsia" w:ascii="仿宋_GB2312" w:eastAsia="仿宋_GB2312"/>
          <w:bCs/>
          <w:sz w:val="32"/>
          <w:szCs w:val="32"/>
        </w:rPr>
        <w:t>（1）加强残疾预防和康复服务。</w:t>
      </w:r>
      <w:r>
        <w:rPr>
          <w:rFonts w:hint="eastAsia" w:ascii="仿宋_GB2312" w:eastAsia="仿宋_GB2312"/>
          <w:sz w:val="32"/>
          <w:szCs w:val="32"/>
        </w:rPr>
        <w:t>一是实施残疾预防行动计划，强化基本公共卫生服务，建立了新生儿出生缺陷及残疾儿童筛查、申报、预防和联合防治网络，实现成员单位信息共享。全年共实施336例白内障复明手术。二是以家庭医生签约为突破口，开展精准康复服务，签约率达到100%。三是认真实施康复项目。组织实施了30人盲人定向行走视功能训练；完成6名人工耳蜗植入、听力残疾儿童训练；为11名肢体残疾儿实施矫正手术及童康复训练；为30名脑瘫儿童实施康复训练；为10名智障儿童实施康复训练；为6名孤独症儿童康复训练和21名下肢截肢残疾人安装假肢装配任务；完成15492人持证残疾人基本康复服务；全年完成2140人辅具适配项目，为持证残疾人提供基本康复和基本辅具适配率达98%以上；落实230人精残患者门诊服药、住院、治疗训练等工作。</w:t>
      </w:r>
    </w:p>
    <w:p>
      <w:pPr>
        <w:spacing w:line="560" w:lineRule="exact"/>
        <w:ind w:firstLine="640" w:firstLineChars="200"/>
        <w:rPr>
          <w:rFonts w:hint="eastAsia" w:ascii="仿宋_GB2312" w:eastAsia="仿宋_GB2312"/>
          <w:sz w:val="32"/>
          <w:szCs w:val="32"/>
        </w:rPr>
      </w:pPr>
      <w:r>
        <w:rPr>
          <w:rFonts w:hint="eastAsia" w:ascii="仿宋_GB2312" w:eastAsia="仿宋_GB2312"/>
          <w:bCs/>
          <w:sz w:val="32"/>
          <w:szCs w:val="32"/>
        </w:rPr>
        <w:t>（2）发展特教提升残疾人素质。一是与县教育局密切配合，做实6-15周岁残疾儿童接受教育工作，确保人人享受九年义务</w:t>
      </w:r>
      <w:r>
        <w:rPr>
          <w:rFonts w:hint="eastAsia" w:ascii="仿宋_GB2312" w:eastAsia="仿宋_GB2312"/>
          <w:sz w:val="32"/>
          <w:szCs w:val="32"/>
        </w:rPr>
        <w:t xml:space="preserve">教育；二是加大对县特殊教育学校的支持，确保全县适龄残疾儿童入学率达99.7%。三是积极开展助学圆梦行动。争取资金13.65万元（市：7.05万元，县：6.6万元），对全县当年考上大学的46名残疾学生和残疾人家庭的大学生给与资助，实现他们的大学之梦。 </w:t>
      </w:r>
    </w:p>
    <w:p>
      <w:pPr>
        <w:spacing w:line="560" w:lineRule="exact"/>
        <w:ind w:firstLine="640" w:firstLineChars="200"/>
        <w:rPr>
          <w:rFonts w:hint="eastAsia" w:ascii="仿宋_GB2312" w:eastAsia="仿宋_GB2312"/>
          <w:sz w:val="32"/>
          <w:szCs w:val="32"/>
        </w:rPr>
      </w:pPr>
      <w:r>
        <w:rPr>
          <w:rFonts w:hint="eastAsia" w:ascii="仿宋_GB2312" w:eastAsia="仿宋_GB2312"/>
          <w:bCs/>
          <w:sz w:val="32"/>
          <w:szCs w:val="32"/>
        </w:rPr>
        <w:t>（3）加强残疾人服务设施建设。一是狠抓康复体系建设。</w:t>
      </w:r>
      <w:r>
        <w:rPr>
          <w:rFonts w:hint="eastAsia" w:ascii="仿宋_GB2312" w:eastAsia="仿宋_GB2312"/>
          <w:sz w:val="32"/>
          <w:szCs w:val="32"/>
        </w:rPr>
        <w:t>构建了以县康复中心为基础、社区康复站点为依托的康复服务网络。2020年新建康复站点2个并投入使用，督促指导乡镇规范运行已建的10个残疾人康复示范站，充分发挥其最大效益。二是加快托养中心建设。县托养中心已于2020年9月竣工，现正在审计阶段，有望明年3月份启动运营。三是将残疾人文化、体育需求纳入了政府公共文化体育设施与服务平台规划建设，公共文化体育设施和公园等公共场所对残疾人免费开放。四是全面推进残疾人家庭无障碍改造，投入52.8万元对153户残疾人家庭实现了无障碍改造，得到群众的好评。</w:t>
      </w:r>
    </w:p>
    <w:p>
      <w:pPr>
        <w:spacing w:line="560" w:lineRule="exact"/>
        <w:ind w:firstLine="640" w:firstLineChars="200"/>
        <w:rPr>
          <w:rFonts w:hint="eastAsia" w:ascii="仿宋_GB2312" w:eastAsia="仿宋_GB2312"/>
          <w:sz w:val="32"/>
          <w:szCs w:val="32"/>
        </w:rPr>
      </w:pPr>
      <w:r>
        <w:rPr>
          <w:rFonts w:hint="eastAsia" w:ascii="仿宋_GB2312" w:eastAsia="仿宋_GB2312"/>
          <w:bCs/>
          <w:sz w:val="32"/>
          <w:szCs w:val="32"/>
        </w:rPr>
        <w:t>（4）优化政务服务惠及老百姓。一是落实好“放管服”。</w:t>
      </w:r>
      <w:r>
        <w:rPr>
          <w:rFonts w:hint="eastAsia" w:ascii="仿宋_GB2312" w:eastAsia="仿宋_GB2312"/>
          <w:sz w:val="32"/>
          <w:szCs w:val="32"/>
        </w:rPr>
        <w:t>简化办证流程，精减办证资料，缩减受理时限，切实服务好群众“最后一公里”，年度为155人评残人员发放评残补贴2.325万元。二是开展下乡办证。与评残定点的医院不定期开展下乡办证，全年对15个乡镇开展了下乡办证和入户办证，办证200余件，解决了残疾人的困难，密切了干群关系。三是落实主要领导和分管领导定期到窗口坐班指导业务；全年共受理办件1559件，办结1559件，新办理残疾人证1559件，全县共持证残疾人达14933人，所有审批服务项目均在承诺时限内按时办结，办结率均为100%，实现残联办证服务窗口全年无投诉。</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5.多方借力，不断加快残疾人小康进程</w:t>
      </w:r>
    </w:p>
    <w:p>
      <w:pPr>
        <w:spacing w:line="540" w:lineRule="exact"/>
        <w:ind w:firstLine="640" w:firstLineChars="200"/>
        <w:rPr>
          <w:rFonts w:hint="eastAsia" w:ascii="仿宋_GB2312" w:eastAsia="仿宋_GB2312"/>
          <w:b/>
          <w:sz w:val="32"/>
          <w:szCs w:val="32"/>
        </w:rPr>
      </w:pPr>
      <w:r>
        <w:rPr>
          <w:rFonts w:hint="eastAsia" w:ascii="仿宋_GB2312" w:eastAsia="仿宋_GB2312"/>
          <w:sz w:val="32"/>
          <w:szCs w:val="32"/>
        </w:rPr>
        <w:t>一是健全志愿助残工作机制，完善志愿者招募注册、服务对接、服务记录、组织管理、评价激励、权益维护等制度，鼓励更多的人参加志愿助残服务。二是借力九广合作，开展了“同心康福”行动。河南九三中央组织爱心企业精准帮扶旺苍残疾人免费安装假肢11例，免费脑瘫手术7例。三是联系中国狮会四川分会开展精准帮扶“1+1”行动，结对残疾人帮扶发展养殖业和助学行动。四是积极争取东西部扶贫协作资金50万元，对344名残疾人创业就业给予补助，为巩固脱贫、致富增收助力。</w:t>
      </w:r>
    </w:p>
    <w:p>
      <w:pPr>
        <w:spacing w:line="540" w:lineRule="exact"/>
        <w:ind w:firstLine="643" w:firstLineChars="200"/>
        <w:rPr>
          <w:rFonts w:hint="eastAsia" w:ascii="楷体_GB2312" w:eastAsia="楷体_GB2312"/>
          <w:b/>
          <w:sz w:val="32"/>
          <w:szCs w:val="32"/>
        </w:rPr>
      </w:pPr>
      <w:r>
        <w:rPr>
          <w:rFonts w:hint="eastAsia" w:ascii="楷体_GB2312" w:eastAsia="楷体_GB2312"/>
          <w:b/>
          <w:sz w:val="32"/>
          <w:szCs w:val="32"/>
        </w:rPr>
        <w:t>（二）部门财政资金收入情况</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2020年本单位财政拨款总收入为1102.17万元，其中一般公共预算财政拨款961.17万元，政府性基金预算财政拨款141万元。</w:t>
      </w:r>
    </w:p>
    <w:p>
      <w:pPr>
        <w:spacing w:line="540" w:lineRule="exact"/>
        <w:ind w:firstLine="643" w:firstLineChars="200"/>
        <w:rPr>
          <w:rFonts w:hint="eastAsia" w:ascii="楷体_GB2312" w:eastAsia="楷体_GB2312"/>
          <w:b/>
          <w:sz w:val="32"/>
          <w:szCs w:val="32"/>
        </w:rPr>
      </w:pPr>
      <w:r>
        <w:rPr>
          <w:rFonts w:hint="eastAsia" w:ascii="楷体_GB2312" w:eastAsia="楷体_GB2312"/>
          <w:b/>
          <w:sz w:val="32"/>
          <w:szCs w:val="32"/>
        </w:rPr>
        <w:t>（三）部门财政资金支出情况</w:t>
      </w:r>
    </w:p>
    <w:p>
      <w:pPr>
        <w:spacing w:line="540" w:lineRule="exact"/>
        <w:ind w:firstLine="640" w:firstLineChars="200"/>
        <w:rPr>
          <w:rFonts w:hint="eastAsia" w:ascii="仿宋_GB2312" w:eastAsia="仿宋_GB2312"/>
          <w:b/>
          <w:sz w:val="32"/>
          <w:szCs w:val="32"/>
        </w:rPr>
      </w:pPr>
      <w:r>
        <w:rPr>
          <w:rFonts w:hint="eastAsia" w:ascii="仿宋_GB2312" w:eastAsia="仿宋_GB2312"/>
          <w:color w:val="000000"/>
          <w:sz w:val="32"/>
          <w:szCs w:val="32"/>
        </w:rPr>
        <w:t>2020年本单位财政拨款总支出为954.96万元，其中基本支出241.44万元，项目支出713.52万元。</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三、评价结论和绩效分析</w:t>
      </w:r>
    </w:p>
    <w:p>
      <w:pPr>
        <w:spacing w:line="540" w:lineRule="exact"/>
        <w:ind w:firstLine="643" w:firstLineChars="200"/>
        <w:rPr>
          <w:rFonts w:hint="eastAsia" w:ascii="楷体_GB2312" w:eastAsia="楷体_GB2312"/>
          <w:b/>
          <w:sz w:val="32"/>
          <w:szCs w:val="32"/>
        </w:rPr>
      </w:pPr>
      <w:r>
        <w:rPr>
          <w:rFonts w:hint="eastAsia" w:ascii="楷体_GB2312" w:eastAsia="楷体_GB2312"/>
          <w:b/>
          <w:sz w:val="32"/>
          <w:szCs w:val="32"/>
        </w:rPr>
        <w:t>（一）评价结论</w:t>
      </w:r>
    </w:p>
    <w:p>
      <w:pPr>
        <w:spacing w:line="54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按要求对2021年部门整体支出开展绩效评价，从评价情况来看2021年本单位较好履行单位职责，完成了单位年度目标任务，单位财政资金收支管理较为规范，财经纪律财务制度执行情况较好。项目编制了绩效目标，年终执行完毕后，对项目开展了绩效目标完成情况梳理填报。从评价情况来看各项工作按项目要求有序推进，资金使用规范高效，社会服务满意度高并达到预期效果；根据《2020年度旺苍县部门支出绩效评价指标体系》规定的内容，</w:t>
      </w:r>
      <w:r>
        <w:rPr>
          <w:rFonts w:hint="eastAsia" w:ascii="仿宋_GB2312" w:eastAsia="仿宋_GB2312"/>
          <w:sz w:val="32"/>
          <w:szCs w:val="32"/>
        </w:rPr>
        <w:t>部门整体支出绩效评价得分75.5分。</w:t>
      </w:r>
    </w:p>
    <w:tbl>
      <w:tblPr>
        <w:tblStyle w:val="12"/>
        <w:tblW w:w="9345" w:type="dxa"/>
        <w:tblInd w:w="0" w:type="dxa"/>
        <w:tblLayout w:type="fixed"/>
        <w:tblCellMar>
          <w:top w:w="15" w:type="dxa"/>
          <w:left w:w="15" w:type="dxa"/>
          <w:bottom w:w="15" w:type="dxa"/>
          <w:right w:w="15" w:type="dxa"/>
        </w:tblCellMar>
      </w:tblPr>
      <w:tblGrid>
        <w:gridCol w:w="1010"/>
        <w:gridCol w:w="1119"/>
        <w:gridCol w:w="1012"/>
        <w:gridCol w:w="652"/>
        <w:gridCol w:w="636"/>
        <w:gridCol w:w="4916"/>
      </w:tblGrid>
      <w:tr>
        <w:tblPrEx>
          <w:tblCellMar>
            <w:top w:w="15" w:type="dxa"/>
            <w:left w:w="15" w:type="dxa"/>
            <w:bottom w:w="15" w:type="dxa"/>
            <w:right w:w="15" w:type="dxa"/>
          </w:tblCellMar>
        </w:tblPrEx>
        <w:trPr>
          <w:trHeight w:val="206" w:hRule="atLeast"/>
        </w:trPr>
        <w:tc>
          <w:tcPr>
            <w:tcW w:w="9345" w:type="dxa"/>
            <w:gridSpan w:val="6"/>
            <w:tcBorders>
              <w:bottom w:val="single" w:color="000000" w:sz="4" w:space="0"/>
            </w:tcBorders>
            <w:noWrap w:val="0"/>
            <w:vAlign w:val="center"/>
          </w:tcPr>
          <w:p>
            <w:pPr>
              <w:spacing w:line="550" w:lineRule="exact"/>
              <w:jc w:val="center"/>
              <w:rPr>
                <w:rFonts w:ascii="黑体" w:hAnsi="黑体" w:eastAsia="黑体"/>
                <w:sz w:val="32"/>
                <w:szCs w:val="32"/>
              </w:rPr>
            </w:pPr>
            <w:r>
              <w:rPr>
                <w:rFonts w:ascii="黑体" w:hAnsi="黑体" w:eastAsia="黑体"/>
                <w:sz w:val="32"/>
                <w:szCs w:val="32"/>
              </w:rPr>
              <w:t>旺苍县202</w:t>
            </w:r>
            <w:r>
              <w:rPr>
                <w:rFonts w:hint="eastAsia" w:ascii="黑体" w:hAnsi="黑体" w:eastAsia="黑体"/>
                <w:sz w:val="32"/>
                <w:szCs w:val="32"/>
              </w:rPr>
              <w:t>0</w:t>
            </w:r>
            <w:r>
              <w:rPr>
                <w:rFonts w:ascii="黑体" w:hAnsi="黑体" w:eastAsia="黑体"/>
                <w:sz w:val="32"/>
                <w:szCs w:val="32"/>
              </w:rPr>
              <w:t>年部门整体支出绩效评价指标体系</w:t>
            </w:r>
            <w:r>
              <w:rPr>
                <w:rFonts w:ascii="仿宋_GB2312" w:eastAsia="仿宋_GB2312"/>
                <w:sz w:val="32"/>
                <w:szCs w:val="32"/>
              </w:rPr>
              <w:br w:type="page"/>
            </w:r>
          </w:p>
        </w:tc>
      </w:tr>
      <w:tr>
        <w:tblPrEx>
          <w:tblCellMar>
            <w:top w:w="15" w:type="dxa"/>
            <w:left w:w="15" w:type="dxa"/>
            <w:bottom w:w="15" w:type="dxa"/>
            <w:right w:w="15" w:type="dxa"/>
          </w:tblCellMar>
        </w:tblPrEx>
        <w:trPr>
          <w:trHeight w:val="145" w:hRule="atLeast"/>
        </w:trPr>
        <w:tc>
          <w:tcPr>
            <w:tcW w:w="314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绩效指标</w:t>
            </w:r>
          </w:p>
        </w:tc>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指标分值</w:t>
            </w:r>
          </w:p>
        </w:tc>
        <w:tc>
          <w:tcPr>
            <w:tcW w:w="63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指标得分</w:t>
            </w:r>
          </w:p>
        </w:tc>
        <w:tc>
          <w:tcPr>
            <w:tcW w:w="49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指标解释</w:t>
            </w:r>
          </w:p>
        </w:tc>
      </w:tr>
      <w:tr>
        <w:tblPrEx>
          <w:tblCellMar>
            <w:top w:w="15" w:type="dxa"/>
            <w:left w:w="15" w:type="dxa"/>
            <w:bottom w:w="15" w:type="dxa"/>
            <w:right w:w="15" w:type="dxa"/>
          </w:tblCellMar>
        </w:tblPrEx>
        <w:trPr>
          <w:trHeight w:val="145"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一级指标</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二级指标</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三级指标</w:t>
            </w:r>
          </w:p>
        </w:tc>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49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r>
      <w:tr>
        <w:tblPrEx>
          <w:tblCellMar>
            <w:top w:w="15" w:type="dxa"/>
            <w:left w:w="15" w:type="dxa"/>
            <w:bottom w:w="15" w:type="dxa"/>
            <w:right w:w="15" w:type="dxa"/>
          </w:tblCellMar>
        </w:tblPrEx>
        <w:trPr>
          <w:trHeight w:val="250"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部门预算管理（60分）</w:t>
            </w:r>
          </w:p>
        </w:tc>
        <w:tc>
          <w:tcPr>
            <w:tcW w:w="11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预算编制（24分）</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目标制定</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评价部门绩效目标是否要素完整、细化量化。</w:t>
            </w:r>
          </w:p>
        </w:tc>
      </w:tr>
      <w:tr>
        <w:tblPrEx>
          <w:tblCellMar>
            <w:top w:w="15" w:type="dxa"/>
            <w:left w:w="15" w:type="dxa"/>
            <w:bottom w:w="15" w:type="dxa"/>
            <w:right w:w="15" w:type="dxa"/>
          </w:tblCellMar>
        </w:tblPrEx>
        <w:trPr>
          <w:trHeight w:val="301"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目标完成</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评价部门绩效目标实际实现程度与预期目标的偏离度。</w:t>
            </w:r>
          </w:p>
        </w:tc>
      </w:tr>
      <w:tr>
        <w:tblPrEx>
          <w:tblCellMar>
            <w:top w:w="15" w:type="dxa"/>
            <w:left w:w="15" w:type="dxa"/>
            <w:bottom w:w="15" w:type="dxa"/>
            <w:right w:w="15" w:type="dxa"/>
          </w:tblCellMar>
        </w:tblPrEx>
        <w:trPr>
          <w:trHeight w:val="8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编制准确</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评价部门年初预算编制是否科学准确。</w:t>
            </w:r>
          </w:p>
        </w:tc>
      </w:tr>
      <w:tr>
        <w:tblPrEx>
          <w:tblCellMar>
            <w:top w:w="15" w:type="dxa"/>
            <w:left w:w="15" w:type="dxa"/>
            <w:bottom w:w="15" w:type="dxa"/>
            <w:right w:w="15" w:type="dxa"/>
          </w:tblCellMar>
        </w:tblPrEx>
        <w:trPr>
          <w:trHeight w:val="579"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预算执行（20分）</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支出控制</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部门公用经费及非定额公用支出控制情况。</w:t>
            </w:r>
          </w:p>
        </w:tc>
      </w:tr>
      <w:tr>
        <w:tblPrEx>
          <w:tblCellMar>
            <w:top w:w="15" w:type="dxa"/>
            <w:left w:w="15" w:type="dxa"/>
            <w:bottom w:w="15" w:type="dxa"/>
            <w:right w:w="15" w:type="dxa"/>
          </w:tblCellMar>
        </w:tblPrEx>
        <w:trPr>
          <w:trHeight w:val="34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动态调整</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评价部门开展绩效运行监控后，将绩效监控结果应用到预算调整的情况。</w:t>
            </w:r>
          </w:p>
        </w:tc>
      </w:tr>
      <w:tr>
        <w:tblPrEx>
          <w:tblCellMar>
            <w:top w:w="15" w:type="dxa"/>
            <w:left w:w="15" w:type="dxa"/>
            <w:bottom w:w="15" w:type="dxa"/>
            <w:right w:w="15" w:type="dxa"/>
          </w:tblCellMar>
        </w:tblPrEx>
        <w:trPr>
          <w:trHeight w:val="422"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执行进度</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评价部门在6、9、11月的预算执行情况。</w:t>
            </w:r>
          </w:p>
        </w:tc>
      </w:tr>
      <w:tr>
        <w:tblPrEx>
          <w:tblCellMar>
            <w:top w:w="15" w:type="dxa"/>
            <w:left w:w="15" w:type="dxa"/>
            <w:bottom w:w="15" w:type="dxa"/>
            <w:right w:w="15" w:type="dxa"/>
          </w:tblCellMar>
        </w:tblPrEx>
        <w:trPr>
          <w:trHeight w:val="256"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完成结果（16分）</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预算完成</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评价部门预算项目年终预算执行情况。</w:t>
            </w:r>
          </w:p>
        </w:tc>
      </w:tr>
      <w:tr>
        <w:tblPrEx>
          <w:tblCellMar>
            <w:top w:w="15" w:type="dxa"/>
            <w:left w:w="15" w:type="dxa"/>
            <w:bottom w:w="15" w:type="dxa"/>
            <w:right w:w="15" w:type="dxa"/>
          </w:tblCellMar>
        </w:tblPrEx>
        <w:trPr>
          <w:trHeight w:val="256"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违规记录</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根据审计监督、财政检查结果反映部门上一年度部门预算管理是否合规。</w:t>
            </w:r>
          </w:p>
        </w:tc>
      </w:tr>
      <w:tr>
        <w:tblPrEx>
          <w:tblCellMar>
            <w:top w:w="15" w:type="dxa"/>
            <w:left w:w="15" w:type="dxa"/>
            <w:bottom w:w="15" w:type="dxa"/>
            <w:right w:w="15" w:type="dxa"/>
          </w:tblCellMar>
        </w:tblPrEx>
        <w:trPr>
          <w:trHeight w:val="2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专项预算管理（20分）</w:t>
            </w:r>
          </w:p>
        </w:tc>
        <w:tc>
          <w:tcPr>
            <w:tcW w:w="11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项目决策（8分）</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程序严密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评价专项项目的设立是否经过严格评估论证、管理制度是否完善健全。</w:t>
            </w:r>
          </w:p>
        </w:tc>
      </w:tr>
      <w:tr>
        <w:tblPrEx>
          <w:tblCellMar>
            <w:top w:w="15" w:type="dxa"/>
            <w:left w:w="15" w:type="dxa"/>
            <w:bottom w:w="15" w:type="dxa"/>
            <w:right w:w="15" w:type="dxa"/>
          </w:tblCellMar>
        </w:tblPrEx>
        <w:trPr>
          <w:trHeight w:val="362"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规划合理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评价项目规划是否符合县委、县政府重大决策部署，项目年度绩效目标与规划是否一致。</w:t>
            </w:r>
          </w:p>
        </w:tc>
      </w:tr>
      <w:tr>
        <w:tblPrEx>
          <w:tblCellMar>
            <w:top w:w="15" w:type="dxa"/>
            <w:left w:w="15" w:type="dxa"/>
            <w:bottom w:w="15" w:type="dxa"/>
            <w:right w:w="15" w:type="dxa"/>
          </w:tblCellMar>
        </w:tblPrEx>
        <w:trPr>
          <w:trHeight w:val="47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结果符合</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评价项目实施结果与项目总体规划计划是否一致。</w:t>
            </w:r>
          </w:p>
        </w:tc>
      </w:tr>
      <w:tr>
        <w:tblPrEx>
          <w:tblCellMar>
            <w:top w:w="15" w:type="dxa"/>
            <w:left w:w="15" w:type="dxa"/>
            <w:bottom w:w="15" w:type="dxa"/>
            <w:right w:w="15" w:type="dxa"/>
          </w:tblCellMar>
        </w:tblPrEx>
        <w:trPr>
          <w:trHeight w:val="356"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项目实施（4分）</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分配科学</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评价项目分配方法选择是否科学，分类评价分配程序和过程管理是否规范。</w:t>
            </w:r>
          </w:p>
        </w:tc>
      </w:tr>
      <w:tr>
        <w:tblPrEx>
          <w:tblCellMar>
            <w:top w:w="15" w:type="dxa"/>
            <w:left w:w="15" w:type="dxa"/>
            <w:bottom w:w="15" w:type="dxa"/>
            <w:right w:w="15" w:type="dxa"/>
          </w:tblCellMar>
        </w:tblPrEx>
        <w:trPr>
          <w:trHeight w:val="122"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分配及时</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评价部门是否按规定时限及时分配专项预算资金。                    </w:t>
            </w:r>
          </w:p>
        </w:tc>
      </w:tr>
      <w:tr>
        <w:tblPrEx>
          <w:tblCellMar>
            <w:top w:w="15" w:type="dxa"/>
            <w:left w:w="15" w:type="dxa"/>
            <w:bottom w:w="15" w:type="dxa"/>
            <w:right w:w="15" w:type="dxa"/>
          </w:tblCellMar>
        </w:tblPrEx>
        <w:trPr>
          <w:trHeight w:val="20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完成结果（8分）</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预算完成</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评价专项项目资金拨付到具体项目（人）的情况。</w:t>
            </w:r>
          </w:p>
        </w:tc>
      </w:tr>
      <w:tr>
        <w:tblPrEx>
          <w:tblCellMar>
            <w:top w:w="15" w:type="dxa"/>
            <w:left w:w="15" w:type="dxa"/>
            <w:bottom w:w="15" w:type="dxa"/>
            <w:right w:w="15" w:type="dxa"/>
          </w:tblCellMar>
        </w:tblPrEx>
        <w:trPr>
          <w:trHeight w:val="27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实施绩效</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评价专项项目实施绩效情况。                      </w:t>
            </w:r>
          </w:p>
        </w:tc>
      </w:tr>
      <w:tr>
        <w:tblPrEx>
          <w:tblCellMar>
            <w:top w:w="15" w:type="dxa"/>
            <w:left w:w="15" w:type="dxa"/>
            <w:bottom w:w="15" w:type="dxa"/>
            <w:right w:w="15" w:type="dxa"/>
          </w:tblCellMar>
        </w:tblPrEx>
        <w:trPr>
          <w:trHeight w:val="18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违规记录</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根据审计监督、财政检查结果反映部门上一年度部门专项预算管理是否合规。</w:t>
            </w:r>
          </w:p>
        </w:tc>
      </w:tr>
      <w:tr>
        <w:tblPrEx>
          <w:tblCellMar>
            <w:top w:w="15" w:type="dxa"/>
            <w:left w:w="15" w:type="dxa"/>
            <w:bottom w:w="15" w:type="dxa"/>
            <w:right w:w="15" w:type="dxa"/>
          </w:tblCellMar>
        </w:tblPrEx>
        <w:trPr>
          <w:trHeight w:val="2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绩效结果应用（20分）</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自评质量（4分）</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自评准确</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评价部门整体支出自评准确率。</w:t>
            </w:r>
          </w:p>
        </w:tc>
      </w:tr>
      <w:tr>
        <w:tblPrEx>
          <w:tblCellMar>
            <w:top w:w="15" w:type="dxa"/>
            <w:left w:w="15" w:type="dxa"/>
            <w:bottom w:w="15" w:type="dxa"/>
            <w:right w:w="15" w:type="dxa"/>
          </w:tblCellMar>
        </w:tblPrEx>
        <w:trPr>
          <w:trHeight w:val="145"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信息公开（8分）</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目标公开</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评价部门绩效目标是否按要求向社会公开。</w:t>
            </w:r>
          </w:p>
        </w:tc>
      </w:tr>
      <w:tr>
        <w:tblPrEx>
          <w:tblCellMar>
            <w:top w:w="15" w:type="dxa"/>
            <w:left w:w="15" w:type="dxa"/>
            <w:bottom w:w="15" w:type="dxa"/>
            <w:right w:w="15" w:type="dxa"/>
          </w:tblCellMar>
        </w:tblPrEx>
        <w:trPr>
          <w:trHeight w:val="17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自评公开</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评价部门是否按要求将部门整体绩效自评情况和自行组织的评价情况向社会公开。</w:t>
            </w:r>
          </w:p>
        </w:tc>
      </w:tr>
      <w:tr>
        <w:tblPrEx>
          <w:tblCellMar>
            <w:top w:w="15" w:type="dxa"/>
            <w:left w:w="15" w:type="dxa"/>
            <w:bottom w:w="15" w:type="dxa"/>
            <w:right w:w="15" w:type="dxa"/>
          </w:tblCellMar>
        </w:tblPrEx>
        <w:trPr>
          <w:trHeight w:val="19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整改反馈（8分）</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结果整改</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评价部门根据绩效管理结果整改问题、完善政策、改进管理的情况。</w:t>
            </w:r>
          </w:p>
        </w:tc>
      </w:tr>
      <w:tr>
        <w:tblPrEx>
          <w:tblCellMar>
            <w:top w:w="15" w:type="dxa"/>
            <w:left w:w="15" w:type="dxa"/>
            <w:bottom w:w="15" w:type="dxa"/>
            <w:right w:w="15" w:type="dxa"/>
          </w:tblCellMar>
        </w:tblPrEx>
        <w:trPr>
          <w:trHeight w:val="18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应用反馈</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评价部门按要求及时向财政部门反馈结果应用情况。</w:t>
            </w:r>
          </w:p>
        </w:tc>
      </w:tr>
      <w:tr>
        <w:tblPrEx>
          <w:tblCellMar>
            <w:top w:w="15" w:type="dxa"/>
            <w:left w:w="15" w:type="dxa"/>
            <w:bottom w:w="15" w:type="dxa"/>
            <w:right w:w="15" w:type="dxa"/>
          </w:tblCellMar>
        </w:tblPrEx>
        <w:trPr>
          <w:trHeight w:val="139" w:hRule="atLeast"/>
        </w:trPr>
        <w:tc>
          <w:tcPr>
            <w:tcW w:w="314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总分合计</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100</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75.5</w:t>
            </w:r>
          </w:p>
        </w:tc>
        <w:tc>
          <w:tcPr>
            <w:tcW w:w="491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18"/>
                <w:szCs w:val="18"/>
              </w:rPr>
            </w:pPr>
          </w:p>
        </w:tc>
      </w:tr>
    </w:tbl>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（二）绩效分析</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1.部门预算管理情况分析</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eastAsia="仿宋_GB2312"/>
          <w:b/>
          <w:bCs/>
          <w:sz w:val="32"/>
          <w:szCs w:val="32"/>
        </w:rPr>
        <w:t>（1）目标制定。</w:t>
      </w:r>
      <w:r>
        <w:rPr>
          <w:rFonts w:hint="eastAsia" w:ascii="仿宋_GB2312" w:eastAsia="仿宋_GB2312"/>
          <w:sz w:val="32"/>
          <w:szCs w:val="32"/>
        </w:rPr>
        <w:t>2020年部门预算严格按要求，按时、按项目按质量要求完成了部门预算工作任务。</w:t>
      </w:r>
      <w:r>
        <w:rPr>
          <w:rFonts w:hint="eastAsia" w:ascii="仿宋_GB2312" w:hAnsi="仿宋_GB2312" w:eastAsia="仿宋_GB2312" w:cs="仿宋_GB2312"/>
          <w:sz w:val="32"/>
          <w:szCs w:val="32"/>
        </w:rPr>
        <w:t>部门预算编制准确、规范、完整无漏项，基础信息和科目使用准确，项目名称、绩效指标、项目内容等说明符合规定，单位编制、人员情况与供养人员横向联网系统数据一致。</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该指标满分8分，</w:t>
      </w:r>
      <w:r>
        <w:rPr>
          <w:rFonts w:hint="eastAsia" w:ascii="仿宋_GB2312" w:eastAsia="仿宋_GB2312"/>
          <w:sz w:val="32"/>
          <w:szCs w:val="32"/>
        </w:rPr>
        <w:t>根据指标评价标准和公式计算，</w:t>
      </w:r>
      <w:r>
        <w:rPr>
          <w:rFonts w:hint="eastAsia" w:ascii="仿宋_GB2312" w:hAnsi="仿宋_GB2312" w:eastAsia="仿宋_GB2312" w:cs="仿宋_GB2312"/>
          <w:sz w:val="32"/>
          <w:szCs w:val="32"/>
        </w:rPr>
        <w:t>得分7分。</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（2）目标完成。</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2020年旺苍县残疾人联合会共设置部门项目绩效目标4个，均全部完成。数量指标的完成情况详见下表</w:t>
      </w:r>
    </w:p>
    <w:p>
      <w:pPr>
        <w:pStyle w:val="2"/>
        <w:spacing w:before="72"/>
        <w:jc w:val="center"/>
        <w:rPr>
          <w:rFonts w:ascii="黑体" w:hAnsi="黑体" w:eastAsia="黑体"/>
          <w:b/>
          <w:bCs/>
          <w:sz w:val="24"/>
        </w:rPr>
      </w:pPr>
      <w:r>
        <w:rPr>
          <w:rFonts w:hint="eastAsia" w:ascii="黑体" w:hAnsi="黑体" w:eastAsia="黑体"/>
          <w:b/>
          <w:bCs/>
          <w:sz w:val="24"/>
        </w:rPr>
        <w:t>2020年残疾人联合会绩效目标完成情况</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4884"/>
        <w:gridCol w:w="1316"/>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877" w:type="dxa"/>
            <w:noWrap w:val="0"/>
            <w:vAlign w:val="center"/>
          </w:tcPr>
          <w:p>
            <w:pPr>
              <w:pStyle w:val="2"/>
              <w:spacing w:before="93"/>
              <w:jc w:val="center"/>
              <w:rPr>
                <w:b/>
                <w:bCs/>
                <w:sz w:val="20"/>
                <w:szCs w:val="20"/>
              </w:rPr>
            </w:pPr>
            <w:r>
              <w:rPr>
                <w:rFonts w:hint="eastAsia"/>
                <w:b/>
                <w:bCs/>
                <w:sz w:val="20"/>
                <w:szCs w:val="20"/>
              </w:rPr>
              <w:t>项目名称</w:t>
            </w:r>
          </w:p>
        </w:tc>
        <w:tc>
          <w:tcPr>
            <w:tcW w:w="4884" w:type="dxa"/>
            <w:noWrap w:val="0"/>
            <w:vAlign w:val="center"/>
          </w:tcPr>
          <w:p>
            <w:pPr>
              <w:pStyle w:val="2"/>
              <w:spacing w:before="93"/>
              <w:jc w:val="center"/>
              <w:rPr>
                <w:b/>
                <w:bCs/>
                <w:sz w:val="20"/>
                <w:szCs w:val="20"/>
              </w:rPr>
            </w:pPr>
            <w:r>
              <w:rPr>
                <w:rFonts w:hint="eastAsia"/>
                <w:b/>
                <w:bCs/>
                <w:sz w:val="20"/>
                <w:szCs w:val="20"/>
              </w:rPr>
              <w:t>项目完成指标</w:t>
            </w:r>
          </w:p>
        </w:tc>
        <w:tc>
          <w:tcPr>
            <w:tcW w:w="1316" w:type="dxa"/>
            <w:noWrap w:val="0"/>
            <w:vAlign w:val="center"/>
          </w:tcPr>
          <w:p>
            <w:pPr>
              <w:pStyle w:val="2"/>
              <w:spacing w:before="93"/>
              <w:jc w:val="center"/>
              <w:rPr>
                <w:b/>
                <w:bCs/>
                <w:sz w:val="20"/>
                <w:szCs w:val="20"/>
              </w:rPr>
            </w:pPr>
            <w:r>
              <w:rPr>
                <w:rFonts w:hint="eastAsia"/>
                <w:b/>
                <w:bCs/>
                <w:sz w:val="20"/>
                <w:szCs w:val="20"/>
              </w:rPr>
              <w:t>实际完成情况</w:t>
            </w:r>
          </w:p>
        </w:tc>
        <w:tc>
          <w:tcPr>
            <w:tcW w:w="983" w:type="dxa"/>
            <w:noWrap w:val="0"/>
            <w:vAlign w:val="center"/>
          </w:tcPr>
          <w:p>
            <w:pPr>
              <w:pStyle w:val="2"/>
              <w:spacing w:before="93"/>
              <w:jc w:val="center"/>
              <w:rPr>
                <w:b/>
                <w:bCs/>
                <w:sz w:val="20"/>
                <w:szCs w:val="20"/>
              </w:rPr>
            </w:pPr>
            <w:r>
              <w:rPr>
                <w:rFonts w:hint="eastAsia"/>
                <w:b/>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877" w:type="dxa"/>
            <w:noWrap w:val="0"/>
            <w:vAlign w:val="center"/>
          </w:tcPr>
          <w:p>
            <w:pPr>
              <w:pStyle w:val="2"/>
              <w:spacing w:before="93"/>
              <w:jc w:val="center"/>
              <w:rPr>
                <w:sz w:val="20"/>
                <w:szCs w:val="20"/>
              </w:rPr>
            </w:pPr>
            <w:r>
              <w:rPr>
                <w:rFonts w:hint="eastAsia"/>
                <w:sz w:val="20"/>
                <w:szCs w:val="20"/>
              </w:rPr>
              <w:t>残疾人康复项目</w:t>
            </w:r>
          </w:p>
        </w:tc>
        <w:tc>
          <w:tcPr>
            <w:tcW w:w="4884" w:type="dxa"/>
            <w:noWrap w:val="0"/>
            <w:vAlign w:val="center"/>
          </w:tcPr>
          <w:p>
            <w:pPr>
              <w:pStyle w:val="2"/>
              <w:spacing w:before="93" w:line="200" w:lineRule="exact"/>
              <w:jc w:val="left"/>
              <w:rPr>
                <w:rFonts w:hint="eastAsia"/>
                <w:sz w:val="20"/>
                <w:szCs w:val="20"/>
              </w:rPr>
            </w:pPr>
            <w:r>
              <w:rPr>
                <w:rFonts w:hint="eastAsia"/>
                <w:sz w:val="20"/>
                <w:szCs w:val="20"/>
              </w:rPr>
              <w:t>全年共实施336例白内障复明手术。</w:t>
            </w:r>
          </w:p>
          <w:p>
            <w:pPr>
              <w:pStyle w:val="2"/>
              <w:spacing w:before="93" w:line="200" w:lineRule="exact"/>
              <w:jc w:val="left"/>
              <w:rPr>
                <w:rFonts w:hint="eastAsia"/>
                <w:sz w:val="20"/>
                <w:szCs w:val="20"/>
              </w:rPr>
            </w:pPr>
            <w:r>
              <w:rPr>
                <w:rFonts w:hint="eastAsia"/>
                <w:sz w:val="20"/>
                <w:szCs w:val="20"/>
              </w:rPr>
              <w:t>完成6名人工耳蜗植入、听力残疾儿童训练。</w:t>
            </w:r>
          </w:p>
          <w:p>
            <w:pPr>
              <w:pStyle w:val="2"/>
              <w:spacing w:before="93" w:line="200" w:lineRule="exact"/>
              <w:jc w:val="left"/>
              <w:rPr>
                <w:rFonts w:hint="eastAsia"/>
                <w:sz w:val="20"/>
                <w:szCs w:val="20"/>
              </w:rPr>
            </w:pPr>
            <w:r>
              <w:rPr>
                <w:rFonts w:hint="eastAsia"/>
                <w:sz w:val="20"/>
                <w:szCs w:val="20"/>
              </w:rPr>
              <w:t>为11名肢体残疾儿实施矫正手术及童康复训练。</w:t>
            </w:r>
          </w:p>
          <w:p>
            <w:pPr>
              <w:pStyle w:val="2"/>
              <w:spacing w:before="93" w:line="200" w:lineRule="exact"/>
              <w:jc w:val="left"/>
              <w:rPr>
                <w:rFonts w:hint="eastAsia"/>
                <w:sz w:val="20"/>
                <w:szCs w:val="20"/>
              </w:rPr>
            </w:pPr>
            <w:r>
              <w:rPr>
                <w:rFonts w:hint="eastAsia"/>
                <w:sz w:val="20"/>
                <w:szCs w:val="20"/>
              </w:rPr>
              <w:t>为30名脑瘫儿童实施康复训练。</w:t>
            </w:r>
          </w:p>
          <w:p>
            <w:pPr>
              <w:pStyle w:val="2"/>
              <w:spacing w:before="93" w:line="200" w:lineRule="exact"/>
              <w:jc w:val="left"/>
              <w:rPr>
                <w:rFonts w:hint="eastAsia"/>
                <w:sz w:val="20"/>
                <w:szCs w:val="20"/>
              </w:rPr>
            </w:pPr>
            <w:r>
              <w:rPr>
                <w:rFonts w:hint="eastAsia"/>
                <w:sz w:val="20"/>
                <w:szCs w:val="20"/>
              </w:rPr>
              <w:t>为10名智障儿童实施康复训练。</w:t>
            </w:r>
          </w:p>
          <w:p>
            <w:pPr>
              <w:spacing w:line="200" w:lineRule="exact"/>
              <w:jc w:val="left"/>
              <w:rPr>
                <w:sz w:val="20"/>
                <w:szCs w:val="20"/>
              </w:rPr>
            </w:pPr>
            <w:r>
              <w:rPr>
                <w:rFonts w:hint="eastAsia"/>
                <w:sz w:val="20"/>
                <w:szCs w:val="20"/>
              </w:rPr>
              <w:t>为6名孤独症儿童康复训练和21名下肢截肢残疾人安装假肢装配任务。</w:t>
            </w:r>
          </w:p>
        </w:tc>
        <w:tc>
          <w:tcPr>
            <w:tcW w:w="1316" w:type="dxa"/>
            <w:noWrap w:val="0"/>
            <w:vAlign w:val="center"/>
          </w:tcPr>
          <w:p>
            <w:pPr>
              <w:pStyle w:val="2"/>
              <w:spacing w:before="93"/>
              <w:jc w:val="center"/>
              <w:rPr>
                <w:sz w:val="20"/>
                <w:szCs w:val="20"/>
              </w:rPr>
            </w:pPr>
            <w:r>
              <w:rPr>
                <w:rFonts w:hint="eastAsia"/>
                <w:sz w:val="20"/>
                <w:szCs w:val="20"/>
              </w:rPr>
              <w:t>完成</w:t>
            </w:r>
          </w:p>
        </w:tc>
        <w:tc>
          <w:tcPr>
            <w:tcW w:w="983" w:type="dxa"/>
            <w:noWrap w:val="0"/>
            <w:vAlign w:val="center"/>
          </w:tcPr>
          <w:p>
            <w:pPr>
              <w:pStyle w:val="2"/>
              <w:spacing w:before="93"/>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877" w:type="dxa"/>
            <w:noWrap w:val="0"/>
            <w:vAlign w:val="center"/>
          </w:tcPr>
          <w:p>
            <w:pPr>
              <w:pStyle w:val="2"/>
              <w:spacing w:before="93"/>
              <w:jc w:val="center"/>
              <w:rPr>
                <w:rFonts w:hint="eastAsia"/>
                <w:sz w:val="20"/>
                <w:szCs w:val="20"/>
              </w:rPr>
            </w:pPr>
            <w:r>
              <w:rPr>
                <w:rFonts w:hint="eastAsia"/>
                <w:sz w:val="20"/>
                <w:szCs w:val="20"/>
              </w:rPr>
              <w:t>残疾人就业项目</w:t>
            </w:r>
          </w:p>
        </w:tc>
        <w:tc>
          <w:tcPr>
            <w:tcW w:w="4884" w:type="dxa"/>
            <w:noWrap w:val="0"/>
            <w:vAlign w:val="center"/>
          </w:tcPr>
          <w:p>
            <w:pPr>
              <w:pStyle w:val="2"/>
              <w:spacing w:before="93" w:line="200" w:lineRule="exact"/>
              <w:jc w:val="left"/>
              <w:rPr>
                <w:rFonts w:hint="eastAsia"/>
                <w:sz w:val="20"/>
                <w:szCs w:val="20"/>
              </w:rPr>
            </w:pPr>
            <w:r>
              <w:rPr>
                <w:rFonts w:hint="eastAsia"/>
                <w:sz w:val="20"/>
                <w:szCs w:val="20"/>
              </w:rPr>
              <w:t>完成残疾人技能技术培训130人/次，农村实用技术培训200人/次。</w:t>
            </w:r>
          </w:p>
        </w:tc>
        <w:tc>
          <w:tcPr>
            <w:tcW w:w="1316" w:type="dxa"/>
            <w:noWrap w:val="0"/>
            <w:vAlign w:val="center"/>
          </w:tcPr>
          <w:p>
            <w:pPr>
              <w:pStyle w:val="2"/>
              <w:spacing w:before="93"/>
              <w:jc w:val="center"/>
              <w:rPr>
                <w:rFonts w:hint="eastAsia"/>
                <w:sz w:val="20"/>
                <w:szCs w:val="20"/>
              </w:rPr>
            </w:pPr>
            <w:r>
              <w:rPr>
                <w:rFonts w:hint="eastAsia"/>
                <w:sz w:val="20"/>
                <w:szCs w:val="20"/>
              </w:rPr>
              <w:t>完成</w:t>
            </w:r>
          </w:p>
        </w:tc>
        <w:tc>
          <w:tcPr>
            <w:tcW w:w="983" w:type="dxa"/>
            <w:noWrap w:val="0"/>
            <w:vAlign w:val="center"/>
          </w:tcPr>
          <w:p>
            <w:pPr>
              <w:pStyle w:val="2"/>
              <w:spacing w:before="93"/>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77" w:type="dxa"/>
            <w:noWrap w:val="0"/>
            <w:vAlign w:val="center"/>
          </w:tcPr>
          <w:p>
            <w:pPr>
              <w:pStyle w:val="2"/>
              <w:spacing w:before="93" w:line="200" w:lineRule="exact"/>
              <w:jc w:val="center"/>
              <w:rPr>
                <w:rFonts w:hint="eastAsia"/>
                <w:sz w:val="20"/>
                <w:szCs w:val="20"/>
              </w:rPr>
            </w:pPr>
            <w:r>
              <w:rPr>
                <w:rFonts w:hint="eastAsia"/>
                <w:sz w:val="20"/>
                <w:szCs w:val="20"/>
              </w:rPr>
              <w:t>残疾人扶贫对象生活补贴项目</w:t>
            </w:r>
          </w:p>
        </w:tc>
        <w:tc>
          <w:tcPr>
            <w:tcW w:w="4884" w:type="dxa"/>
            <w:noWrap w:val="0"/>
            <w:vAlign w:val="center"/>
          </w:tcPr>
          <w:p>
            <w:pPr>
              <w:pStyle w:val="2"/>
              <w:spacing w:before="93"/>
              <w:jc w:val="left"/>
              <w:rPr>
                <w:rFonts w:hint="eastAsia"/>
                <w:sz w:val="20"/>
                <w:szCs w:val="20"/>
              </w:rPr>
            </w:pPr>
            <w:r>
              <w:rPr>
                <w:rFonts w:hint="eastAsia"/>
                <w:sz w:val="20"/>
                <w:szCs w:val="20"/>
              </w:rPr>
              <w:t>通过一卡通对</w:t>
            </w:r>
            <w:r>
              <w:rPr>
                <w:sz w:val="20"/>
                <w:szCs w:val="20"/>
              </w:rPr>
              <w:t>1259人</w:t>
            </w:r>
            <w:r>
              <w:rPr>
                <w:rFonts w:hint="eastAsia"/>
                <w:sz w:val="20"/>
                <w:szCs w:val="20"/>
              </w:rPr>
              <w:t>发放</w:t>
            </w:r>
            <w:r>
              <w:rPr>
                <w:sz w:val="20"/>
                <w:szCs w:val="20"/>
              </w:rPr>
              <w:t>152.74万元</w:t>
            </w:r>
            <w:r>
              <w:rPr>
                <w:rFonts w:hint="eastAsia"/>
                <w:sz w:val="20"/>
                <w:szCs w:val="20"/>
              </w:rPr>
              <w:t>生活补贴。</w:t>
            </w:r>
          </w:p>
        </w:tc>
        <w:tc>
          <w:tcPr>
            <w:tcW w:w="1316" w:type="dxa"/>
            <w:noWrap w:val="0"/>
            <w:vAlign w:val="center"/>
          </w:tcPr>
          <w:p>
            <w:pPr>
              <w:pStyle w:val="2"/>
              <w:spacing w:before="93"/>
              <w:jc w:val="center"/>
              <w:rPr>
                <w:rFonts w:hint="eastAsia"/>
                <w:sz w:val="20"/>
                <w:szCs w:val="20"/>
              </w:rPr>
            </w:pPr>
            <w:r>
              <w:rPr>
                <w:rFonts w:hint="eastAsia"/>
                <w:sz w:val="20"/>
                <w:szCs w:val="20"/>
              </w:rPr>
              <w:t>完成</w:t>
            </w:r>
          </w:p>
        </w:tc>
        <w:tc>
          <w:tcPr>
            <w:tcW w:w="983" w:type="dxa"/>
            <w:noWrap w:val="0"/>
            <w:vAlign w:val="center"/>
          </w:tcPr>
          <w:p>
            <w:pPr>
              <w:pStyle w:val="2"/>
              <w:spacing w:before="93"/>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877" w:type="dxa"/>
            <w:noWrap w:val="0"/>
            <w:vAlign w:val="center"/>
          </w:tcPr>
          <w:p>
            <w:pPr>
              <w:pStyle w:val="2"/>
              <w:spacing w:before="93"/>
              <w:jc w:val="center"/>
              <w:rPr>
                <w:rFonts w:hint="eastAsia"/>
                <w:sz w:val="20"/>
                <w:szCs w:val="20"/>
              </w:rPr>
            </w:pPr>
            <w:r>
              <w:rPr>
                <w:rFonts w:hint="eastAsia"/>
                <w:sz w:val="20"/>
                <w:szCs w:val="20"/>
              </w:rPr>
              <w:t>其他残疾人事业支出项目</w:t>
            </w:r>
          </w:p>
        </w:tc>
        <w:tc>
          <w:tcPr>
            <w:tcW w:w="4884" w:type="dxa"/>
            <w:noWrap w:val="0"/>
            <w:vAlign w:val="center"/>
          </w:tcPr>
          <w:p>
            <w:pPr>
              <w:pStyle w:val="2"/>
              <w:spacing w:before="93" w:line="200" w:lineRule="exact"/>
              <w:jc w:val="left"/>
              <w:rPr>
                <w:rFonts w:hint="eastAsia"/>
                <w:sz w:val="20"/>
                <w:szCs w:val="20"/>
              </w:rPr>
            </w:pPr>
            <w:r>
              <w:rPr>
                <w:rFonts w:hint="eastAsia"/>
                <w:sz w:val="20"/>
                <w:szCs w:val="20"/>
              </w:rPr>
              <w:t>对153户残疾人家庭实现了无障碍改造。</w:t>
            </w:r>
          </w:p>
          <w:p>
            <w:pPr>
              <w:pStyle w:val="2"/>
              <w:spacing w:before="93" w:line="200" w:lineRule="exact"/>
              <w:jc w:val="left"/>
              <w:rPr>
                <w:rFonts w:hint="eastAsia"/>
                <w:sz w:val="20"/>
                <w:szCs w:val="20"/>
              </w:rPr>
            </w:pPr>
            <w:r>
              <w:rPr>
                <w:rFonts w:hint="eastAsia"/>
                <w:sz w:val="20"/>
                <w:szCs w:val="20"/>
              </w:rPr>
              <w:t>实现居家托养180人，解放劳动力180人。</w:t>
            </w:r>
          </w:p>
          <w:p>
            <w:pPr>
              <w:pStyle w:val="2"/>
              <w:spacing w:before="93" w:line="200" w:lineRule="exact"/>
              <w:jc w:val="left"/>
              <w:rPr>
                <w:rFonts w:hint="eastAsia"/>
                <w:sz w:val="20"/>
                <w:szCs w:val="20"/>
              </w:rPr>
            </w:pPr>
            <w:r>
              <w:rPr>
                <w:rFonts w:hint="eastAsia"/>
                <w:sz w:val="20"/>
                <w:szCs w:val="20"/>
              </w:rPr>
              <w:t>对96名残疾人机动车给予燃油补贴。</w:t>
            </w:r>
          </w:p>
          <w:p>
            <w:pPr>
              <w:pStyle w:val="2"/>
              <w:spacing w:before="93" w:line="200" w:lineRule="exact"/>
              <w:jc w:val="left"/>
              <w:rPr>
                <w:rFonts w:hint="eastAsia"/>
                <w:sz w:val="20"/>
                <w:szCs w:val="20"/>
              </w:rPr>
            </w:pPr>
            <w:r>
              <w:rPr>
                <w:rFonts w:hint="eastAsia"/>
                <w:sz w:val="20"/>
                <w:szCs w:val="20"/>
              </w:rPr>
              <w:t>为155人评残人员发放评残补贴2.325万元。</w:t>
            </w:r>
          </w:p>
        </w:tc>
        <w:tc>
          <w:tcPr>
            <w:tcW w:w="1316" w:type="dxa"/>
            <w:noWrap w:val="0"/>
            <w:vAlign w:val="center"/>
          </w:tcPr>
          <w:p>
            <w:pPr>
              <w:pStyle w:val="2"/>
              <w:spacing w:before="93"/>
              <w:jc w:val="center"/>
              <w:rPr>
                <w:rFonts w:hint="eastAsia"/>
                <w:sz w:val="20"/>
                <w:szCs w:val="20"/>
              </w:rPr>
            </w:pPr>
            <w:r>
              <w:rPr>
                <w:rFonts w:hint="eastAsia"/>
                <w:sz w:val="20"/>
                <w:szCs w:val="20"/>
              </w:rPr>
              <w:t>完成</w:t>
            </w:r>
          </w:p>
        </w:tc>
        <w:tc>
          <w:tcPr>
            <w:tcW w:w="983" w:type="dxa"/>
            <w:noWrap w:val="0"/>
            <w:vAlign w:val="center"/>
          </w:tcPr>
          <w:p>
            <w:pPr>
              <w:pStyle w:val="2"/>
              <w:spacing w:before="93"/>
              <w:jc w:val="center"/>
              <w:rPr>
                <w:sz w:val="20"/>
                <w:szCs w:val="20"/>
              </w:rPr>
            </w:pPr>
          </w:p>
        </w:tc>
      </w:tr>
    </w:tbl>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该指标分值标准8分，根据指标评价标准和公式计算，综合参考2020年综合目标绩效考评结果，得分8分。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（3）编制准确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旺苍县残疾人联合会部门年初预算数为</w:t>
      </w:r>
      <w:r>
        <w:rPr>
          <w:rFonts w:hint="eastAsia" w:eastAsia="仿宋_GB2312"/>
          <w:sz w:val="32"/>
          <w:szCs w:val="32"/>
        </w:rPr>
        <w:t> </w:t>
      </w:r>
      <w:r>
        <w:rPr>
          <w:rFonts w:hint="eastAsia" w:ascii="仿宋_GB2312" w:eastAsia="仿宋_GB2312"/>
          <w:sz w:val="32"/>
          <w:szCs w:val="32"/>
        </w:rPr>
        <w:t>847.03万元，预算调整数为1102.17万元，依据指标体系计分标准：指标得分=1-年初预算数（一上）/（财政下达数（一下）+预算调整数）基本支出资金，预决算偏差程度为24%。</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该指标分值标准8分，根据指标评价标准和公式计算，参考2020年综合目标绩效考评结果，得分0分</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2.专项预算管理情况分析</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（1）支出控制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2020年，部门公用经费及非定额公用支出预算金额为</w:t>
      </w:r>
      <w:r>
        <w:rPr>
          <w:rFonts w:hint="eastAsia" w:eastAsia="仿宋_GB2312"/>
          <w:sz w:val="32"/>
          <w:szCs w:val="32"/>
        </w:rPr>
        <w:t> </w:t>
      </w:r>
      <w:r>
        <w:rPr>
          <w:rFonts w:hint="eastAsia" w:ascii="仿宋_GB2312" w:eastAsia="仿宋_GB2312"/>
          <w:sz w:val="32"/>
          <w:szCs w:val="32"/>
        </w:rPr>
        <w:t>313.1万元，其中：日常公用经费预算数</w:t>
      </w:r>
      <w:r>
        <w:rPr>
          <w:rFonts w:hint="eastAsia" w:eastAsia="仿宋_GB2312"/>
          <w:sz w:val="32"/>
          <w:szCs w:val="32"/>
        </w:rPr>
        <w:t> </w:t>
      </w:r>
      <w:r>
        <w:rPr>
          <w:rFonts w:hint="eastAsia" w:ascii="仿宋_GB2312" w:eastAsia="仿宋_GB2312"/>
          <w:sz w:val="32"/>
          <w:szCs w:val="32"/>
        </w:rPr>
        <w:t>21.1万元，项目支出中办公费、印刷费、水费、电费、物业管理费预算数分别为</w:t>
      </w:r>
      <w:r>
        <w:rPr>
          <w:rFonts w:hint="eastAsia" w:eastAsia="仿宋_GB2312"/>
          <w:sz w:val="32"/>
          <w:szCs w:val="32"/>
        </w:rPr>
        <w:t> </w:t>
      </w:r>
      <w:r>
        <w:rPr>
          <w:rFonts w:hint="eastAsia" w:ascii="仿宋_GB2312" w:eastAsia="仿宋_GB2312"/>
          <w:sz w:val="32"/>
          <w:szCs w:val="32"/>
        </w:rPr>
        <w:t>6.51万元、</w:t>
      </w:r>
      <w:r>
        <w:rPr>
          <w:rFonts w:hint="eastAsia" w:eastAsia="仿宋_GB2312"/>
          <w:sz w:val="32"/>
          <w:szCs w:val="32"/>
        </w:rPr>
        <w:t> </w:t>
      </w:r>
      <w:r>
        <w:rPr>
          <w:rFonts w:hint="eastAsia" w:ascii="仿宋_GB2312" w:eastAsia="仿宋_GB2312"/>
          <w:sz w:val="32"/>
          <w:szCs w:val="32"/>
        </w:rPr>
        <w:t>6.45万元、0.11万元、0.68万元、0万元。决算金额为401.52万元，其中：日常公用经费决算数</w:t>
      </w:r>
      <w:r>
        <w:rPr>
          <w:rFonts w:hint="eastAsia" w:eastAsia="仿宋_GB2312"/>
          <w:sz w:val="32"/>
          <w:szCs w:val="32"/>
        </w:rPr>
        <w:t> </w:t>
      </w:r>
      <w:r>
        <w:rPr>
          <w:rFonts w:hint="eastAsia" w:ascii="仿宋_GB2312" w:eastAsia="仿宋_GB2312"/>
          <w:sz w:val="32"/>
          <w:szCs w:val="32"/>
        </w:rPr>
        <w:t>13.12万元，项目支出中办公费、印刷费、水费、电费、物业管理费预算数分别为6.51万元、</w:t>
      </w:r>
      <w:r>
        <w:rPr>
          <w:rFonts w:hint="eastAsia" w:eastAsia="仿宋_GB2312"/>
          <w:sz w:val="32"/>
          <w:szCs w:val="32"/>
        </w:rPr>
        <w:t> </w:t>
      </w:r>
      <w:r>
        <w:rPr>
          <w:rFonts w:hint="eastAsia" w:ascii="仿宋_GB2312" w:eastAsia="仿宋_GB2312"/>
          <w:sz w:val="32"/>
          <w:szCs w:val="32"/>
        </w:rPr>
        <w:t>6.45万元、0.11万元、0.68万元、0万元。</w:t>
      </w:r>
    </w:p>
    <w:p>
      <w:pPr>
        <w:pStyle w:val="19"/>
        <w:spacing w:before="0" w:after="0" w:line="600" w:lineRule="exact"/>
        <w:rPr>
          <w:rFonts w:hint="eastAsia"/>
        </w:rPr>
      </w:pPr>
    </w:p>
    <w:p>
      <w:pPr>
        <w:pStyle w:val="19"/>
        <w:rPr>
          <w:rFonts w:hint="eastAsia"/>
        </w:rPr>
      </w:pPr>
      <w:r>
        <w:rPr>
          <w:rFonts w:hint="eastAsia"/>
        </w:rPr>
        <w:t>2020</w:t>
      </w:r>
      <w:r>
        <w:t>年</w:t>
      </w:r>
      <w:r>
        <w:rPr>
          <w:rFonts w:hint="eastAsia"/>
        </w:rPr>
        <w:t>旺苍县残疾人联合会部门公用经费及非定额公用支出预决算情况表</w:t>
      </w:r>
    </w:p>
    <w:p>
      <w:pPr>
        <w:pStyle w:val="19"/>
      </w:pPr>
      <w:r>
        <w:rPr>
          <w:rFonts w:hint="eastAsia"/>
        </w:rPr>
        <w:t xml:space="preserve">                                                  单位</w:t>
      </w:r>
      <w:r>
        <w:t>：万元</w:t>
      </w:r>
    </w:p>
    <w:tbl>
      <w:tblPr>
        <w:tblStyle w:val="12"/>
        <w:tblpPr w:leftFromText="180" w:rightFromText="180" w:vertAnchor="text" w:horzAnchor="page" w:tblpX="1637" w:tblpY="181"/>
        <w:tblOverlap w:val="never"/>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1134"/>
        <w:gridCol w:w="1275"/>
        <w:gridCol w:w="1134"/>
        <w:gridCol w:w="993"/>
        <w:gridCol w:w="127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trPr>
        <w:tc>
          <w:tcPr>
            <w:tcW w:w="959" w:type="dxa"/>
            <w:vMerge w:val="restart"/>
            <w:noWrap w:val="0"/>
            <w:vAlign w:val="center"/>
          </w:tcPr>
          <w:p>
            <w:pPr>
              <w:pStyle w:val="20"/>
              <w:rPr>
                <w:rFonts w:ascii="宋体" w:hAnsi="宋体" w:eastAsia="宋体"/>
                <w:color w:val="auto"/>
                <w:sz w:val="20"/>
                <w:szCs w:val="20"/>
              </w:rPr>
            </w:pPr>
          </w:p>
        </w:tc>
        <w:tc>
          <w:tcPr>
            <w:tcW w:w="1276" w:type="dxa"/>
            <w:vMerge w:val="restart"/>
            <w:noWrap w:val="0"/>
            <w:vAlign w:val="center"/>
          </w:tcPr>
          <w:p>
            <w:pPr>
              <w:pStyle w:val="20"/>
              <w:rPr>
                <w:rFonts w:hint="eastAsia" w:ascii="宋体" w:hAnsi="宋体" w:eastAsia="宋体"/>
                <w:b/>
                <w:color w:val="auto"/>
                <w:sz w:val="20"/>
                <w:szCs w:val="20"/>
                <w:lang w:val="en-US"/>
              </w:rPr>
            </w:pPr>
            <w:r>
              <w:rPr>
                <w:rFonts w:hint="eastAsia" w:ascii="宋体" w:hAnsi="宋体" w:eastAsia="宋体"/>
                <w:b/>
                <w:color w:val="auto"/>
                <w:sz w:val="20"/>
                <w:szCs w:val="20"/>
                <w:lang w:val="en-US"/>
              </w:rPr>
              <w:t>日常公用</w:t>
            </w:r>
          </w:p>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经费</w:t>
            </w:r>
          </w:p>
        </w:tc>
        <w:tc>
          <w:tcPr>
            <w:tcW w:w="5811" w:type="dxa"/>
            <w:gridSpan w:val="5"/>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非定额公用支出</w:t>
            </w:r>
          </w:p>
        </w:tc>
        <w:tc>
          <w:tcPr>
            <w:tcW w:w="1290" w:type="dxa"/>
            <w:vMerge w:val="restart"/>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59" w:type="dxa"/>
            <w:vMerge w:val="continue"/>
            <w:noWrap w:val="0"/>
            <w:vAlign w:val="center"/>
          </w:tcPr>
          <w:p>
            <w:pPr>
              <w:pStyle w:val="20"/>
              <w:rPr>
                <w:rFonts w:ascii="宋体" w:hAnsi="宋体" w:eastAsia="宋体"/>
                <w:color w:val="auto"/>
                <w:sz w:val="20"/>
                <w:szCs w:val="20"/>
              </w:rPr>
            </w:pPr>
          </w:p>
        </w:tc>
        <w:tc>
          <w:tcPr>
            <w:tcW w:w="1276" w:type="dxa"/>
            <w:vMerge w:val="continue"/>
            <w:noWrap w:val="0"/>
            <w:vAlign w:val="center"/>
          </w:tcPr>
          <w:p>
            <w:pPr>
              <w:pStyle w:val="20"/>
              <w:rPr>
                <w:rFonts w:ascii="宋体" w:hAnsi="宋体" w:eastAsia="宋体"/>
                <w:color w:val="auto"/>
                <w:sz w:val="20"/>
                <w:szCs w:val="20"/>
                <w:lang w:val="en-US"/>
              </w:rPr>
            </w:pPr>
          </w:p>
        </w:tc>
        <w:tc>
          <w:tcPr>
            <w:tcW w:w="1134" w:type="dxa"/>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办公费</w:t>
            </w:r>
          </w:p>
        </w:tc>
        <w:tc>
          <w:tcPr>
            <w:tcW w:w="1275" w:type="dxa"/>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印刷费</w:t>
            </w:r>
          </w:p>
        </w:tc>
        <w:tc>
          <w:tcPr>
            <w:tcW w:w="1134" w:type="dxa"/>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水费</w:t>
            </w:r>
          </w:p>
        </w:tc>
        <w:tc>
          <w:tcPr>
            <w:tcW w:w="993" w:type="dxa"/>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电费</w:t>
            </w:r>
          </w:p>
        </w:tc>
        <w:tc>
          <w:tcPr>
            <w:tcW w:w="1275" w:type="dxa"/>
            <w:noWrap w:val="0"/>
            <w:vAlign w:val="center"/>
          </w:tcPr>
          <w:p>
            <w:pPr>
              <w:pStyle w:val="20"/>
              <w:rPr>
                <w:rFonts w:hint="eastAsia" w:ascii="宋体" w:hAnsi="宋体" w:eastAsia="宋体"/>
                <w:b/>
                <w:color w:val="auto"/>
                <w:sz w:val="20"/>
                <w:szCs w:val="20"/>
                <w:lang w:val="en-US"/>
              </w:rPr>
            </w:pPr>
            <w:r>
              <w:rPr>
                <w:rFonts w:hint="eastAsia" w:ascii="宋体" w:hAnsi="宋体" w:eastAsia="宋体"/>
                <w:b/>
                <w:color w:val="auto"/>
                <w:sz w:val="20"/>
                <w:szCs w:val="20"/>
                <w:lang w:val="en-US"/>
              </w:rPr>
              <w:t>物业</w:t>
            </w:r>
          </w:p>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管理费</w:t>
            </w:r>
          </w:p>
        </w:tc>
        <w:tc>
          <w:tcPr>
            <w:tcW w:w="1290" w:type="dxa"/>
            <w:vMerge w:val="continue"/>
            <w:noWrap w:val="0"/>
            <w:vAlign w:val="center"/>
          </w:tcPr>
          <w:p>
            <w:pPr>
              <w:pStyle w:val="20"/>
              <w:rPr>
                <w:rFonts w:ascii="宋体" w:hAnsi="宋体" w:eastAsia="宋体"/>
                <w:b/>
                <w:color w:val="auto"/>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59" w:type="dxa"/>
            <w:noWrap w:val="0"/>
            <w:vAlign w:val="center"/>
          </w:tcPr>
          <w:p>
            <w:pPr>
              <w:pStyle w:val="20"/>
              <w:rPr>
                <w:rFonts w:ascii="宋体" w:hAnsi="宋体" w:eastAsia="宋体"/>
                <w:color w:val="auto"/>
                <w:sz w:val="20"/>
                <w:szCs w:val="20"/>
                <w:lang w:val="en-US"/>
              </w:rPr>
            </w:pPr>
            <w:r>
              <w:rPr>
                <w:rFonts w:hint="eastAsia" w:ascii="宋体" w:hAnsi="宋体" w:eastAsia="宋体"/>
                <w:b/>
                <w:bCs w:val="0"/>
                <w:color w:val="auto"/>
                <w:sz w:val="20"/>
                <w:szCs w:val="20"/>
                <w:lang w:val="en-US"/>
              </w:rPr>
              <w:t>预算数</w:t>
            </w:r>
          </w:p>
        </w:tc>
        <w:tc>
          <w:tcPr>
            <w:tcW w:w="1276" w:type="dxa"/>
            <w:noWrap w:val="0"/>
            <w:vAlign w:val="center"/>
          </w:tcPr>
          <w:p>
            <w:pPr>
              <w:pStyle w:val="20"/>
              <w:rPr>
                <w:rFonts w:ascii="宋体" w:hAnsi="宋体" w:eastAsia="宋体"/>
                <w:color w:val="auto"/>
                <w:sz w:val="20"/>
                <w:szCs w:val="20"/>
                <w:lang w:val="en-US"/>
              </w:rPr>
            </w:pPr>
            <w:r>
              <w:rPr>
                <w:rFonts w:hint="eastAsia" w:ascii="宋体" w:hAnsi="宋体" w:eastAsia="宋体"/>
                <w:color w:val="auto"/>
                <w:sz w:val="20"/>
                <w:szCs w:val="20"/>
                <w:lang w:val="en-US"/>
              </w:rPr>
              <w:t>21.1</w:t>
            </w:r>
          </w:p>
        </w:tc>
        <w:tc>
          <w:tcPr>
            <w:tcW w:w="1134" w:type="dxa"/>
            <w:noWrap w:val="0"/>
            <w:vAlign w:val="center"/>
          </w:tcPr>
          <w:p>
            <w:pPr>
              <w:pStyle w:val="20"/>
              <w:rPr>
                <w:rFonts w:ascii="宋体" w:hAnsi="宋体" w:eastAsia="宋体"/>
                <w:color w:val="auto"/>
                <w:sz w:val="20"/>
                <w:szCs w:val="20"/>
                <w:lang w:val="en-US"/>
              </w:rPr>
            </w:pPr>
            <w:r>
              <w:rPr>
                <w:rFonts w:hint="eastAsia" w:ascii="宋体" w:hAnsi="宋体" w:eastAsia="宋体"/>
                <w:color w:val="auto"/>
                <w:sz w:val="20"/>
                <w:szCs w:val="20"/>
                <w:lang w:val="en-US"/>
              </w:rPr>
              <w:t>6.51</w:t>
            </w:r>
          </w:p>
        </w:tc>
        <w:tc>
          <w:tcPr>
            <w:tcW w:w="1275" w:type="dxa"/>
            <w:noWrap w:val="0"/>
            <w:vAlign w:val="center"/>
          </w:tcPr>
          <w:p>
            <w:pPr>
              <w:pStyle w:val="20"/>
              <w:rPr>
                <w:rFonts w:ascii="宋体" w:hAnsi="宋体" w:eastAsia="宋体"/>
                <w:color w:val="auto"/>
                <w:sz w:val="20"/>
                <w:szCs w:val="20"/>
                <w:lang w:val="en-US"/>
              </w:rPr>
            </w:pPr>
            <w:r>
              <w:rPr>
                <w:rFonts w:hint="eastAsia" w:ascii="宋体" w:hAnsi="宋体" w:eastAsia="宋体"/>
                <w:color w:val="auto"/>
                <w:sz w:val="20"/>
                <w:szCs w:val="20"/>
                <w:lang w:val="en-US"/>
              </w:rPr>
              <w:t>6.45</w:t>
            </w:r>
          </w:p>
        </w:tc>
        <w:tc>
          <w:tcPr>
            <w:tcW w:w="1134" w:type="dxa"/>
            <w:noWrap w:val="0"/>
            <w:vAlign w:val="center"/>
          </w:tcPr>
          <w:p>
            <w:pPr>
              <w:pStyle w:val="20"/>
              <w:rPr>
                <w:rFonts w:ascii="宋体" w:hAnsi="宋体" w:eastAsia="宋体"/>
                <w:color w:val="auto"/>
                <w:sz w:val="20"/>
                <w:szCs w:val="20"/>
                <w:lang w:val="en-US"/>
              </w:rPr>
            </w:pPr>
            <w:r>
              <w:rPr>
                <w:rFonts w:hint="eastAsia" w:ascii="宋体" w:hAnsi="宋体" w:eastAsia="宋体"/>
                <w:color w:val="auto"/>
                <w:sz w:val="20"/>
                <w:szCs w:val="20"/>
                <w:lang w:val="en-US"/>
              </w:rPr>
              <w:t>0.11</w:t>
            </w:r>
          </w:p>
        </w:tc>
        <w:tc>
          <w:tcPr>
            <w:tcW w:w="993" w:type="dxa"/>
            <w:noWrap w:val="0"/>
            <w:vAlign w:val="center"/>
          </w:tcPr>
          <w:p>
            <w:pPr>
              <w:pStyle w:val="20"/>
              <w:rPr>
                <w:rFonts w:ascii="宋体" w:hAnsi="宋体" w:eastAsia="宋体"/>
                <w:color w:val="auto"/>
                <w:sz w:val="20"/>
                <w:szCs w:val="20"/>
                <w:lang w:val="en-US"/>
              </w:rPr>
            </w:pPr>
            <w:r>
              <w:rPr>
                <w:rFonts w:hint="eastAsia" w:ascii="宋体" w:hAnsi="宋体" w:eastAsia="宋体"/>
                <w:color w:val="auto"/>
                <w:sz w:val="20"/>
                <w:szCs w:val="20"/>
                <w:lang w:val="en-US"/>
              </w:rPr>
              <w:t>0.68</w:t>
            </w:r>
          </w:p>
        </w:tc>
        <w:tc>
          <w:tcPr>
            <w:tcW w:w="1275" w:type="dxa"/>
            <w:noWrap w:val="0"/>
            <w:vAlign w:val="center"/>
          </w:tcPr>
          <w:p>
            <w:pPr>
              <w:pStyle w:val="20"/>
              <w:rPr>
                <w:rFonts w:ascii="宋体" w:hAnsi="宋体" w:eastAsia="宋体"/>
                <w:color w:val="auto"/>
                <w:sz w:val="20"/>
                <w:szCs w:val="20"/>
                <w:lang w:val="en-US"/>
              </w:rPr>
            </w:pPr>
            <w:r>
              <w:rPr>
                <w:rFonts w:hint="eastAsia" w:ascii="宋体" w:hAnsi="宋体" w:eastAsia="宋体"/>
                <w:color w:val="auto"/>
                <w:sz w:val="20"/>
                <w:szCs w:val="20"/>
                <w:lang w:val="en-US"/>
              </w:rPr>
              <w:t>0</w:t>
            </w:r>
          </w:p>
        </w:tc>
        <w:tc>
          <w:tcPr>
            <w:tcW w:w="1290" w:type="dxa"/>
            <w:noWrap w:val="0"/>
            <w:vAlign w:val="center"/>
          </w:tcPr>
          <w:p>
            <w:pPr>
              <w:pStyle w:val="20"/>
              <w:rPr>
                <w:rFonts w:ascii="宋体" w:hAnsi="宋体" w:eastAsia="宋体"/>
                <w:color w:val="auto"/>
                <w:sz w:val="20"/>
                <w:szCs w:val="20"/>
                <w:lang w:val="en-US"/>
              </w:rPr>
            </w:pPr>
            <w:r>
              <w:rPr>
                <w:rFonts w:hint="eastAsia" w:ascii="宋体" w:hAnsi="宋体" w:eastAsia="宋体"/>
                <w:color w:val="auto"/>
                <w:sz w:val="20"/>
                <w:szCs w:val="20"/>
                <w:lang w:val="en-US"/>
              </w:rPr>
              <w:t>313.1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59" w:type="dxa"/>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决算数</w:t>
            </w:r>
          </w:p>
        </w:tc>
        <w:tc>
          <w:tcPr>
            <w:tcW w:w="1276" w:type="dxa"/>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13.12</w:t>
            </w:r>
          </w:p>
        </w:tc>
        <w:tc>
          <w:tcPr>
            <w:tcW w:w="1134" w:type="dxa"/>
            <w:noWrap w:val="0"/>
            <w:vAlign w:val="center"/>
          </w:tcPr>
          <w:p>
            <w:pPr>
              <w:pStyle w:val="20"/>
              <w:rPr>
                <w:rFonts w:ascii="宋体" w:hAnsi="宋体" w:eastAsia="宋体"/>
                <w:bCs w:val="0"/>
                <w:color w:val="auto"/>
                <w:sz w:val="20"/>
                <w:szCs w:val="20"/>
                <w:lang w:val="en-US"/>
              </w:rPr>
            </w:pPr>
            <w:r>
              <w:rPr>
                <w:rFonts w:hint="eastAsia" w:ascii="宋体" w:hAnsi="宋体" w:eastAsia="宋体"/>
                <w:bCs w:val="0"/>
                <w:color w:val="auto"/>
                <w:sz w:val="20"/>
                <w:szCs w:val="20"/>
                <w:lang w:val="en-US"/>
              </w:rPr>
              <w:t>6.51</w:t>
            </w:r>
          </w:p>
        </w:tc>
        <w:tc>
          <w:tcPr>
            <w:tcW w:w="1275" w:type="dxa"/>
            <w:noWrap w:val="0"/>
            <w:vAlign w:val="center"/>
          </w:tcPr>
          <w:p>
            <w:pPr>
              <w:pStyle w:val="20"/>
              <w:rPr>
                <w:rFonts w:ascii="宋体" w:hAnsi="宋体" w:eastAsia="宋体"/>
                <w:bCs w:val="0"/>
                <w:color w:val="auto"/>
                <w:sz w:val="20"/>
                <w:szCs w:val="20"/>
                <w:lang w:val="en-US"/>
              </w:rPr>
            </w:pPr>
            <w:r>
              <w:rPr>
                <w:rFonts w:hint="eastAsia" w:ascii="宋体" w:hAnsi="宋体" w:eastAsia="宋体"/>
                <w:bCs w:val="0"/>
                <w:color w:val="auto"/>
                <w:sz w:val="20"/>
                <w:szCs w:val="20"/>
                <w:lang w:val="en-US"/>
              </w:rPr>
              <w:t>6.45</w:t>
            </w:r>
          </w:p>
        </w:tc>
        <w:tc>
          <w:tcPr>
            <w:tcW w:w="1134" w:type="dxa"/>
            <w:noWrap w:val="0"/>
            <w:vAlign w:val="center"/>
          </w:tcPr>
          <w:p>
            <w:pPr>
              <w:pStyle w:val="20"/>
              <w:rPr>
                <w:rFonts w:ascii="宋体" w:hAnsi="宋体" w:eastAsia="宋体"/>
                <w:bCs w:val="0"/>
                <w:color w:val="auto"/>
                <w:sz w:val="20"/>
                <w:szCs w:val="20"/>
                <w:lang w:val="en-US"/>
              </w:rPr>
            </w:pPr>
            <w:r>
              <w:rPr>
                <w:rFonts w:hint="eastAsia" w:ascii="宋体" w:hAnsi="宋体" w:eastAsia="宋体"/>
                <w:bCs w:val="0"/>
                <w:color w:val="auto"/>
                <w:sz w:val="20"/>
                <w:szCs w:val="20"/>
                <w:lang w:val="en-US"/>
              </w:rPr>
              <w:t>0.11</w:t>
            </w:r>
          </w:p>
        </w:tc>
        <w:tc>
          <w:tcPr>
            <w:tcW w:w="993" w:type="dxa"/>
            <w:noWrap w:val="0"/>
            <w:vAlign w:val="center"/>
          </w:tcPr>
          <w:p>
            <w:pPr>
              <w:pStyle w:val="20"/>
              <w:rPr>
                <w:rFonts w:ascii="宋体" w:hAnsi="宋体" w:eastAsia="宋体"/>
                <w:bCs w:val="0"/>
                <w:color w:val="auto"/>
                <w:sz w:val="20"/>
                <w:szCs w:val="20"/>
                <w:lang w:val="en-US"/>
              </w:rPr>
            </w:pPr>
            <w:r>
              <w:rPr>
                <w:rFonts w:hint="eastAsia" w:ascii="宋体" w:hAnsi="宋体" w:eastAsia="宋体"/>
                <w:bCs w:val="0"/>
                <w:color w:val="auto"/>
                <w:sz w:val="20"/>
                <w:szCs w:val="20"/>
                <w:lang w:val="en-US"/>
              </w:rPr>
              <w:t>0.68</w:t>
            </w:r>
          </w:p>
        </w:tc>
        <w:tc>
          <w:tcPr>
            <w:tcW w:w="1275" w:type="dxa"/>
            <w:noWrap w:val="0"/>
            <w:vAlign w:val="center"/>
          </w:tcPr>
          <w:p>
            <w:pPr>
              <w:pStyle w:val="20"/>
              <w:rPr>
                <w:rFonts w:ascii="宋体" w:hAnsi="宋体" w:eastAsia="宋体"/>
                <w:bCs w:val="0"/>
                <w:color w:val="auto"/>
                <w:sz w:val="20"/>
                <w:szCs w:val="20"/>
                <w:lang w:val="en-US"/>
              </w:rPr>
            </w:pPr>
            <w:r>
              <w:rPr>
                <w:rFonts w:hint="eastAsia" w:ascii="宋体" w:hAnsi="宋体" w:eastAsia="宋体"/>
                <w:bCs w:val="0"/>
                <w:color w:val="auto"/>
                <w:sz w:val="20"/>
                <w:szCs w:val="20"/>
                <w:lang w:val="en-US"/>
              </w:rPr>
              <w:t>0</w:t>
            </w:r>
          </w:p>
        </w:tc>
        <w:tc>
          <w:tcPr>
            <w:tcW w:w="1290" w:type="dxa"/>
            <w:noWrap w:val="0"/>
            <w:vAlign w:val="center"/>
          </w:tcPr>
          <w:p>
            <w:pPr>
              <w:pStyle w:val="20"/>
              <w:rPr>
                <w:rFonts w:ascii="宋体" w:hAnsi="宋体" w:eastAsia="宋体"/>
                <w:b/>
                <w:color w:val="auto"/>
                <w:sz w:val="20"/>
                <w:szCs w:val="20"/>
                <w:lang w:val="en-US"/>
              </w:rPr>
            </w:pPr>
            <w:r>
              <w:rPr>
                <w:rFonts w:hint="eastAsia" w:ascii="宋体" w:hAnsi="宋体" w:eastAsia="宋体"/>
                <w:b/>
                <w:color w:val="auto"/>
                <w:sz w:val="20"/>
                <w:szCs w:val="20"/>
                <w:lang w:val="en-US"/>
              </w:rPr>
              <w:t>401.52</w:t>
            </w:r>
          </w:p>
        </w:tc>
      </w:tr>
    </w:tbl>
    <w:p>
      <w:pPr>
        <w:spacing w:line="560" w:lineRule="exact"/>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该指标分值标准8分，根据指标评价标准和公式计算，预决算偏差程度超过20%，不得分。</w:t>
      </w:r>
    </w:p>
    <w:p>
      <w:pPr>
        <w:ind w:firstLine="640" w:firstLineChars="200"/>
        <w:rPr>
          <w:rFonts w:hint="eastAsia" w:ascii="仿宋_GB2312" w:eastAsia="仿宋_GB2312"/>
          <w:sz w:val="32"/>
          <w:szCs w:val="32"/>
        </w:rPr>
      </w:pPr>
      <w:r>
        <w:rPr>
          <w:rFonts w:hint="eastAsia" w:ascii="仿宋_GB2312" w:eastAsia="仿宋_GB2312"/>
          <w:sz w:val="32"/>
          <w:szCs w:val="32"/>
        </w:rPr>
        <w:t>（2）动态调整</w:t>
      </w:r>
    </w:p>
    <w:p>
      <w:pPr>
        <w:ind w:firstLine="640" w:firstLineChars="200"/>
        <w:rPr>
          <w:rFonts w:hint="eastAsia" w:ascii="仿宋_GB2312" w:eastAsia="仿宋_GB2312"/>
          <w:sz w:val="32"/>
          <w:szCs w:val="32"/>
        </w:rPr>
      </w:pPr>
      <w:r>
        <w:rPr>
          <w:rFonts w:hint="eastAsia" w:ascii="仿宋_GB2312" w:eastAsia="仿宋_GB2312"/>
          <w:sz w:val="32"/>
          <w:szCs w:val="32"/>
        </w:rPr>
        <w:t>2020年，旺苍县残疾人联合会绩效监控调整取消额为0元，预算结余注销额为0万元。</w:t>
      </w:r>
    </w:p>
    <w:p>
      <w:pPr>
        <w:ind w:firstLine="640" w:firstLineChars="200"/>
        <w:rPr>
          <w:rFonts w:hint="eastAsia" w:ascii="仿宋_GB2312" w:eastAsia="仿宋_GB2312"/>
          <w:sz w:val="32"/>
          <w:szCs w:val="32"/>
        </w:rPr>
      </w:pPr>
      <w:r>
        <w:rPr>
          <w:rFonts w:hint="eastAsia" w:ascii="仿宋_GB2312" w:eastAsia="仿宋_GB2312"/>
          <w:sz w:val="32"/>
          <w:szCs w:val="32"/>
        </w:rPr>
        <w:t>该指标分值标准6分，根据指标评价标准和公式计算，得分6分。</w:t>
      </w:r>
    </w:p>
    <w:p>
      <w:pPr>
        <w:ind w:firstLine="640" w:firstLineChars="200"/>
        <w:rPr>
          <w:rFonts w:hint="eastAsia" w:ascii="仿宋_GB2312" w:eastAsia="仿宋_GB2312"/>
          <w:sz w:val="32"/>
          <w:szCs w:val="32"/>
        </w:rPr>
      </w:pPr>
      <w:r>
        <w:rPr>
          <w:rFonts w:hint="eastAsia" w:ascii="仿宋_GB2312" w:eastAsia="仿宋_GB2312"/>
          <w:sz w:val="32"/>
          <w:szCs w:val="32"/>
        </w:rPr>
        <w:t>（3）执行进度</w:t>
      </w:r>
    </w:p>
    <w:p>
      <w:pPr>
        <w:ind w:firstLine="640" w:firstLineChars="200"/>
        <w:rPr>
          <w:rFonts w:hint="eastAsia" w:ascii="仿宋_GB2312" w:eastAsia="仿宋_GB2312"/>
          <w:sz w:val="32"/>
          <w:szCs w:val="32"/>
        </w:rPr>
      </w:pPr>
      <w:r>
        <w:rPr>
          <w:rFonts w:hint="eastAsia" w:ascii="仿宋_GB2312" w:eastAsia="仿宋_GB2312"/>
          <w:sz w:val="32"/>
          <w:szCs w:val="32"/>
        </w:rPr>
        <w:t>根据《旺苍县2021年度部门整体支出绩效评价指标体系》，部门预算执行进度在6、9、11月应达到序时进度的80%、90%、90%，即实际支出进度分别达到40%、67.5%、82.5%。旺苍县残疾人联合会2020年1-6月预算数847.02万元，执行数50.32万元，执行进度5.94%；1-9月预算数939.85万元，执行数591.24万元，执行进度62.9%；1-11月预算数1102.17万元，执行数627.86万元，执行进度56.97%。各阶段预算执行进度均未达到目标要求。</w:t>
      </w:r>
    </w:p>
    <w:p>
      <w:pPr>
        <w:pStyle w:val="19"/>
        <w:rPr>
          <w:szCs w:val="24"/>
        </w:rPr>
      </w:pPr>
      <w:r>
        <w:rPr>
          <w:rFonts w:hint="eastAsia"/>
          <w:szCs w:val="24"/>
        </w:rPr>
        <w:t>2020</w:t>
      </w:r>
      <w:r>
        <w:rPr>
          <w:szCs w:val="24"/>
        </w:rPr>
        <w:t>年</w:t>
      </w:r>
      <w:r>
        <w:rPr>
          <w:rFonts w:hint="eastAsia"/>
          <w:szCs w:val="24"/>
        </w:rPr>
        <w:t>旺苍县残疾人联合会部门预算执行进度表</w:t>
      </w:r>
    </w:p>
    <w:p>
      <w:pPr>
        <w:pStyle w:val="19"/>
        <w:jc w:val="right"/>
        <w:rPr>
          <w:sz w:val="21"/>
          <w:szCs w:val="21"/>
        </w:rPr>
      </w:pPr>
      <w:r>
        <w:rPr>
          <w:rFonts w:hint="eastAsia"/>
          <w:sz w:val="21"/>
          <w:szCs w:val="21"/>
        </w:rPr>
        <w:t>单位</w:t>
      </w:r>
      <w:r>
        <w:rPr>
          <w:sz w:val="21"/>
          <w:szCs w:val="21"/>
        </w:rPr>
        <w:t>：万元</w:t>
      </w:r>
    </w:p>
    <w:tbl>
      <w:tblPr>
        <w:tblStyle w:val="12"/>
        <w:tblpPr w:leftFromText="180" w:rightFromText="180" w:vertAnchor="text" w:horzAnchor="page" w:tblpX="2136" w:tblpY="213"/>
        <w:tblOverlap w:val="never"/>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216"/>
        <w:gridCol w:w="2216"/>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51" w:type="dxa"/>
            <w:noWrap w:val="0"/>
            <w:vAlign w:val="center"/>
          </w:tcPr>
          <w:p>
            <w:pPr>
              <w:pStyle w:val="20"/>
              <w:rPr>
                <w:color w:val="auto"/>
                <w:lang w:val="en-US"/>
              </w:rPr>
            </w:pPr>
            <w:r>
              <w:rPr>
                <w:rFonts w:hint="eastAsia"/>
                <w:b/>
                <w:bCs w:val="0"/>
                <w:color w:val="auto"/>
                <w:lang w:val="en-US"/>
              </w:rPr>
              <w:t>月份</w:t>
            </w:r>
          </w:p>
        </w:tc>
        <w:tc>
          <w:tcPr>
            <w:tcW w:w="2216" w:type="dxa"/>
            <w:noWrap w:val="0"/>
            <w:vAlign w:val="center"/>
          </w:tcPr>
          <w:p>
            <w:pPr>
              <w:pStyle w:val="20"/>
              <w:rPr>
                <w:color w:val="auto"/>
                <w:lang w:val="en-US"/>
              </w:rPr>
            </w:pPr>
            <w:r>
              <w:rPr>
                <w:rFonts w:hint="eastAsia"/>
                <w:color w:val="auto"/>
                <w:lang w:val="en-US"/>
              </w:rPr>
              <w:t>预算数</w:t>
            </w:r>
          </w:p>
        </w:tc>
        <w:tc>
          <w:tcPr>
            <w:tcW w:w="2216" w:type="dxa"/>
            <w:noWrap w:val="0"/>
            <w:vAlign w:val="center"/>
          </w:tcPr>
          <w:p>
            <w:pPr>
              <w:pStyle w:val="20"/>
              <w:rPr>
                <w:color w:val="auto"/>
                <w:lang w:val="en-US"/>
              </w:rPr>
            </w:pPr>
            <w:r>
              <w:rPr>
                <w:rFonts w:hint="eastAsia"/>
                <w:color w:val="auto"/>
                <w:lang w:val="en-US"/>
              </w:rPr>
              <w:t>执行数</w:t>
            </w:r>
          </w:p>
        </w:tc>
        <w:tc>
          <w:tcPr>
            <w:tcW w:w="2216" w:type="dxa"/>
            <w:noWrap w:val="0"/>
            <w:vAlign w:val="center"/>
          </w:tcPr>
          <w:p>
            <w:pPr>
              <w:pStyle w:val="20"/>
              <w:rPr>
                <w:color w:val="auto"/>
                <w:lang w:val="en-US"/>
              </w:rPr>
            </w:pPr>
            <w:r>
              <w:rPr>
                <w:rFonts w:hint="eastAsia"/>
                <w:color w:val="auto"/>
                <w:lang w:val="en-US"/>
              </w:rPr>
              <w:t>实际支付进度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51" w:type="dxa"/>
            <w:noWrap w:val="0"/>
            <w:vAlign w:val="center"/>
          </w:tcPr>
          <w:p>
            <w:pPr>
              <w:pStyle w:val="20"/>
              <w:rPr>
                <w:b/>
                <w:color w:val="auto"/>
                <w:lang w:val="en-US"/>
              </w:rPr>
            </w:pPr>
            <w:r>
              <w:rPr>
                <w:rFonts w:hint="eastAsia"/>
                <w:b/>
                <w:color w:val="auto"/>
                <w:lang w:val="en-US"/>
              </w:rPr>
              <w:t>1-6月</w:t>
            </w:r>
          </w:p>
        </w:tc>
        <w:tc>
          <w:tcPr>
            <w:tcW w:w="2216" w:type="dxa"/>
            <w:noWrap w:val="0"/>
            <w:vAlign w:val="center"/>
          </w:tcPr>
          <w:p>
            <w:pPr>
              <w:pStyle w:val="20"/>
              <w:rPr>
                <w:bCs w:val="0"/>
                <w:color w:val="auto"/>
                <w:lang w:val="en-US"/>
              </w:rPr>
            </w:pPr>
            <w:r>
              <w:rPr>
                <w:rFonts w:hint="eastAsia"/>
                <w:bCs w:val="0"/>
                <w:color w:val="auto"/>
                <w:lang w:val="en-US"/>
              </w:rPr>
              <w:t>847.02</w:t>
            </w:r>
          </w:p>
        </w:tc>
        <w:tc>
          <w:tcPr>
            <w:tcW w:w="2216" w:type="dxa"/>
            <w:noWrap w:val="0"/>
            <w:vAlign w:val="center"/>
          </w:tcPr>
          <w:p>
            <w:pPr>
              <w:pStyle w:val="20"/>
              <w:rPr>
                <w:bCs w:val="0"/>
                <w:color w:val="auto"/>
                <w:lang w:val="en-US"/>
              </w:rPr>
            </w:pPr>
            <w:r>
              <w:rPr>
                <w:rFonts w:hint="eastAsia"/>
                <w:bCs w:val="0"/>
                <w:color w:val="auto"/>
                <w:lang w:val="en-US"/>
              </w:rPr>
              <w:t>50.32</w:t>
            </w:r>
          </w:p>
        </w:tc>
        <w:tc>
          <w:tcPr>
            <w:tcW w:w="2216" w:type="dxa"/>
            <w:noWrap w:val="0"/>
            <w:vAlign w:val="center"/>
          </w:tcPr>
          <w:p>
            <w:pPr>
              <w:pStyle w:val="20"/>
              <w:rPr>
                <w:bCs w:val="0"/>
                <w:color w:val="auto"/>
                <w:lang w:val="en-US"/>
              </w:rPr>
            </w:pPr>
            <w:r>
              <w:rPr>
                <w:rFonts w:hint="eastAsia"/>
                <w:bCs w:val="0"/>
                <w:color w:val="auto"/>
                <w:lang w:val="en-US"/>
              </w:rPr>
              <w:t>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51" w:type="dxa"/>
            <w:noWrap w:val="0"/>
            <w:vAlign w:val="center"/>
          </w:tcPr>
          <w:p>
            <w:pPr>
              <w:pStyle w:val="20"/>
              <w:rPr>
                <w:b/>
                <w:color w:val="auto"/>
                <w:lang w:val="en-US"/>
              </w:rPr>
            </w:pPr>
            <w:r>
              <w:rPr>
                <w:rFonts w:hint="eastAsia"/>
                <w:b/>
                <w:color w:val="auto"/>
                <w:lang w:val="en-US"/>
              </w:rPr>
              <w:t>1-9月</w:t>
            </w:r>
          </w:p>
        </w:tc>
        <w:tc>
          <w:tcPr>
            <w:tcW w:w="2216" w:type="dxa"/>
            <w:noWrap w:val="0"/>
            <w:vAlign w:val="center"/>
          </w:tcPr>
          <w:p>
            <w:pPr>
              <w:pStyle w:val="20"/>
              <w:rPr>
                <w:bCs w:val="0"/>
                <w:color w:val="auto"/>
                <w:lang w:val="en-US"/>
              </w:rPr>
            </w:pPr>
            <w:r>
              <w:rPr>
                <w:rFonts w:hint="eastAsia"/>
                <w:bCs w:val="0"/>
                <w:color w:val="auto"/>
                <w:lang w:val="en-US"/>
              </w:rPr>
              <w:t>939.85</w:t>
            </w:r>
          </w:p>
        </w:tc>
        <w:tc>
          <w:tcPr>
            <w:tcW w:w="2216" w:type="dxa"/>
            <w:noWrap w:val="0"/>
            <w:vAlign w:val="center"/>
          </w:tcPr>
          <w:p>
            <w:pPr>
              <w:pStyle w:val="20"/>
              <w:rPr>
                <w:bCs w:val="0"/>
                <w:color w:val="auto"/>
                <w:lang w:val="en-US"/>
              </w:rPr>
            </w:pPr>
            <w:r>
              <w:rPr>
                <w:rFonts w:hint="eastAsia"/>
                <w:bCs w:val="0"/>
                <w:color w:val="auto"/>
                <w:lang w:val="en-US"/>
              </w:rPr>
              <w:t>591.24</w:t>
            </w:r>
          </w:p>
        </w:tc>
        <w:tc>
          <w:tcPr>
            <w:tcW w:w="2216" w:type="dxa"/>
            <w:noWrap w:val="0"/>
            <w:vAlign w:val="center"/>
          </w:tcPr>
          <w:p>
            <w:pPr>
              <w:pStyle w:val="20"/>
              <w:rPr>
                <w:bCs w:val="0"/>
                <w:color w:val="auto"/>
                <w:lang w:val="en-US"/>
              </w:rPr>
            </w:pPr>
            <w:r>
              <w:rPr>
                <w:rFonts w:hint="eastAsia"/>
                <w:bCs w:val="0"/>
                <w:color w:val="auto"/>
                <w:lang w:val="en-US"/>
              </w:rPr>
              <w:t>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51" w:type="dxa"/>
            <w:noWrap w:val="0"/>
            <w:vAlign w:val="center"/>
          </w:tcPr>
          <w:p>
            <w:pPr>
              <w:pStyle w:val="20"/>
              <w:rPr>
                <w:b/>
                <w:color w:val="auto"/>
                <w:lang w:val="en-US"/>
              </w:rPr>
            </w:pPr>
            <w:r>
              <w:rPr>
                <w:rFonts w:hint="eastAsia"/>
                <w:b/>
                <w:color w:val="auto"/>
                <w:lang w:val="en-US"/>
              </w:rPr>
              <w:t>1-11月</w:t>
            </w:r>
          </w:p>
        </w:tc>
        <w:tc>
          <w:tcPr>
            <w:tcW w:w="2216" w:type="dxa"/>
            <w:noWrap w:val="0"/>
            <w:vAlign w:val="center"/>
          </w:tcPr>
          <w:p>
            <w:pPr>
              <w:pStyle w:val="20"/>
              <w:rPr>
                <w:bCs w:val="0"/>
                <w:color w:val="auto"/>
                <w:lang w:val="en-US"/>
              </w:rPr>
            </w:pPr>
            <w:r>
              <w:rPr>
                <w:rFonts w:hint="eastAsia"/>
                <w:bCs w:val="0"/>
                <w:color w:val="auto"/>
                <w:lang w:val="en-US"/>
              </w:rPr>
              <w:t>1102.17</w:t>
            </w:r>
          </w:p>
        </w:tc>
        <w:tc>
          <w:tcPr>
            <w:tcW w:w="2216" w:type="dxa"/>
            <w:noWrap w:val="0"/>
            <w:vAlign w:val="center"/>
          </w:tcPr>
          <w:p>
            <w:pPr>
              <w:pStyle w:val="20"/>
              <w:rPr>
                <w:bCs w:val="0"/>
                <w:color w:val="auto"/>
                <w:lang w:val="en-US"/>
              </w:rPr>
            </w:pPr>
            <w:r>
              <w:rPr>
                <w:rFonts w:hint="eastAsia"/>
                <w:bCs w:val="0"/>
                <w:color w:val="auto"/>
                <w:lang w:val="en-US"/>
              </w:rPr>
              <w:t>627.86</w:t>
            </w:r>
          </w:p>
        </w:tc>
        <w:tc>
          <w:tcPr>
            <w:tcW w:w="2216" w:type="dxa"/>
            <w:noWrap w:val="0"/>
            <w:vAlign w:val="center"/>
          </w:tcPr>
          <w:p>
            <w:pPr>
              <w:pStyle w:val="20"/>
              <w:rPr>
                <w:bCs w:val="0"/>
                <w:color w:val="auto"/>
                <w:lang w:val="en-US"/>
              </w:rPr>
            </w:pPr>
            <w:r>
              <w:rPr>
                <w:rFonts w:hint="eastAsia"/>
                <w:bCs w:val="0"/>
                <w:color w:val="auto"/>
                <w:lang w:val="en-US"/>
              </w:rPr>
              <w:t>56.97%</w:t>
            </w:r>
          </w:p>
        </w:tc>
      </w:tr>
    </w:tbl>
    <w:p>
      <w:pPr>
        <w:pStyle w:val="19"/>
        <w:ind w:firstLine="482" w:firstLineChars="200"/>
        <w:jc w:val="right"/>
      </w:pP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该指标分值标准6分，根据指标评价标准和公式计算，得3分。</w:t>
      </w:r>
    </w:p>
    <w:p>
      <w:pPr>
        <w:spacing w:line="576"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3.完成结果</w:t>
      </w:r>
    </w:p>
    <w:p>
      <w:pPr>
        <w:spacing w:line="576"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（1）预算完成</w:t>
      </w:r>
    </w:p>
    <w:p>
      <w:pPr>
        <w:pStyle w:val="2"/>
        <w:spacing w:after="0" w:line="576" w:lineRule="exact"/>
        <w:ind w:firstLine="640" w:firstLineChars="200"/>
        <w:rPr>
          <w:rFonts w:hint="eastAsia" w:ascii="仿宋_GB2312" w:eastAsia="仿宋_GB2312"/>
          <w:sz w:val="32"/>
          <w:szCs w:val="32"/>
        </w:rPr>
      </w:pPr>
      <w:r>
        <w:rPr>
          <w:rFonts w:hint="eastAsia" w:ascii="仿宋_GB2312" w:eastAsia="仿宋_GB2312"/>
          <w:sz w:val="32"/>
          <w:szCs w:val="32"/>
        </w:rPr>
        <w:t>旺苍县残疾人联合会2020年部门财政收入预算</w:t>
      </w:r>
      <w:r>
        <w:rPr>
          <w:rFonts w:hint="eastAsia" w:eastAsia="仿宋_GB2312"/>
          <w:sz w:val="32"/>
          <w:szCs w:val="32"/>
        </w:rPr>
        <w:t> </w:t>
      </w:r>
      <w:r>
        <w:rPr>
          <w:rFonts w:hint="eastAsia" w:ascii="仿宋_GB2312" w:eastAsia="仿宋_GB2312"/>
          <w:sz w:val="32"/>
          <w:szCs w:val="32"/>
        </w:rPr>
        <w:t>1102.17万元，全年实际执行627.86万元，执行进度57%。</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该指标分值标准3分，根据指标评价标准和公式计算，得分1.5分。</w:t>
      </w:r>
    </w:p>
    <w:p>
      <w:pPr>
        <w:spacing w:line="576" w:lineRule="exact"/>
        <w:ind w:firstLine="643" w:firstLineChars="200"/>
        <w:rPr>
          <w:rFonts w:hint="eastAsia" w:ascii="仿宋_GB2312" w:eastAsia="仿宋_GB2312"/>
          <w:b/>
          <w:sz w:val="32"/>
          <w:szCs w:val="32"/>
        </w:rPr>
      </w:pPr>
      <w:r>
        <w:rPr>
          <w:rFonts w:hint="eastAsia" w:ascii="仿宋_GB2312" w:eastAsia="仿宋_GB2312"/>
          <w:b/>
          <w:sz w:val="32"/>
          <w:szCs w:val="32"/>
        </w:rPr>
        <w:t>3.绩效结果应用分析</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（1）自评质量</w:t>
      </w:r>
    </w:p>
    <w:p>
      <w:pPr>
        <w:pStyle w:val="2"/>
        <w:spacing w:after="0" w:line="576" w:lineRule="exact"/>
        <w:ind w:firstLine="640" w:firstLineChars="200"/>
        <w:rPr>
          <w:rFonts w:hint="eastAsia" w:ascii="仿宋_GB2312" w:eastAsia="仿宋_GB2312"/>
          <w:sz w:val="32"/>
          <w:szCs w:val="32"/>
        </w:rPr>
      </w:pPr>
      <w:r>
        <w:rPr>
          <w:rFonts w:hint="eastAsia" w:ascii="仿宋_GB2312" w:eastAsia="仿宋_GB2312"/>
          <w:sz w:val="32"/>
          <w:szCs w:val="32"/>
        </w:rPr>
        <w:t>旺苍县残疾人联合会2020年部门整体支出绩效自评得分96分。根据现场评价情况，评价组对旺苍县残疾人联合会的考评得分为75.5分。</w:t>
      </w:r>
    </w:p>
    <w:p>
      <w:pPr>
        <w:pStyle w:val="2"/>
        <w:spacing w:after="0"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该指标分值标准4分，根据指标评价标准和公式计算，得分2分。</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（2）信息公开</w:t>
      </w:r>
    </w:p>
    <w:p>
      <w:pPr>
        <w:pStyle w:val="2"/>
        <w:spacing w:after="0" w:line="576" w:lineRule="exact"/>
        <w:ind w:firstLine="640" w:firstLineChars="200"/>
        <w:rPr>
          <w:rFonts w:hint="eastAsia" w:ascii="仿宋_GB2312" w:eastAsia="仿宋_GB2312"/>
          <w:sz w:val="32"/>
          <w:szCs w:val="32"/>
        </w:rPr>
      </w:pPr>
      <w:r>
        <w:rPr>
          <w:rFonts w:hint="eastAsia" w:ascii="仿宋_GB2312" w:eastAsia="仿宋_GB2312"/>
          <w:sz w:val="32"/>
          <w:szCs w:val="32"/>
        </w:rPr>
        <w:t>按照财政局要求，旺苍县残疾人联合会绩效目标说明已按要求随部门预算在政府网站向社会公开。</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该指标分值标准4分，根据指标评价标准和公式计算，得分4分。</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（3）自评公开</w:t>
      </w:r>
    </w:p>
    <w:p>
      <w:pPr>
        <w:pStyle w:val="2"/>
        <w:spacing w:after="0" w:line="576" w:lineRule="exact"/>
        <w:ind w:firstLine="640" w:firstLineChars="200"/>
        <w:rPr>
          <w:rFonts w:hint="eastAsia" w:ascii="仿宋_GB2312" w:eastAsia="仿宋_GB2312"/>
          <w:sz w:val="32"/>
          <w:szCs w:val="32"/>
        </w:rPr>
      </w:pPr>
      <w:r>
        <w:rPr>
          <w:rFonts w:hint="eastAsia" w:ascii="仿宋_GB2312" w:eastAsia="仿宋_GB2312"/>
          <w:sz w:val="32"/>
          <w:szCs w:val="32"/>
        </w:rPr>
        <w:t xml:space="preserve">按照财政局要求，旺苍县残疾人联合会并将部门整体绩效自评情况和自行组织的评价情况随同决算公开。 </w:t>
      </w:r>
    </w:p>
    <w:p>
      <w:pPr>
        <w:pStyle w:val="2"/>
        <w:spacing w:after="0"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该指标分值标准4分，根据指标评价标准和公式计算，得分4分。</w:t>
      </w:r>
    </w:p>
    <w:p>
      <w:pPr>
        <w:pStyle w:val="2"/>
        <w:spacing w:after="0" w:line="576" w:lineRule="exact"/>
        <w:ind w:firstLine="640" w:firstLineChars="200"/>
        <w:rPr>
          <w:rFonts w:hint="eastAsia" w:ascii="仿宋_GB2312" w:eastAsia="仿宋_GB2312"/>
          <w:sz w:val="32"/>
          <w:szCs w:val="32"/>
        </w:rPr>
      </w:pPr>
      <w:r>
        <w:rPr>
          <w:rFonts w:hint="eastAsia" w:ascii="仿宋_GB2312" w:eastAsia="仿宋_GB2312"/>
          <w:sz w:val="32"/>
          <w:szCs w:val="32"/>
        </w:rPr>
        <w:t>（4）整改反馈</w:t>
      </w:r>
    </w:p>
    <w:p>
      <w:pPr>
        <w:pStyle w:val="2"/>
        <w:spacing w:after="0" w:line="576" w:lineRule="exact"/>
        <w:ind w:firstLine="640" w:firstLineChars="200"/>
        <w:rPr>
          <w:rFonts w:hint="eastAsia" w:ascii="仿宋_GB2312" w:eastAsia="仿宋_GB2312"/>
          <w:sz w:val="32"/>
          <w:szCs w:val="32"/>
        </w:rPr>
      </w:pPr>
      <w:r>
        <w:rPr>
          <w:rFonts w:hint="eastAsia" w:ascii="仿宋_GB2312" w:eastAsia="仿宋_GB2312"/>
          <w:sz w:val="32"/>
          <w:szCs w:val="32"/>
        </w:rPr>
        <w:t>旺苍县残疾人联合会按照《旺苍县财政局关于“三公”经费、违纪违规乱发钱物等专项检查发现问题的整改通知》（旺财办〔2020〕46号）要求按时将整改报告报送财政局，并整改到位，不扣分。做到了按时向财政部门报送相应绩效自评报告，不扣分。</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该指标分值标准4分，根据指标评价标准和公式计算，得分4分。</w:t>
      </w:r>
    </w:p>
    <w:p>
      <w:pPr>
        <w:spacing w:line="576"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四、存在的主要问题</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预算管理方面，预算编制不够细化，不够准确，年初预算与预算调整数偏差过大，说明旺苍县残疾人联合会对预算需求调查不够充分，应用绩效监控结果指导预算调整的情况欠佳，绩效监控调整作用较弱，动态管理不够到位。</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rPr>
        <w:t xml:space="preserve"> </w:t>
      </w:r>
      <w:r>
        <w:rPr>
          <w:rFonts w:hint="eastAsia" w:ascii="仿宋_GB2312" w:eastAsia="仿宋_GB2312"/>
          <w:color w:val="000000"/>
          <w:sz w:val="32"/>
          <w:szCs w:val="32"/>
        </w:rPr>
        <w:t>绩效管理方面，预算管理制度存在缺陷，不够完善，绩效管理人员经验不够丰富。</w:t>
      </w:r>
    </w:p>
    <w:p>
      <w:pPr>
        <w:spacing w:line="576" w:lineRule="exact"/>
        <w:ind w:firstLine="640" w:firstLineChars="200"/>
        <w:rPr>
          <w:rFonts w:hint="eastAsia" w:ascii="仿宋_GB2312" w:hAnsi="黑体" w:eastAsia="仿宋_GB2312"/>
          <w:color w:val="000000"/>
          <w:sz w:val="32"/>
          <w:szCs w:val="32"/>
        </w:rPr>
      </w:pPr>
      <w:r>
        <w:rPr>
          <w:rFonts w:hint="eastAsia" w:ascii="仿宋_GB2312" w:eastAsia="仿宋_GB2312"/>
          <w:color w:val="000000"/>
          <w:sz w:val="32"/>
          <w:szCs w:val="32"/>
        </w:rPr>
        <w:t>3.执行进度方面，预算执行进度及完成情况较差，根据</w:t>
      </w:r>
      <w:r>
        <w:rPr>
          <w:rFonts w:hint="eastAsia" w:ascii="仿宋_GB2312" w:eastAsia="仿宋_GB2312"/>
          <w:sz w:val="32"/>
          <w:szCs w:val="32"/>
        </w:rPr>
        <w:t>根据《旺苍县2021年度部门整体支出绩效评价指标体系》，部门预算执行进度在6、9、11月应达到序时进度的80%、90%、90%，即实际支出进度分别达到40%、67.5%、82.5%。经评价，旺苍县残疾人联合会上诉三个阶段的预算执行均未达标，分别为5.94%、62.9%、56.97%；缺乏对预算资金支出的总体计划安排、预算执行进度和全年完全情况均较差。</w:t>
      </w:r>
    </w:p>
    <w:p>
      <w:pPr>
        <w:spacing w:line="576"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五、整改措施及建议</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 进一步细化、量化预算编制工作，财务部门应于各业务部门深度衔接、紧密配合，在项目实施前，结合自身业务特性，设置科学合理、针对性强、便于考核的绩效目标。建议加强项目实施过程控制、建立绩效目标动态管理机制，对于无法完成或前期目标设置不合理的项目及时修正，动态掌握绩效目标的实时完成情况。</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2．加强预算绩效管理人员培训，营造“花钱必问效，无效必问责”的绩效管理常态，不断完善预算绩效管理制度，积极提升财政资金配置效率和资金使用效率。</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提高预算管理水平，加快支出执行进度。一是充分了解预算需求，合理安排支出结构，提高预算编制的准确度。同时积极应用绩效监控结果指导预算调整，提高预算编制与预算执行的一致性，强化预算精细化管理水平，二是建议旺苍县残疾人联合会做好预算支出总体安排，建立和完善预算执行情况的分析，监督和信息反馈机制，加快预算执行进度。</w:t>
      </w:r>
    </w:p>
    <w:p>
      <w:pPr>
        <w:rPr>
          <w:rFonts w:hint="eastAsia"/>
          <w:lang w:val="en-US" w:eastAsia="zh-CN"/>
        </w:rPr>
      </w:pPr>
      <w:r>
        <w:rPr>
          <w:rFonts w:hint="eastAsia"/>
          <w:lang w:val="en-US" w:eastAsia="zh-CN"/>
        </w:rPr>
        <w:br w:type="page"/>
      </w:r>
    </w:p>
    <w:p>
      <w:pPr>
        <w:adjustRightInd w:val="0"/>
        <w:snapToGrid w:val="0"/>
        <w:spacing w:line="240" w:lineRule="atLeast"/>
        <w:jc w:val="center"/>
        <w:rPr>
          <w:rFonts w:hint="eastAsia" w:ascii="方正小标宋简体" w:hAnsi="华文中宋" w:eastAsia="方正小标宋简体"/>
          <w:b/>
          <w:sz w:val="52"/>
          <w:szCs w:val="44"/>
        </w:rPr>
      </w:pPr>
      <w:r>
        <w:rPr>
          <w:rFonts w:hint="eastAsia" w:ascii="方正小标宋简体" w:hAnsi="华文中宋" w:eastAsia="方正小标宋简体"/>
          <w:b/>
          <w:sz w:val="52"/>
          <w:szCs w:val="44"/>
        </w:rPr>
        <w:t>旺苍县乡村振兴局部门整体支出</w:t>
      </w:r>
    </w:p>
    <w:p>
      <w:pPr>
        <w:adjustRightInd w:val="0"/>
        <w:snapToGrid w:val="0"/>
        <w:spacing w:line="240" w:lineRule="atLeast"/>
        <w:ind w:left="105" w:leftChars="50" w:firstLine="372" w:firstLineChars="103"/>
        <w:jc w:val="center"/>
        <w:rPr>
          <w:rFonts w:hint="eastAsia" w:ascii="方正小标宋简体" w:hAnsi="华文中宋" w:eastAsia="方正小标宋简体"/>
          <w:b/>
          <w:sz w:val="36"/>
          <w:szCs w:val="36"/>
        </w:rPr>
      </w:pPr>
    </w:p>
    <w:p>
      <w:pPr>
        <w:adjustRightInd w:val="0"/>
        <w:snapToGrid w:val="0"/>
        <w:spacing w:line="240" w:lineRule="atLeast"/>
        <w:ind w:left="105" w:leftChars="50" w:firstLine="372" w:firstLineChars="103"/>
        <w:jc w:val="center"/>
        <w:rPr>
          <w:rFonts w:hint="eastAsia" w:ascii="方正小标宋简体" w:hAnsi="华文中宋" w:eastAsia="方正小标宋简体"/>
          <w:b/>
          <w:sz w:val="36"/>
          <w:szCs w:val="36"/>
        </w:rPr>
      </w:pP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绩</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效</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评</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价</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报</w:t>
      </w:r>
    </w:p>
    <w:p>
      <w:pPr>
        <w:adjustRightInd w:val="0"/>
        <w:snapToGrid w:val="0"/>
        <w:spacing w:line="240" w:lineRule="atLeast"/>
        <w:jc w:val="center"/>
        <w:rPr>
          <w:rFonts w:hint="eastAsia" w:ascii="楷体_GB2312" w:hAnsi="华文中宋" w:eastAsia="楷体_GB2312"/>
          <w:b/>
          <w:sz w:val="96"/>
          <w:szCs w:val="96"/>
        </w:rPr>
      </w:pPr>
      <w:r>
        <w:rPr>
          <w:rFonts w:hint="eastAsia" w:ascii="楷体_GB2312" w:hAnsi="华文中宋" w:eastAsia="楷体_GB2312"/>
          <w:b/>
          <w:sz w:val="96"/>
          <w:szCs w:val="96"/>
        </w:rPr>
        <w:t>告</w:t>
      </w:r>
    </w:p>
    <w:p>
      <w:pPr>
        <w:adjustRightInd w:val="0"/>
        <w:snapToGrid w:val="0"/>
        <w:spacing w:line="240" w:lineRule="atLeast"/>
        <w:ind w:left="105" w:leftChars="50" w:firstLine="372" w:firstLineChars="103"/>
        <w:jc w:val="center"/>
        <w:rPr>
          <w:rFonts w:hint="eastAsia" w:ascii="方正小标宋简体" w:hAnsi="华文中宋" w:eastAsia="方正小标宋简体"/>
          <w:b/>
          <w:sz w:val="36"/>
          <w:szCs w:val="36"/>
        </w:rPr>
      </w:pPr>
    </w:p>
    <w:p>
      <w:pPr>
        <w:adjustRightInd w:val="0"/>
        <w:snapToGrid w:val="0"/>
        <w:spacing w:line="240" w:lineRule="atLeast"/>
        <w:ind w:left="105" w:leftChars="50" w:firstLine="370" w:firstLineChars="103"/>
        <w:jc w:val="center"/>
        <w:rPr>
          <w:rFonts w:hint="eastAsia" w:ascii="楷体" w:hAnsi="楷体" w:eastAsia="楷体" w:cs="楷体"/>
          <w:bCs/>
          <w:sz w:val="36"/>
          <w:szCs w:val="36"/>
        </w:rPr>
      </w:pPr>
    </w:p>
    <w:p>
      <w:pPr>
        <w:tabs>
          <w:tab w:val="left" w:pos="3885"/>
        </w:tabs>
        <w:snapToGrid w:val="0"/>
        <w:spacing w:line="600" w:lineRule="atLeast"/>
        <w:ind w:firstLine="964" w:firstLineChars="300"/>
        <w:jc w:val="left"/>
        <w:rPr>
          <w:rFonts w:hint="eastAsia" w:ascii="楷体" w:hAnsi="楷体" w:eastAsia="楷体" w:cs="楷体"/>
          <w:b/>
          <w:sz w:val="32"/>
          <w:szCs w:val="32"/>
        </w:rPr>
      </w:pPr>
      <w:r>
        <w:rPr>
          <w:rFonts w:hint="eastAsia" w:ascii="楷体" w:hAnsi="楷体" w:eastAsia="楷体" w:cs="楷体"/>
          <w:b/>
          <w:sz w:val="32"/>
          <w:szCs w:val="32"/>
        </w:rPr>
        <w:t>评价部门：旺苍县财政局</w:t>
      </w:r>
    </w:p>
    <w:p>
      <w:pPr>
        <w:tabs>
          <w:tab w:val="left" w:pos="3885"/>
        </w:tabs>
        <w:snapToGrid w:val="0"/>
        <w:spacing w:line="600" w:lineRule="atLeast"/>
        <w:ind w:firstLine="964" w:firstLineChars="300"/>
        <w:jc w:val="left"/>
        <w:rPr>
          <w:rFonts w:hint="eastAsia" w:ascii="楷体" w:hAnsi="楷体" w:eastAsia="楷体" w:cs="楷体"/>
          <w:b/>
          <w:sz w:val="32"/>
          <w:szCs w:val="32"/>
        </w:rPr>
      </w:pPr>
      <w:r>
        <w:rPr>
          <w:rFonts w:hint="eastAsia" w:ascii="楷体" w:hAnsi="楷体" w:eastAsia="楷体" w:cs="楷体"/>
          <w:b/>
          <w:sz w:val="32"/>
          <w:szCs w:val="32"/>
        </w:rPr>
        <w:t xml:space="preserve">评价人员：周瑞卿、张芝酞、何树敏    </w:t>
      </w:r>
    </w:p>
    <w:p>
      <w:pPr>
        <w:tabs>
          <w:tab w:val="left" w:pos="3885"/>
        </w:tabs>
        <w:snapToGrid w:val="0"/>
        <w:spacing w:line="600" w:lineRule="atLeast"/>
        <w:ind w:firstLine="964" w:firstLineChars="300"/>
        <w:jc w:val="left"/>
        <w:rPr>
          <w:rFonts w:hint="eastAsia" w:ascii="楷体" w:hAnsi="楷体" w:eastAsia="楷体" w:cs="楷体"/>
          <w:b/>
          <w:sz w:val="32"/>
          <w:szCs w:val="32"/>
        </w:rPr>
      </w:pPr>
      <w:r>
        <w:rPr>
          <w:rFonts w:hint="eastAsia" w:ascii="楷体" w:hAnsi="楷体" w:eastAsia="楷体" w:cs="楷体"/>
          <w:b/>
          <w:sz w:val="32"/>
          <w:szCs w:val="32"/>
        </w:rPr>
        <w:t>报告时间： 2021年9 月28日</w:t>
      </w:r>
    </w:p>
    <w:p>
      <w:pPr>
        <w:spacing w:line="576" w:lineRule="exact"/>
        <w:ind w:firstLine="640" w:firstLineChars="200"/>
        <w:rPr>
          <w:rFonts w:hint="eastAsia" w:ascii="黑体" w:hAnsi="黑体" w:eastAsia="黑体"/>
          <w:sz w:val="32"/>
          <w:szCs w:val="32"/>
        </w:rPr>
      </w:pPr>
    </w:p>
    <w:p>
      <w:pPr>
        <w:spacing w:line="576" w:lineRule="exact"/>
        <w:ind w:firstLine="640" w:firstLineChars="200"/>
        <w:rPr>
          <w:rFonts w:hint="eastAsia" w:ascii="黑体" w:hAnsi="黑体" w:eastAsia="黑体"/>
          <w:sz w:val="32"/>
          <w:szCs w:val="32"/>
        </w:rPr>
        <w:sectPr>
          <w:headerReference r:id="rId36" w:type="default"/>
          <w:footerReference r:id="rId37" w:type="default"/>
          <w:pgSz w:w="11906" w:h="16838"/>
          <w:pgMar w:top="2098" w:right="1474" w:bottom="1985" w:left="1588" w:header="851" w:footer="1559" w:gutter="0"/>
          <w:pgNumType w:fmt="numberInDash" w:start="1"/>
          <w:cols w:space="720" w:num="1"/>
          <w:docGrid w:type="lines" w:linePitch="312" w:charSpace="0"/>
        </w:sectPr>
      </w:pP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一、部门概况</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（一）机构构成</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旺苍县乡村振兴局是全额财政拨款的行政单位，内设办公室、项目股、社会扶贫股、对口帮扶股、移民股、政策法规股、督查考核股、县扶贫开发服务中心等。</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（二）基本职能</w:t>
      </w:r>
    </w:p>
    <w:p>
      <w:pPr>
        <w:tabs>
          <w:tab w:val="left" w:pos="225"/>
        </w:tabs>
        <w:spacing w:line="576" w:lineRule="exact"/>
        <w:ind w:firstLine="600"/>
        <w:jc w:val="left"/>
        <w:rPr>
          <w:rFonts w:hint="eastAsia" w:ascii="仿宋_GB2312" w:eastAsia="仿宋_GB2312"/>
          <w:sz w:val="32"/>
          <w:szCs w:val="32"/>
        </w:rPr>
      </w:pPr>
      <w:r>
        <w:rPr>
          <w:rFonts w:hint="eastAsia" w:ascii="仿宋_GB2312" w:eastAsia="仿宋_GB2312"/>
          <w:sz w:val="32"/>
          <w:szCs w:val="32"/>
        </w:rPr>
        <w:t>1.贯彻执行党和国家扶贫开发和水利水电工程移民迁建安置、后期扶持的方针、政策和法律、法规，拟定有关具体政策措施并组织实施。</w:t>
      </w:r>
    </w:p>
    <w:p>
      <w:pPr>
        <w:tabs>
          <w:tab w:val="left" w:pos="225"/>
        </w:tabs>
        <w:spacing w:line="576" w:lineRule="exact"/>
        <w:ind w:firstLine="600"/>
        <w:jc w:val="left"/>
        <w:rPr>
          <w:rFonts w:hint="eastAsia" w:ascii="仿宋_GB2312" w:eastAsia="仿宋_GB2312"/>
          <w:sz w:val="32"/>
          <w:szCs w:val="32"/>
        </w:rPr>
      </w:pPr>
      <w:r>
        <w:rPr>
          <w:rFonts w:hint="eastAsia" w:ascii="仿宋_GB2312" w:eastAsia="仿宋_GB2312"/>
          <w:sz w:val="32"/>
          <w:szCs w:val="32"/>
        </w:rPr>
        <w:t>2.拟定全县扶贫开发中长期规划和年度计划，组织、协调和开展权限产业扶贫、科技扶贫、智力扶贫、特殊类区扶贫开发工作；组织和开展社会扶贫工作，负责联络县外机构或组织在县定点扶贫与扶贫协作工作，组织扶贫开发对外交流与合作及外资外援扶贫项目的引进与实施。</w:t>
      </w:r>
    </w:p>
    <w:p>
      <w:pPr>
        <w:tabs>
          <w:tab w:val="left" w:pos="225"/>
        </w:tabs>
        <w:spacing w:line="576" w:lineRule="exact"/>
        <w:ind w:firstLine="566" w:firstLineChars="177"/>
        <w:jc w:val="left"/>
        <w:rPr>
          <w:rFonts w:hint="eastAsia" w:ascii="仿宋_GB2312" w:eastAsia="仿宋_GB2312"/>
          <w:sz w:val="32"/>
          <w:szCs w:val="32"/>
        </w:rPr>
      </w:pPr>
      <w:r>
        <w:rPr>
          <w:rFonts w:hint="eastAsia" w:ascii="仿宋_GB2312" w:eastAsia="仿宋_GB2312"/>
          <w:sz w:val="32"/>
          <w:szCs w:val="32"/>
        </w:rPr>
        <w:t>3.承担扶贫、移民资金管理责任。</w:t>
      </w:r>
    </w:p>
    <w:p>
      <w:pPr>
        <w:tabs>
          <w:tab w:val="left" w:pos="225"/>
        </w:tabs>
        <w:spacing w:line="576" w:lineRule="exact"/>
        <w:ind w:firstLine="566" w:firstLineChars="177"/>
        <w:jc w:val="left"/>
        <w:rPr>
          <w:rFonts w:hint="eastAsia" w:ascii="仿宋_GB2312" w:eastAsia="仿宋_GB2312"/>
          <w:sz w:val="32"/>
          <w:szCs w:val="32"/>
        </w:rPr>
      </w:pPr>
      <w:r>
        <w:rPr>
          <w:rFonts w:hint="eastAsia" w:ascii="仿宋_GB2312" w:eastAsia="仿宋_GB2312"/>
          <w:sz w:val="32"/>
          <w:szCs w:val="32"/>
        </w:rPr>
        <w:t>4.负责扶贫开发和移民政策研究及信息工作，组织贫困、移民群众生产技能和劳动力转移培训、扶贫移民工作人员培训。</w:t>
      </w:r>
    </w:p>
    <w:p>
      <w:pPr>
        <w:tabs>
          <w:tab w:val="left" w:pos="225"/>
        </w:tabs>
        <w:spacing w:line="576" w:lineRule="exact"/>
        <w:ind w:firstLine="566" w:firstLineChars="177"/>
        <w:jc w:val="left"/>
        <w:rPr>
          <w:rFonts w:hint="eastAsia" w:ascii="仿宋_GB2312" w:eastAsia="仿宋_GB2312"/>
          <w:sz w:val="32"/>
          <w:szCs w:val="32"/>
        </w:rPr>
      </w:pPr>
      <w:r>
        <w:rPr>
          <w:rFonts w:hint="eastAsia" w:ascii="仿宋_GB2312" w:eastAsia="仿宋_GB2312"/>
          <w:sz w:val="32"/>
          <w:szCs w:val="32"/>
        </w:rPr>
        <w:t>5.制定水利水电工程移民工作年度计划，管理和监督权限水利水电工程移民迁建安置实施工作，组织移民安置验收、后期扶持和监督评估。</w:t>
      </w:r>
    </w:p>
    <w:p>
      <w:pPr>
        <w:tabs>
          <w:tab w:val="left" w:pos="225"/>
        </w:tabs>
        <w:spacing w:line="576" w:lineRule="exact"/>
        <w:ind w:firstLine="566" w:firstLineChars="177"/>
        <w:jc w:val="left"/>
        <w:rPr>
          <w:rFonts w:hint="eastAsia" w:ascii="仿宋_GB2312" w:eastAsia="仿宋_GB2312"/>
          <w:sz w:val="32"/>
          <w:szCs w:val="32"/>
        </w:rPr>
      </w:pPr>
      <w:r>
        <w:rPr>
          <w:rFonts w:hint="eastAsia" w:ascii="仿宋_GB2312" w:eastAsia="仿宋_GB2312"/>
          <w:sz w:val="32"/>
          <w:szCs w:val="32"/>
        </w:rPr>
        <w:t>6.拟定对口帮扶方案并组织实施。</w:t>
      </w:r>
    </w:p>
    <w:p>
      <w:pPr>
        <w:tabs>
          <w:tab w:val="left" w:pos="225"/>
        </w:tabs>
        <w:spacing w:line="576" w:lineRule="exact"/>
        <w:ind w:firstLine="566" w:firstLineChars="177"/>
        <w:jc w:val="left"/>
        <w:rPr>
          <w:rFonts w:hint="eastAsia" w:ascii="楷体_GB2312" w:eastAsia="楷体_GB2312"/>
          <w:b/>
          <w:sz w:val="32"/>
          <w:szCs w:val="32"/>
        </w:rPr>
      </w:pPr>
      <w:r>
        <w:rPr>
          <w:rFonts w:hint="eastAsia" w:ascii="仿宋_GB2312" w:eastAsia="仿宋_GB2312"/>
          <w:sz w:val="32"/>
          <w:szCs w:val="32"/>
        </w:rPr>
        <w:t>7.</w:t>
      </w:r>
      <w:r>
        <w:rPr>
          <w:rFonts w:hint="eastAsia" w:ascii="仿宋_GB2312" w:eastAsia="仿宋_GB2312"/>
          <w:spacing w:val="-6"/>
          <w:sz w:val="32"/>
          <w:szCs w:val="32"/>
        </w:rPr>
        <w:t>负责扶贫开发和移民信访接待、处理、管理工作。协调有关社会稳定工作，负责扶贫开发和移民安置、后期扶持政策宣传工作。</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（三）人员结构及相关情况</w:t>
      </w:r>
    </w:p>
    <w:p>
      <w:pPr>
        <w:snapToGrid w:val="0"/>
        <w:spacing w:line="576" w:lineRule="exact"/>
        <w:ind w:firstLine="624" w:firstLineChars="200"/>
        <w:rPr>
          <w:rFonts w:hint="eastAsia" w:ascii="仿宋_GB2312" w:eastAsia="仿宋_GB2312"/>
          <w:sz w:val="32"/>
          <w:szCs w:val="32"/>
        </w:rPr>
      </w:pPr>
      <w:r>
        <w:rPr>
          <w:rFonts w:hint="eastAsia" w:ascii="仿宋_GB2312" w:hAnsi="Arial" w:eastAsia="仿宋_GB2312" w:cs="Arial"/>
          <w:color w:val="000000"/>
          <w:spacing w:val="-4"/>
          <w:kern w:val="0"/>
          <w:sz w:val="32"/>
          <w:szCs w:val="32"/>
        </w:rPr>
        <w:t>2020年县扶贫开发局编制人数31人，财政补助开支年初实有人数27人，年末实有人数28人，2020年末实有退休人员9人。</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二、部门财政资金收支情况</w:t>
      </w:r>
    </w:p>
    <w:p>
      <w:pPr>
        <w:spacing w:line="576" w:lineRule="exact"/>
        <w:ind w:firstLine="643" w:firstLineChars="200"/>
        <w:rPr>
          <w:rFonts w:hint="eastAsia" w:ascii="仿宋_GB2312" w:hAnsi="Arial" w:eastAsia="仿宋_GB2312" w:cs="Arial"/>
          <w:color w:val="000000"/>
          <w:kern w:val="0"/>
          <w:sz w:val="32"/>
          <w:szCs w:val="32"/>
        </w:rPr>
      </w:pPr>
      <w:r>
        <w:rPr>
          <w:rFonts w:hint="eastAsia" w:ascii="楷体_GB2312" w:eastAsia="楷体_GB2312"/>
          <w:b/>
          <w:sz w:val="32"/>
          <w:szCs w:val="32"/>
        </w:rPr>
        <w:t>（一）部门财政资金收入情况。</w:t>
      </w:r>
      <w:r>
        <w:rPr>
          <w:rFonts w:hint="eastAsia" w:ascii="仿宋_GB2312" w:hAnsi="Arial" w:eastAsia="仿宋_GB2312" w:cs="Arial"/>
          <w:color w:val="000000"/>
          <w:kern w:val="0"/>
          <w:sz w:val="32"/>
          <w:szCs w:val="32"/>
        </w:rPr>
        <w:t>2020年度年初预算收入69242066元，年度执行中追加</w:t>
      </w:r>
      <w:r>
        <w:rPr>
          <w:rFonts w:hint="eastAsia" w:ascii="仿宋_GB2312" w:hAnsi="仿宋" w:eastAsia="仿宋_GB2312" w:cs="仿宋"/>
          <w:color w:val="000000"/>
          <w:sz w:val="32"/>
          <w:szCs w:val="32"/>
        </w:rPr>
        <w:t>38875066.31</w:t>
      </w:r>
      <w:r>
        <w:rPr>
          <w:rFonts w:hint="eastAsia" w:ascii="仿宋_GB2312" w:hAnsi="Arial" w:eastAsia="仿宋_GB2312" w:cs="Arial"/>
          <w:color w:val="000000"/>
          <w:kern w:val="0"/>
          <w:sz w:val="32"/>
          <w:szCs w:val="32"/>
        </w:rPr>
        <w:t>元，公共财政预算拨款总收入108117132.31元，较2019年公共财政预算拨款收入102494284.67元，增加了5622847.64元，主要是2020年扶贫专项资金增加10761400元。</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（二）部门财政资金支出情况。</w:t>
      </w:r>
      <w:r>
        <w:rPr>
          <w:rFonts w:hint="eastAsia" w:ascii="仿宋_GB2312" w:hAnsi="仿宋_GB2312" w:eastAsia="仿宋_GB2312" w:cs="仿宋_GB2312"/>
          <w:sz w:val="32"/>
          <w:szCs w:val="32"/>
        </w:rPr>
        <w:t>2020年支出104526446.93元，其中基本支出3864420元，其中人员经费3439183.47元，主要用于人员工资和津贴补贴、奖金的发放，日常公用经费425236.53元，主要用于办公费、公务接待费、水电费、邮电费等费用。项目支出100662026.93元，其中：一般公共服务支出18149元，主要是三支一扶生活补助；社会保障和就业支出208983元，主要是淦元丧葬抚恤金154783元，嘉川、白水、普济、大德、黄洋、麻英等乡镇移民人员的生活补助54200元；一般行政管理事务160000元，主要用于扶贫工作发生的资料印刷费、办公费等支出；农村基础设施建设80699078元，主要用于全县相关乡镇联户路建设；其他扶贫支出18359466.9元，主要用于联户路、雨露计划、扶贫小额信贷贴息、脱贫攻坚普查等支出；彩票公益金支出1216350.03元，主要用于全县相关乡镇村道路、联户路建设。</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三、评价结论和绩效分析</w:t>
      </w:r>
    </w:p>
    <w:p>
      <w:pPr>
        <w:spacing w:line="576" w:lineRule="exact"/>
        <w:ind w:firstLine="643" w:firstLineChars="200"/>
        <w:rPr>
          <w:rFonts w:hint="eastAsia" w:ascii="楷体_GB2312" w:eastAsia="楷体_GB2312"/>
          <w:b/>
          <w:color w:val="0000FF"/>
          <w:sz w:val="32"/>
          <w:szCs w:val="32"/>
        </w:rPr>
      </w:pPr>
      <w:r>
        <w:rPr>
          <w:rFonts w:hint="eastAsia" w:ascii="楷体_GB2312" w:eastAsia="楷体_GB2312"/>
          <w:b/>
          <w:sz w:val="32"/>
          <w:szCs w:val="32"/>
        </w:rPr>
        <w:t>（一）评价结论</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对县乡村振兴局2020年度部门整体支出数据的准确性进行核实，2020年度预算情况、决算情况，资金管理，资金支付，资产管理等相关文件资料和财务凭证的查阅。县乡村振兴局体支出绩效评价结果良好，全年基本支出能保证部门的正常运行和日常工作的正常开展，项目支出保障了重点工作的开展，基本达到预期绩效目标。</w:t>
      </w:r>
    </w:p>
    <w:p>
      <w:pPr>
        <w:numPr>
          <w:ilvl w:val="0"/>
          <w:numId w:val="7"/>
        </w:num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绩效分析</w:t>
      </w:r>
    </w:p>
    <w:p>
      <w:pPr>
        <w:spacing w:line="576" w:lineRule="exact"/>
        <w:ind w:firstLine="643" w:firstLineChars="200"/>
        <w:rPr>
          <w:rFonts w:hint="eastAsia" w:ascii="楷体_GB2312" w:eastAsia="楷体_GB2312"/>
          <w:b/>
          <w:sz w:val="32"/>
          <w:szCs w:val="32"/>
        </w:rPr>
      </w:pPr>
      <w:r>
        <w:rPr>
          <w:rFonts w:hint="eastAsia" w:ascii="仿宋_GB2312" w:eastAsia="仿宋_GB2312"/>
          <w:b/>
          <w:sz w:val="32"/>
          <w:szCs w:val="32"/>
        </w:rPr>
        <w:t>1.部门预算管理情况分析</w:t>
      </w:r>
    </w:p>
    <w:p>
      <w:pPr>
        <w:spacing w:line="576"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（1）目标制定：乡村振兴局绩效目标值设置、指标体系设置基本准确。</w:t>
      </w:r>
    </w:p>
    <w:p>
      <w:pPr>
        <w:spacing w:line="576"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（2）目标完成：乡村振兴局2020年绩效目标实现基本完成。</w:t>
      </w:r>
    </w:p>
    <w:p>
      <w:pPr>
        <w:spacing w:line="576"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（3）编制准确：乡村振兴局2020年年度预算额69242066元，</w:t>
      </w:r>
      <w:r>
        <w:rPr>
          <w:rFonts w:hint="eastAsia" w:ascii="仿宋_GB2312" w:hAnsi="仿宋" w:eastAsia="仿宋_GB2312" w:cs="仿宋"/>
          <w:sz w:val="32"/>
          <w:szCs w:val="32"/>
        </w:rPr>
        <w:t>年初财政拨款结转金额4636763.83元，年末财政拨款结转和结余8574451.68元。</w:t>
      </w:r>
    </w:p>
    <w:p>
      <w:pPr>
        <w:spacing w:line="576"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（4）支出控制：乡村振兴局2020年公用经费支出（含专项支出经费）总数为含当年预算数为72000元，决算数69693元，预算与决算偏差度为0.32%。</w:t>
      </w:r>
    </w:p>
    <w:p>
      <w:pPr>
        <w:spacing w:line="576"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（5）动态监控：乡村振兴局2020年有序开展绩效运行监控。</w:t>
      </w:r>
    </w:p>
    <w:p>
      <w:pPr>
        <w:spacing w:line="576"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（6）预算完成：</w:t>
      </w:r>
      <w:r>
        <w:rPr>
          <w:rFonts w:hint="eastAsia" w:ascii="仿宋_GB2312" w:hAnsi="仿宋" w:eastAsia="仿宋_GB2312" w:cs="仿宋"/>
          <w:sz w:val="32"/>
          <w:szCs w:val="32"/>
        </w:rPr>
        <w:t>2020年财政拨款收入决算总额为</w:t>
      </w:r>
      <w:r>
        <w:rPr>
          <w:rFonts w:hint="eastAsia" w:ascii="仿宋_GB2312" w:hAnsi="Arial" w:eastAsia="仿宋_GB2312" w:cs="Arial"/>
          <w:color w:val="000000"/>
          <w:kern w:val="0"/>
          <w:sz w:val="32"/>
          <w:szCs w:val="32"/>
        </w:rPr>
        <w:t>108117132.31</w:t>
      </w:r>
      <w:r>
        <w:rPr>
          <w:rFonts w:hint="eastAsia" w:ascii="仿宋_GB2312" w:hAnsi="仿宋" w:eastAsia="仿宋_GB2312" w:cs="仿宋"/>
          <w:sz w:val="32"/>
          <w:szCs w:val="32"/>
        </w:rPr>
        <w:t>元，当年支出数</w:t>
      </w:r>
      <w:r>
        <w:rPr>
          <w:rFonts w:hint="eastAsia" w:ascii="仿宋_GB2312" w:hAnsi="仿宋_GB2312" w:eastAsia="仿宋_GB2312" w:cs="仿宋_GB2312"/>
          <w:sz w:val="32"/>
          <w:szCs w:val="32"/>
        </w:rPr>
        <w:t>104526446.93</w:t>
      </w:r>
      <w:r>
        <w:rPr>
          <w:rFonts w:hint="eastAsia" w:ascii="仿宋_GB2312" w:hAnsi="仿宋" w:eastAsia="仿宋_GB2312" w:cs="仿宋"/>
          <w:sz w:val="32"/>
          <w:szCs w:val="32"/>
        </w:rPr>
        <w:t>元，实际支付进度96.68%。</w:t>
      </w:r>
    </w:p>
    <w:p>
      <w:pPr>
        <w:spacing w:line="576"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（7）违规记录：未发现审计监督、财政检查结果反映部门上一年度部门预算管理方面违纪违规的问题。</w:t>
      </w:r>
    </w:p>
    <w:p>
      <w:pPr>
        <w:spacing w:line="576" w:lineRule="exact"/>
        <w:ind w:firstLine="643" w:firstLineChars="200"/>
        <w:rPr>
          <w:rFonts w:hint="eastAsia" w:ascii="仿宋_GB2312" w:eastAsia="仿宋_GB2312"/>
          <w:b/>
          <w:sz w:val="32"/>
          <w:szCs w:val="32"/>
        </w:rPr>
      </w:pPr>
      <w:r>
        <w:rPr>
          <w:rFonts w:hint="eastAsia" w:ascii="仿宋_GB2312" w:eastAsia="仿宋_GB2312"/>
          <w:b/>
          <w:sz w:val="32"/>
          <w:szCs w:val="32"/>
        </w:rPr>
        <w:t>2.专项预算管理情况分析</w:t>
      </w:r>
    </w:p>
    <w:p>
      <w:pPr>
        <w:spacing w:line="576" w:lineRule="exact"/>
        <w:ind w:firstLine="640" w:firstLineChars="200"/>
        <w:rPr>
          <w:rFonts w:hint="eastAsia" w:ascii="仿宋_GB2312" w:eastAsia="仿宋_GB2312"/>
          <w:sz w:val="32"/>
          <w:szCs w:val="32"/>
        </w:rPr>
      </w:pPr>
      <w:r>
        <w:rPr>
          <w:rFonts w:hint="eastAsia" w:ascii="仿宋_GB2312" w:hAnsi="宋体" w:eastAsia="仿宋_GB2312" w:cs="宋体"/>
          <w:kern w:val="0"/>
          <w:sz w:val="32"/>
          <w:szCs w:val="32"/>
        </w:rPr>
        <w:t>2020年，乡村振兴局根据本单位实际，编制</w:t>
      </w:r>
      <w:r>
        <w:rPr>
          <w:rFonts w:hint="eastAsia" w:ascii="仿宋_GB2312" w:eastAsia="仿宋_GB2312"/>
          <w:sz w:val="32"/>
          <w:szCs w:val="32"/>
        </w:rPr>
        <w:t>实施预算项目3个，预算项目完成任务量和效果达到规划预期。</w:t>
      </w:r>
    </w:p>
    <w:p>
      <w:pPr>
        <w:pStyle w:val="8"/>
        <w:spacing w:line="576" w:lineRule="exact"/>
        <w:ind w:firstLine="643" w:firstLineChars="200"/>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联户路项目</w:t>
      </w:r>
      <w:r>
        <w:rPr>
          <w:rFonts w:hint="eastAsia" w:ascii="仿宋_GB2312" w:hAnsi="宋体" w:eastAsia="仿宋_GB2312" w:cs="宋体"/>
          <w:kern w:val="0"/>
          <w:sz w:val="32"/>
          <w:szCs w:val="32"/>
        </w:rPr>
        <w:t>：</w:t>
      </w:r>
      <w:r>
        <w:rPr>
          <w:rFonts w:hint="eastAsia" w:ascii="仿宋_GB2312" w:hAnsi="仿宋_GB2312" w:eastAsia="仿宋_GB2312" w:cs="仿宋_GB2312"/>
          <w:bCs/>
          <w:sz w:val="32"/>
          <w:szCs w:val="32"/>
        </w:rPr>
        <w:t>以项目实施为抓手，瞄准贫困地区、贫困人口，加快推进贫困地区脱贫致富步伐，提升贫困地区自我发展能力。围绕确保完成新阶段年度减贫目标任务和同步建成小康社会的总体目标，加强对贫困户的精准大力扶持，确保其收入增长高于全县平均水平，加快推进贫困村向新农村、小康村转变，贫困户向宽裕户、小康户转变，</w:t>
      </w:r>
      <w:r>
        <w:rPr>
          <w:rFonts w:hint="eastAsia" w:ascii="仿宋_GB2312" w:hAnsi="仿宋_GB2312" w:eastAsia="仿宋_GB2312" w:cs="仿宋_GB2312"/>
          <w:sz w:val="32"/>
          <w:szCs w:val="32"/>
        </w:rPr>
        <w:t>基础条件大改善。</w:t>
      </w:r>
      <w:r>
        <w:rPr>
          <w:rFonts w:hint="eastAsia" w:ascii="仿宋_GB2312" w:hAnsi="仿宋_GB2312" w:eastAsia="仿宋_GB2312" w:cs="仿宋_GB2312"/>
          <w:bCs/>
          <w:sz w:val="32"/>
          <w:szCs w:val="32"/>
        </w:rPr>
        <w:t>项目竣工后，项目区基础设施得到极大改善，在高阳镇虎垭村、柳溪乡荣华村等99个行政村实施联户路项目346.537公里，在麻英乡龙珠村实施通村组硬化道路项目1.36公里，有力改善 2840户农户生产生活条件。该</w:t>
      </w:r>
      <w:r>
        <w:rPr>
          <w:rFonts w:hint="eastAsia" w:ascii="仿宋_GB2312" w:hAnsi="仿宋_GB2312" w:eastAsia="仿宋_GB2312" w:cs="仿宋_GB2312"/>
          <w:bCs/>
          <w:spacing w:val="4"/>
          <w:sz w:val="32"/>
          <w:szCs w:val="32"/>
        </w:rPr>
        <w:t>项目建设内容与当地实际符合，分配科学、及时，无违规记录。</w:t>
      </w:r>
    </w:p>
    <w:p>
      <w:pPr>
        <w:spacing w:line="576" w:lineRule="exact"/>
        <w:ind w:firstLine="643" w:firstLineChars="200"/>
        <w:rPr>
          <w:rFonts w:hint="eastAsia" w:ascii="仿宋_GB2312" w:eastAsia="仿宋_GB2312"/>
          <w:sz w:val="20"/>
          <w:szCs w:val="20"/>
        </w:rPr>
      </w:pPr>
      <w:r>
        <w:rPr>
          <w:rFonts w:hint="eastAsia" w:ascii="仿宋_GB2312" w:hAnsi="宋体" w:eastAsia="仿宋_GB2312" w:cs="宋体"/>
          <w:b/>
          <w:bCs/>
          <w:kern w:val="0"/>
          <w:sz w:val="32"/>
          <w:szCs w:val="32"/>
        </w:rPr>
        <w:t>小额信贷贴息项目</w:t>
      </w:r>
      <w:r>
        <w:rPr>
          <w:rFonts w:hint="eastAsia" w:ascii="仿宋_GB2312" w:hAnsi="宋体" w:eastAsia="仿宋_GB2312" w:cs="宋体"/>
          <w:kern w:val="0"/>
          <w:sz w:val="32"/>
          <w:szCs w:val="32"/>
        </w:rPr>
        <w:t>：</w:t>
      </w:r>
      <w:r>
        <w:rPr>
          <w:rFonts w:hint="eastAsia" w:ascii="仿宋_GB2312" w:eastAsia="仿宋_GB2312"/>
          <w:sz w:val="32"/>
          <w:szCs w:val="32"/>
        </w:rPr>
        <w:t>按照县扶贫开发局和县财政局共同提出资金申请，经县人民政府批复后进行资金拨付。总体规划为完成对2020年建档立卡贫困户和临界贫困户扶贫小额信贷所产生的利息进行贴息。满足建档立卡贫困户贷款、按照每户最高贷款金额不超过5万元进行放款，确保小额信贷还款率高于98%，带动增加贫困户收入0.3万元。该项目实施分配科学、及时。通过扶贫小额信贷，贫困户发展产业增收致富，带动建档立卡贫困户经济收入（总收入）大于0.3万元，直接受益建档立卡贫困户数7348户，符合贷款条件的贫困户按申请程序及时发款，贷款及时发放率100%，严格项目操作管理程序，100%达到贫困户贫困村长期受益的目标。</w:t>
      </w:r>
    </w:p>
    <w:p>
      <w:pPr>
        <w:spacing w:line="576" w:lineRule="exact"/>
        <w:ind w:firstLine="643" w:firstLineChars="200"/>
        <w:rPr>
          <w:rFonts w:hint="eastAsia" w:ascii="仿宋_GB2312" w:eastAsia="仿宋_GB2312"/>
          <w:sz w:val="20"/>
          <w:szCs w:val="20"/>
        </w:rPr>
      </w:pPr>
      <w:r>
        <w:rPr>
          <w:rFonts w:hint="eastAsia" w:ascii="仿宋_GB2312" w:eastAsia="仿宋_GB2312"/>
          <w:b/>
          <w:bCs/>
          <w:sz w:val="32"/>
          <w:szCs w:val="32"/>
        </w:rPr>
        <w:t>雨露计划项目</w:t>
      </w:r>
      <w:r>
        <w:rPr>
          <w:rFonts w:hint="eastAsia" w:ascii="仿宋_GB2312" w:eastAsia="仿宋_GB2312"/>
          <w:sz w:val="32"/>
          <w:szCs w:val="32"/>
        </w:rPr>
        <w:t>：</w:t>
      </w:r>
      <w:r>
        <w:rPr>
          <w:rFonts w:hint="eastAsia" w:ascii="仿宋_GB2312" w:hAnsi="仿宋_GB2312" w:eastAsia="仿宋_GB2312" w:cs="仿宋_GB2312"/>
          <w:bCs/>
          <w:sz w:val="32"/>
          <w:szCs w:val="32"/>
        </w:rPr>
        <w:t>在全县范围内</w:t>
      </w:r>
      <w:r>
        <w:rPr>
          <w:rFonts w:hint="eastAsia" w:ascii="仿宋_GB2312" w:eastAsia="仿宋_GB2312"/>
          <w:sz w:val="32"/>
          <w:szCs w:val="32"/>
        </w:rPr>
        <w:t>落实好农村建档立卡贫困户家庭子女在校接受中等、高等职业教育补助工作，减轻贫困户家庭教育负担，</w:t>
      </w:r>
      <w:r>
        <w:rPr>
          <w:rFonts w:hint="eastAsia" w:ascii="仿宋_GB2312" w:hAnsi="仿宋_GB2312" w:eastAsia="仿宋_GB2312" w:cs="仿宋_GB2312"/>
          <w:spacing w:val="4"/>
          <w:sz w:val="32"/>
          <w:szCs w:val="32"/>
        </w:rPr>
        <w:t>阻断</w:t>
      </w:r>
      <w:r>
        <w:rPr>
          <w:rFonts w:hint="eastAsia" w:ascii="仿宋_GB2312" w:eastAsia="仿宋_GB2312"/>
          <w:sz w:val="32"/>
          <w:szCs w:val="32"/>
        </w:rPr>
        <w:t>“代际贫困”传递。</w:t>
      </w:r>
      <w:r>
        <w:rPr>
          <w:rFonts w:hint="eastAsia" w:ascii="仿宋_GB2312" w:hAnsi="仿宋_GB2312" w:eastAsia="仿宋_GB2312" w:cs="仿宋_GB2312"/>
          <w:bCs/>
          <w:sz w:val="32"/>
          <w:szCs w:val="32"/>
        </w:rPr>
        <w:t>严格以“全国扶贫开发信息系统”中标注的学籍信息为依据，组织乡镇村层层核实（申报），做到应补尽补</w:t>
      </w:r>
      <w:r>
        <w:rPr>
          <w:rFonts w:hint="eastAsia" w:ascii="仿宋_GB2312" w:eastAsia="仿宋_GB2312"/>
          <w:sz w:val="32"/>
          <w:szCs w:val="32"/>
        </w:rPr>
        <w:t>，</w:t>
      </w:r>
      <w:r>
        <w:rPr>
          <w:rFonts w:hint="eastAsia" w:ascii="仿宋_GB2312" w:hAnsi="仿宋_GB2312" w:eastAsia="仿宋_GB2312" w:cs="仿宋_GB2312"/>
          <w:bCs/>
          <w:sz w:val="32"/>
          <w:szCs w:val="32"/>
        </w:rPr>
        <w:t>支持3126人次贫困家庭学生接受中高等职业教育，发放助学补助468.9万元。</w:t>
      </w:r>
      <w:r>
        <w:rPr>
          <w:rFonts w:hint="eastAsia" w:ascii="仿宋_GB2312" w:hAnsi="仿宋_GB2312" w:eastAsia="仿宋_GB2312" w:cs="仿宋_GB2312"/>
          <w:bCs/>
          <w:spacing w:val="4"/>
          <w:sz w:val="32"/>
          <w:szCs w:val="32"/>
        </w:rPr>
        <w:t>本项目建设内容是根据</w:t>
      </w:r>
      <w:r>
        <w:rPr>
          <w:rFonts w:hint="eastAsia" w:ascii="仿宋_GB2312" w:hAnsi="仿宋_GB2312" w:eastAsia="仿宋_GB2312" w:cs="仿宋_GB2312"/>
          <w:bCs/>
          <w:sz w:val="32"/>
          <w:szCs w:val="32"/>
        </w:rPr>
        <w:t>“全国扶贫开发信息系统”中标注的学籍信息为依据，</w:t>
      </w:r>
      <w:r>
        <w:rPr>
          <w:rFonts w:hint="eastAsia" w:ascii="仿宋_GB2312" w:hAnsi="仿宋_GB2312" w:eastAsia="仿宋_GB2312" w:cs="仿宋_GB2312"/>
          <w:bCs/>
          <w:spacing w:val="4"/>
          <w:sz w:val="32"/>
          <w:szCs w:val="32"/>
        </w:rPr>
        <w:t>经乡镇村审核后再经过县级相关业务部门对项目建设内容与当地各种因素综合考虑后实施，项目建设内容与当地实际符合，分配科学、及时，无违规记录。</w:t>
      </w:r>
    </w:p>
    <w:p>
      <w:pPr>
        <w:spacing w:line="576" w:lineRule="exact"/>
        <w:ind w:firstLine="643" w:firstLineChars="200"/>
        <w:rPr>
          <w:rFonts w:hint="eastAsia" w:ascii="仿宋_GB2312" w:eastAsia="仿宋_GB2312"/>
          <w:b/>
          <w:sz w:val="32"/>
          <w:szCs w:val="32"/>
        </w:rPr>
      </w:pPr>
      <w:r>
        <w:rPr>
          <w:rFonts w:hint="eastAsia" w:ascii="仿宋_GB2312" w:eastAsia="仿宋_GB2312"/>
          <w:b/>
          <w:sz w:val="32"/>
          <w:szCs w:val="32"/>
        </w:rPr>
        <w:t>3.绩效结果应用分析</w:t>
      </w:r>
    </w:p>
    <w:p>
      <w:pPr>
        <w:spacing w:line="576" w:lineRule="exact"/>
        <w:ind w:firstLine="631"/>
        <w:rPr>
          <w:rFonts w:ascii="仿宋_GB2312" w:hAnsi="宋体" w:eastAsia="仿宋_GB2312" w:cs="宋体"/>
          <w:kern w:val="0"/>
          <w:sz w:val="32"/>
          <w:szCs w:val="32"/>
        </w:rPr>
      </w:pPr>
      <w:r>
        <w:rPr>
          <w:rFonts w:hint="eastAsia" w:ascii="仿宋_GB2312" w:hAnsi="宋体" w:eastAsia="仿宋_GB2312" w:cs="宋体"/>
          <w:kern w:val="0"/>
          <w:sz w:val="32"/>
          <w:szCs w:val="32"/>
        </w:rPr>
        <w:t>（1）自评质量：乡村振兴局自评得分95分，综合组评价得分93.7分。年初预算数与决算数出现偏差。如年初预算</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三公</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经费72000元，账面支出40693元，决算报表69693元，账表不一致。</w:t>
      </w:r>
    </w:p>
    <w:p>
      <w:pPr>
        <w:spacing w:line="576"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（2）信息公开：完成了2020年绩效目标完成情况和绩效自评报告的公开。</w:t>
      </w:r>
    </w:p>
    <w:p>
      <w:pPr>
        <w:spacing w:line="576" w:lineRule="exact"/>
        <w:ind w:firstLine="640" w:firstLineChars="200"/>
        <w:rPr>
          <w:rFonts w:hint="eastAsia" w:ascii="仿宋_GB2312" w:eastAsia="仿宋_GB2312"/>
          <w:sz w:val="32"/>
          <w:szCs w:val="32"/>
        </w:rPr>
      </w:pPr>
      <w:r>
        <w:rPr>
          <w:rFonts w:hint="eastAsia" w:ascii="仿宋_GB2312" w:hAnsi="宋体" w:eastAsia="仿宋_GB2312" w:cs="宋体"/>
          <w:kern w:val="0"/>
          <w:sz w:val="32"/>
          <w:szCs w:val="32"/>
        </w:rPr>
        <w:t>（3）整改反馈：乡村振兴局根据绩效评价反馈的问题，积极落实，认真整改，及时向县财政局反馈问题整改情况。</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四、存在的主要问题</w:t>
      </w:r>
    </w:p>
    <w:p>
      <w:pPr>
        <w:spacing w:line="576"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1.2020年10月19#凭证，①租车合同乙方为成都四通汽车租赁服务有限公司，报账发票(油票）购买方为成都程驰汽车服务公司（发票见附件）；②租赁时间8.6结束，报账发票时间为8月12日、8月13日。</w:t>
      </w:r>
    </w:p>
    <w:p>
      <w:pPr>
        <w:spacing w:line="576"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2.2020年12月22#等凭证，公务接待费接待清单中无接待标准。</w:t>
      </w:r>
    </w:p>
    <w:p>
      <w:pPr>
        <w:spacing w:line="576"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3.2020年12月64#凭证，部分会议费列支会场租赁费，未报县委县政府审批，不符合旺委办函[2020]20号文件规定。</w:t>
      </w:r>
    </w:p>
    <w:p>
      <w:pPr>
        <w:spacing w:line="576"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4.2020年10月14#凭证，差旅费中，市内（达州市）出租车票入账。</w:t>
      </w:r>
    </w:p>
    <w:p>
      <w:pPr>
        <w:spacing w:line="576"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5.2020年12月62#凭证，长期租用车辆一辆（川H551A8），列支费用23.39万元。</w:t>
      </w:r>
    </w:p>
    <w:p>
      <w:pPr>
        <w:spacing w:line="576"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6.2020年9月27#、10月24#等凭证，代机关事务管理局列支租车等费用，无相关文件依据。</w:t>
      </w:r>
    </w:p>
    <w:p>
      <w:pPr>
        <w:spacing w:line="576" w:lineRule="exact"/>
        <w:ind w:firstLine="640" w:firstLineChars="200"/>
        <w:rPr>
          <w:rFonts w:hint="eastAsia" w:ascii="黑体" w:hAnsi="黑体" w:eastAsia="黑体"/>
          <w:sz w:val="32"/>
          <w:szCs w:val="32"/>
        </w:rPr>
      </w:pPr>
      <w:r>
        <w:rPr>
          <w:rFonts w:hint="eastAsia" w:ascii="仿宋_GB2312" w:hAnsi="宋体" w:eastAsia="仿宋_GB2312" w:cs="宋体"/>
          <w:kern w:val="0"/>
          <w:sz w:val="32"/>
          <w:szCs w:val="32"/>
        </w:rPr>
        <w:t>7.年初预算</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三公</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经费72000元，账面支出40693元，决算报表69693元，账表不一致。</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五、整改措施及建议</w:t>
      </w:r>
    </w:p>
    <w:p>
      <w:pPr>
        <w:spacing w:line="576"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进一步加强财务管理，完善内部管理制度，按照国家相关的规章制度规范财政资金使用，加强公务卡支出力度，规范会计核算，强化支出票据审核力度，完善电脑账务设置，明晰项目支出流向。</w:t>
      </w:r>
    </w:p>
    <w:p>
      <w:pPr>
        <w:spacing w:line="576" w:lineRule="exact"/>
        <w:ind w:firstLine="640" w:firstLineChars="200"/>
        <w:rPr>
          <w:rFonts w:hint="eastAsia" w:ascii="仿宋_GB2312" w:hAnsi="宋体" w:eastAsia="仿宋_GB2312" w:cs="宋体"/>
          <w:kern w:val="0"/>
          <w:sz w:val="32"/>
          <w:szCs w:val="32"/>
        </w:rPr>
      </w:pPr>
    </w:p>
    <w:p>
      <w:pPr>
        <w:spacing w:line="576" w:lineRule="exact"/>
        <w:rPr>
          <w:rFonts w:hint="eastAsia" w:ascii="仿宋_GB2312" w:eastAsia="仿宋_GB2312"/>
          <w:w w:val="95"/>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 xml:space="preserve"> </w:t>
      </w:r>
      <w:r>
        <w:rPr>
          <w:rFonts w:hint="eastAsia" w:ascii="仿宋_GB2312" w:eastAsia="仿宋_GB2312"/>
          <w:w w:val="95"/>
          <w:sz w:val="32"/>
          <w:szCs w:val="32"/>
        </w:rPr>
        <w:t>旺苍县乡村振兴局部门整体支出绩效评价指标体系</w:t>
      </w:r>
    </w:p>
    <w:p>
      <w:pPr>
        <w:spacing w:line="576" w:lineRule="exact"/>
        <w:rPr>
          <w:rFonts w:hint="eastAsia" w:ascii="仿宋_GB2312" w:eastAsia="仿宋_GB2312"/>
          <w:w w:val="95"/>
          <w:sz w:val="32"/>
          <w:szCs w:val="32"/>
        </w:rPr>
      </w:pPr>
    </w:p>
    <w:tbl>
      <w:tblPr>
        <w:tblStyle w:val="12"/>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5"/>
        <w:gridCol w:w="705"/>
        <w:gridCol w:w="705"/>
        <w:gridCol w:w="705"/>
        <w:gridCol w:w="705"/>
        <w:gridCol w:w="1665"/>
        <w:gridCol w:w="3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绩效指标</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指标分值</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指标解释</w:t>
            </w:r>
          </w:p>
        </w:tc>
        <w:tc>
          <w:tcPr>
            <w:tcW w:w="3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3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部门预算管理（60分）</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预算编制（24分）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目标制定</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评价部门绩效目标是否要素完整、细化量化。</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1.绩效目标编制要素完整的，得4分，否则酌情扣分。                                                       2.绩效指标细化量化的，得4分，否则酌情扣分。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目标完成</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评价部门绩效目标实际实现程度与预期目标的偏离度。</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以项目完成数量指标为核心，评价项目实际完成情况是否达到预期绩效目标，指标得分=达到预期绩效目标的部门项目个数/纳入绩效目标管理的部门预算项目个数*8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编制准确</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评价部门年初预算编制是否科学准确。</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指标得分=1-年初预算数（一上）/（财政下达数（一下）+预算调整数）基本支出资金，预决算偏差程度在10%以内的，得5分，偏差在10%-20%之间的，得3分，偏差超过20%的，不得分。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专项资金，预决算偏差程度在10%以内的，得3分。偏差度在10%-20%之间的，得2分，偏差度超过20%的，不得分。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预算执行（20分）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支出控制</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部门公用经费及非定额公用支出控制情况。</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计算部门日常公用经费、项目支出中“办公费、印刷费、水费、电费、物业管理费”等科目年初预算数与决算数偏差程度                                               1.预决算偏差程度在10%以内的，得4分。偏差度在10%-20%之间的，得2分，偏差度超过20%的，不得分。                                           </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2.预决算偏差程度与全县平均水平进行比较，偏差度低于平均水平的，得4分，高于全县平均水平的，按照与平均水平差异扣分。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动态调整</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评价部门开展绩效运行监控后，将绩效监控结果应用到预算调整的情况。</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指标得分=部门绩效监控调整取消额÷(部门绩效监控调整取消额+预算结余注销额）*6                                                                        当部门绩效监控调整取消额与结余注销额之和为零时，得满分。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执行进度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评价部门在6、9、11月的预算执行情况。</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部门预算执行进度在6、9、11月应达到序时进度的80%、90%、90%，即实际支出进度分别达到40%、67.5%、82.5%。                                                     6、9、11月部门预算执行进度达到量化指标的各得2分，未达到目标进度的按其实际进度占目标进度的比重计算得分。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完成结果（16分）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预算完成</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评价部门预算项目年终预算执行情况。</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部门预算项目12月预算执行进度达到100%的，得8分，未达100%的，按照实际进度量化计算得分。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违规记录</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根据审计监督、财政检查结果反映部门上一年度部门预算管理是否合规。</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依据上一年度审计监督、财政检查结果，出现部门预算管理方面违纪违规问题的，每个问题扣0.5分，直至扣完。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专项预算管理（20分）</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项目决策（8分）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程序严密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评价专项项目的设立是否经过严格评估论证、管理制度是否完善健全。</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1.专项项目设立时经过事前绩效评估或可行性论证的，得1.5分，否则不得分。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2.专项资金的管理办法健全完善的，得1.5分，否则酌情扣分，无管理办法的，该指标不得分。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规划合理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评价项目规划是否符合县委、县政府重大决策部署，项目年度绩效目标与规划是否一致。</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1.专项项目（除一次性项目外）制定了中长期规划的，得1分，否则该三级指标整体不得分。                                                           </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2.项目规划符合县委、县政府重大决策部署和宏观政策规划的，得1分。                                                                        3.项目年度绩效目标与专项中长期规划一致的，得1分，有一处不符合的扣0.2分。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结果符合</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评价项目实施结果与项目总体规划计划是否一致。</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际完成任务量和效果达到规划预期情况的，得满分。按项目法分配的项目，以所有项目点实施完成情况与规划计划情况进行对比。按因素法分配的项目和据实据效分配的项目，将资金分配方向与规划计划支持方向进行对比。完全达到预期的得满分。未完全达到规划预期情况的，以达到预期情况的资金量占项目总金额占比计分。指标得分=项目实施实施结果符合规划的金额/项目总金额*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项目实施（4分）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评价项目分配方法选择是否科学，分类评价分配程序和过程管理是否规范。</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1.项目分配选取了科学的绩效分配方法，得1分；                                       2.采用因素分配法的项目，项目因素选取合理的，得1分；采用项目法分配的项目，评分标准和立项程序合理规范的，得1分；据实据效的项目，基础数据真实，测算精准的，得1分。否则，酌情扣分。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分配及时</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评价部门是否按规定时限及时分配专项预算资金。                    </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按《预算法》规定时限完成分配的考核得2分，否则不得分。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完成结果（8分）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预算完成</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评价专项项目资金拨付到具体项目（人）的情况。</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专项资金实际拨付到具体项目（人）的进度达到100%的，得3分，未达到100%的，指标得分=实际拨付金额/专项项目金额*3。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实施绩效</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评价专项项目实施绩效情况。                      </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专项项目属于当年财政重点评价范围的，该项得分使用项目支出评价共性指标、特性指标和个性指标得分换算，满分6分。若部门专项项目不属于当年重点评价范围的，采用最近年度重点评价相关指标得分换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违规记录</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根据审计监督、财政检查结果反映部门上一年度部门专项预算管理是否合规。</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依据上一年度审计、财政检查结果，出现专项预算管理方面违纪违规问题的，每个问题扣0.2分，直至扣完。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绩效结果应用（20分）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自评质量（4分）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自评准确</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评价部门整体支出自评准确率。</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部门整体支出自评得分与评价组抽查得分差异在5%以内的，不扣分；在5%-10%之间的，扣1分，在10%-20%的，扣2分，在20%以上的，扣4分。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信息公开（8分）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目标公开</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评价部门绩效目标是否按要求向社会公开。</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按要求随同预算公开的，得4分。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自评公开</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评价部门是否按要求将部门整体绩效自评情况和自行组织的评价情况向社会公开。</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按要求随同决算公开的，得4分。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整改反馈（8分）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结果整改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评价部门根据绩效管理结果整改问题、完善政策、改进管理的情况。</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针对绩效管理过程中（包括绩效目标核查、绩效监控核查和重点绩效评价）提出的问题，发现一处未整改的，扣1分，直至扣完。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应用反馈</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评价部门按要求及时向财政部门反馈结果应用情况。</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部门在规定时间内向财政部门反馈、报送相应绩效自评报告、应用结果、整改报告的，得满分；未按时报送一次扣1分，扣完为止。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总分合计</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93.7</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bl>
    <w:p>
      <w:pPr>
        <w:spacing w:line="576" w:lineRule="exact"/>
        <w:rPr>
          <w:rFonts w:hint="eastAsia" w:ascii="仿宋_GB2312" w:eastAsia="仿宋_GB2312"/>
          <w:w w:val="95"/>
          <w:sz w:val="32"/>
          <w:szCs w:val="32"/>
        </w:rPr>
      </w:pPr>
    </w:p>
    <w:p>
      <w:pPr>
        <w:spacing w:line="560" w:lineRule="exact"/>
        <w:ind w:firstLine="640" w:firstLineChars="200"/>
        <w:rPr>
          <w:rFonts w:hint="eastAsia" w:ascii="仿宋_GB2312" w:hAnsi="宋体" w:eastAsia="仿宋_GB2312" w:cs="宋体"/>
          <w:kern w:val="0"/>
          <w:sz w:val="32"/>
          <w:szCs w:val="32"/>
        </w:rPr>
      </w:pPr>
    </w:p>
    <w:p>
      <w:pPr>
        <w:spacing w:line="560" w:lineRule="exact"/>
        <w:ind w:firstLine="640" w:firstLineChars="200"/>
        <w:rPr>
          <w:rFonts w:hint="eastAsia" w:ascii="仿宋_GB2312" w:eastAsia="仿宋_GB2312"/>
          <w:sz w:val="32"/>
          <w:szCs w:val="32"/>
        </w:rPr>
      </w:pPr>
    </w:p>
    <w:p>
      <w:pPr>
        <w:rPr>
          <w:rFonts w:hint="eastAsia"/>
          <w:lang w:val="en-US" w:eastAsia="zh-CN"/>
        </w:rPr>
      </w:pPr>
      <w:r>
        <w:rPr>
          <w:rFonts w:hint="eastAsia"/>
          <w:lang w:val="en-US" w:eastAsia="zh-CN"/>
        </w:rPr>
        <w:br w:type="page"/>
      </w:r>
    </w:p>
    <w:p>
      <w:pPr>
        <w:pStyle w:val="2"/>
        <w:rPr>
          <w:rFonts w:hint="eastAsia"/>
          <w:lang w:val="en-US" w:eastAsia="zh-CN"/>
        </w:rPr>
      </w:pP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Helvetica Neue">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both"/>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- 25 -</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j4Ph2rgEAAE0D&#10;AAAOAAAAAAAAAAEAIAAAAB4BAABkcnMvZTJvRG9jLnhtbFBLBQYAAAAABgAGAFkBAAA+BQAAAAA=&#10;">
              <v:fill on="f" focussize="0,0"/>
              <v:stroke on="f"/>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- 25 -</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ascii="Times New Roman" w:hAnsi="Times New Roman" w:eastAsia="宋体" w:cs="Times New Roman"/>
                              <w:kern w:val="2"/>
                              <w:sz w:val="18"/>
                              <w:szCs w:val="18"/>
                              <w:lang w:val="en-US" w:eastAsia="zh-CN" w:bidi="ar-SA"/>
                            </w:rPr>
                          </w:pP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PAGE  \* MERGEFORMAT </w:instrText>
                          </w:r>
                          <w:r>
                            <w:rPr>
                              <w:rFonts w:hint="eastAsia" w:ascii="仿宋" w:hAnsi="仿宋" w:eastAsia="仿宋" w:cs="仿宋"/>
                              <w:kern w:val="2"/>
                              <w:sz w:val="24"/>
                              <w:szCs w:val="24"/>
                              <w:lang w:val="en-US" w:eastAsia="zh-CN" w:bidi="ar-SA"/>
                            </w:rPr>
                            <w:fldChar w:fldCharType="separate"/>
                          </w:r>
                          <w:r>
                            <w:rPr>
                              <w:rFonts w:ascii="仿宋" w:hAnsi="仿宋" w:eastAsia="仿宋" w:cs="仿宋"/>
                              <w:kern w:val="2"/>
                              <w:sz w:val="24"/>
                              <w:szCs w:val="24"/>
                              <w:lang w:val="en-US" w:eastAsia="zh-CN" w:bidi="ar-SA"/>
                            </w:rPr>
                            <w:t>- 2 -</w:t>
                          </w:r>
                          <w:r>
                            <w:rPr>
                              <w:rFonts w:hint="eastAsia" w:ascii="仿宋" w:hAnsi="仿宋" w:eastAsia="仿宋" w:cs="仿宋"/>
                              <w:kern w:val="2"/>
                              <w:sz w:val="24"/>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IuDPaetAQAATQMA&#10;AA4AAAAAAAAAAQAgAAAAHgEAAGRycy9lMm9Eb2MueG1sUEsFBgAAAAAGAAYAWQEAAD0FAAAAAA==&#10;">
              <v:fill on="f" focussize="0,0"/>
              <v:stroke on="f"/>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18"/>
                        <w:lang w:val="en-US" w:eastAsia="zh-CN" w:bidi="ar-SA"/>
                      </w:rPr>
                    </w:pP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PAGE  \* MERGEFORMAT </w:instrText>
                    </w:r>
                    <w:r>
                      <w:rPr>
                        <w:rFonts w:hint="eastAsia" w:ascii="仿宋" w:hAnsi="仿宋" w:eastAsia="仿宋" w:cs="仿宋"/>
                        <w:kern w:val="2"/>
                        <w:sz w:val="24"/>
                        <w:szCs w:val="24"/>
                        <w:lang w:val="en-US" w:eastAsia="zh-CN" w:bidi="ar-SA"/>
                      </w:rPr>
                      <w:fldChar w:fldCharType="separate"/>
                    </w:r>
                    <w:r>
                      <w:rPr>
                        <w:rFonts w:ascii="仿宋" w:hAnsi="仿宋" w:eastAsia="仿宋" w:cs="仿宋"/>
                        <w:kern w:val="2"/>
                        <w:sz w:val="24"/>
                        <w:szCs w:val="24"/>
                        <w:lang w:val="en-US" w:eastAsia="zh-CN" w:bidi="ar-SA"/>
                      </w:rPr>
                      <w:t>- 2 -</w:t>
                    </w:r>
                    <w:r>
                      <w:rPr>
                        <w:rFonts w:hint="eastAsia" w:ascii="仿宋" w:hAnsi="仿宋" w:eastAsia="仿宋" w:cs="仿宋"/>
                        <w:kern w:val="2"/>
                        <w:sz w:val="24"/>
                        <w:szCs w:val="24"/>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7D8A1"/>
    <w:multiLevelType w:val="singleLevel"/>
    <w:tmpl w:val="81A7D8A1"/>
    <w:lvl w:ilvl="0" w:tentative="0">
      <w:start w:val="3"/>
      <w:numFmt w:val="chineseCounting"/>
      <w:suff w:val="nothing"/>
      <w:lvlText w:val="（%1）"/>
      <w:lvlJc w:val="left"/>
      <w:rPr>
        <w:rFonts w:hint="eastAsia"/>
      </w:rPr>
    </w:lvl>
  </w:abstractNum>
  <w:abstractNum w:abstractNumId="1">
    <w:nsid w:val="BB9BBE93"/>
    <w:multiLevelType w:val="singleLevel"/>
    <w:tmpl w:val="BB9BBE93"/>
    <w:lvl w:ilvl="0" w:tentative="0">
      <w:start w:val="1"/>
      <w:numFmt w:val="decimal"/>
      <w:suff w:val="nothing"/>
      <w:lvlText w:val="（%1）"/>
      <w:lvlJc w:val="left"/>
      <w:pPr>
        <w:ind w:left="-10"/>
      </w:pPr>
    </w:lvl>
  </w:abstractNum>
  <w:abstractNum w:abstractNumId="2">
    <w:nsid w:val="E8C61018"/>
    <w:multiLevelType w:val="singleLevel"/>
    <w:tmpl w:val="E8C61018"/>
    <w:lvl w:ilvl="0" w:tentative="0">
      <w:start w:val="2"/>
      <w:numFmt w:val="decimal"/>
      <w:suff w:val="nothing"/>
      <w:lvlText w:val="（%1）"/>
      <w:lvlJc w:val="left"/>
    </w:lvl>
  </w:abstractNum>
  <w:abstractNum w:abstractNumId="3">
    <w:nsid w:val="F9122413"/>
    <w:multiLevelType w:val="singleLevel"/>
    <w:tmpl w:val="F9122413"/>
    <w:lvl w:ilvl="0" w:tentative="0">
      <w:start w:val="3"/>
      <w:numFmt w:val="decimal"/>
      <w:suff w:val="nothing"/>
      <w:lvlText w:val="（%1）"/>
      <w:lvlJc w:val="left"/>
    </w:lvl>
  </w:abstractNum>
  <w:abstractNum w:abstractNumId="4">
    <w:nsid w:val="FDE1B886"/>
    <w:multiLevelType w:val="singleLevel"/>
    <w:tmpl w:val="FDE1B886"/>
    <w:lvl w:ilvl="0" w:tentative="0">
      <w:start w:val="1"/>
      <w:numFmt w:val="decimal"/>
      <w:lvlText w:val="%1."/>
      <w:lvlJc w:val="left"/>
      <w:pPr>
        <w:tabs>
          <w:tab w:val="left" w:pos="312"/>
        </w:tabs>
      </w:pPr>
    </w:lvl>
  </w:abstractNum>
  <w:abstractNum w:abstractNumId="5">
    <w:nsid w:val="61018F83"/>
    <w:multiLevelType w:val="singleLevel"/>
    <w:tmpl w:val="61018F83"/>
    <w:lvl w:ilvl="0" w:tentative="0">
      <w:start w:val="2"/>
      <w:numFmt w:val="chineseCounting"/>
      <w:suff w:val="nothing"/>
      <w:lvlText w:val="（%1）"/>
      <w:lvlJc w:val="left"/>
      <w:rPr>
        <w:rFonts w:hint="eastAsia"/>
      </w:rPr>
    </w:lvl>
  </w:abstractNum>
  <w:abstractNum w:abstractNumId="6">
    <w:nsid w:val="6150414D"/>
    <w:multiLevelType w:val="singleLevel"/>
    <w:tmpl w:val="6150414D"/>
    <w:lvl w:ilvl="0" w:tentative="0">
      <w:start w:val="2"/>
      <w:numFmt w:val="chineseCounting"/>
      <w:suff w:val="nothing"/>
      <w:lvlText w:val="（%1）"/>
      <w:lvlJc w:val="left"/>
    </w:lvl>
  </w:abstractNum>
  <w:num w:numId="1">
    <w:abstractNumId w:val="4"/>
  </w:num>
  <w:num w:numId="2">
    <w:abstractNumId w:val="3"/>
  </w:num>
  <w:num w:numId="3">
    <w:abstractNumId w:val="2"/>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OTcwMDI3ZGEwNDA0ODM2NDIwYWFiYzRjODMwODcifQ=="/>
  </w:docVars>
  <w:rsids>
    <w:rsidRoot w:val="08FE4208"/>
    <w:rsid w:val="08FE4208"/>
    <w:rsid w:val="14FD3DD7"/>
    <w:rsid w:val="29B21166"/>
    <w:rsid w:val="32C1058F"/>
    <w:rsid w:val="376C7352"/>
    <w:rsid w:val="442B3504"/>
    <w:rsid w:val="46680A0A"/>
    <w:rsid w:val="48774296"/>
    <w:rsid w:val="7098738D"/>
    <w:rsid w:val="7E3E79BA"/>
    <w:rsid w:val="7ED179EC"/>
    <w:rsid w:val="FF9FE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9"/>
    <w:pPr>
      <w:keepNext/>
      <w:keepLines/>
      <w:widowControl w:val="0"/>
      <w:spacing w:before="340" w:after="330" w:line="578" w:lineRule="auto"/>
      <w:ind w:left="300" w:leftChars="300"/>
      <w:jc w:val="both"/>
      <w:outlineLvl w:val="0"/>
    </w:pPr>
    <w:rPr>
      <w:rFonts w:ascii="Calibri" w:hAnsi="Calibri" w:eastAsia="仿宋_GB2312" w:cs="Times New Roman"/>
      <w:b/>
      <w:bCs/>
      <w:kern w:val="44"/>
      <w:sz w:val="32"/>
      <w:szCs w:val="44"/>
      <w:lang w:val="en-US" w:eastAsia="zh-CN" w:bidi="ar-SA"/>
    </w:rPr>
  </w:style>
  <w:style w:type="paragraph" w:styleId="5">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next w:val="1"/>
    <w:qFormat/>
    <w:uiPriority w:val="9"/>
    <w:pPr>
      <w:keepNext/>
      <w:keepLines/>
      <w:widowControl w:val="0"/>
      <w:spacing w:before="260" w:beforeLines="0" w:beforeAutospacing="0" w:after="260" w:afterLines="0" w:afterAutospacing="0" w:line="413" w:lineRule="auto"/>
      <w:jc w:val="both"/>
      <w:outlineLvl w:val="2"/>
    </w:pPr>
    <w:rPr>
      <w:rFonts w:ascii="Times New Roman" w:hAnsi="Times New Roman" w:eastAsia="宋体" w:cs="Times New Roman"/>
      <w:b/>
      <w:kern w:val="2"/>
      <w:sz w:val="32"/>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Lines="30"/>
    </w:pPr>
    <w:rPr>
      <w:rFonts w:ascii="仿宋_GB2312" w:eastAsia="仿宋_GB2312"/>
      <w:kern w:val="0"/>
      <w:sz w:val="30"/>
    </w:rPr>
  </w:style>
  <w:style w:type="paragraph" w:styleId="3">
    <w:name w:val="Body Text First Indent"/>
    <w:basedOn w:val="2"/>
    <w:unhideWhenUsed/>
    <w:qFormat/>
    <w:uiPriority w:val="99"/>
    <w:pPr>
      <w:widowControl w:val="0"/>
      <w:spacing w:after="120" w:afterLines="0"/>
      <w:ind w:firstLine="420" w:firstLineChars="100"/>
      <w:jc w:val="both"/>
    </w:pPr>
    <w:rPr>
      <w:rFonts w:hint="eastAsia" w:ascii="Times New Roman" w:hAnsi="Times New Roman" w:eastAsia="宋体" w:cs="Times New Roman"/>
      <w:kern w:val="2"/>
      <w:sz w:val="30"/>
      <w:szCs w:val="24"/>
      <w:lang w:val="en-US" w:eastAsia="zh-CN" w:bidi="ar-SA"/>
    </w:rPr>
  </w:style>
  <w:style w:type="paragraph" w:styleId="7">
    <w:name w:val="HTML Address"/>
    <w:basedOn w:val="1"/>
    <w:qFormat/>
    <w:uiPriority w:val="0"/>
    <w:rPr>
      <w:i/>
      <w:iCs/>
      <w:szCs w:val="21"/>
    </w:rPr>
  </w:style>
  <w:style w:type="paragraph" w:styleId="8">
    <w:name w:val="Plain Text"/>
    <w:basedOn w:val="1"/>
    <w:qFormat/>
    <w:uiPriority w:val="0"/>
    <w:rPr>
      <w:rFonts w:ascii="宋体" w:hAnsi="Courier New" w:eastAsia="宋体" w:cs="Courier New"/>
      <w:sz w:val="21"/>
      <w:szCs w:val="21"/>
    </w:r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customStyle="1" w:styleId="16">
    <w:name w:val="章标题"/>
    <w:basedOn w:val="1"/>
    <w:next w:val="17"/>
    <w:qFormat/>
    <w:uiPriority w:val="0"/>
    <w:pPr>
      <w:widowControl/>
      <w:spacing w:before="158" w:beforeLines="0" w:after="153" w:afterLines="0" w:line="323" w:lineRule="atLeast"/>
      <w:ind w:right="-120"/>
      <w:jc w:val="center"/>
      <w:textAlignment w:val="baseline"/>
    </w:pPr>
    <w:rPr>
      <w:rFonts w:ascii="Times New Roman" w:hAnsi="Times New Roman"/>
      <w:color w:val="FF0000"/>
      <w:sz w:val="18"/>
      <w:szCs w:val="24"/>
    </w:rPr>
  </w:style>
  <w:style w:type="paragraph" w:customStyle="1" w:styleId="17">
    <w:name w:val="节标题"/>
    <w:basedOn w:val="1"/>
    <w:next w:val="1"/>
    <w:qFormat/>
    <w:uiPriority w:val="0"/>
    <w:pPr>
      <w:widowControl/>
      <w:spacing w:line="289" w:lineRule="atLeast"/>
      <w:jc w:val="center"/>
      <w:textAlignment w:val="baseline"/>
    </w:pPr>
    <w:rPr>
      <w:rFonts w:ascii="Times New Roman" w:hAnsi="Times New Roman"/>
      <w:color w:val="000000"/>
      <w:sz w:val="28"/>
      <w:szCs w:val="24"/>
    </w:rPr>
  </w:style>
  <w:style w:type="paragraph" w:customStyle="1" w:styleId="18">
    <w:name w:val="默认"/>
    <w:basedOn w:val="1"/>
    <w:next w:val="1"/>
    <w:qFormat/>
    <w:uiPriority w:val="0"/>
    <w:pPr>
      <w:widowControl/>
      <w:jc w:val="left"/>
    </w:pPr>
    <w:rPr>
      <w:rFonts w:ascii="Helvetica Neue" w:hAnsi="Helvetica Neue" w:eastAsia="Arial Unicode MS" w:cs="Arial Unicode MS"/>
      <w:color w:val="000000"/>
      <w:kern w:val="0"/>
      <w:sz w:val="22"/>
    </w:rPr>
  </w:style>
  <w:style w:type="paragraph" w:customStyle="1" w:styleId="19">
    <w:name w:val="闻政图表名"/>
    <w:basedOn w:val="1"/>
    <w:qFormat/>
    <w:uiPriority w:val="4"/>
    <w:pPr>
      <w:spacing w:before="60" w:after="60"/>
      <w:jc w:val="center"/>
    </w:pPr>
    <w:rPr>
      <w:rFonts w:eastAsia="仿宋_GB2312"/>
      <w:b/>
      <w:kern w:val="0"/>
      <w:sz w:val="24"/>
      <w:szCs w:val="28"/>
    </w:rPr>
  </w:style>
  <w:style w:type="paragraph" w:customStyle="1" w:styleId="20">
    <w:name w:val="闻政表文字"/>
    <w:basedOn w:val="21"/>
    <w:qFormat/>
    <w:uiPriority w:val="5"/>
    <w:pPr>
      <w:widowControl/>
      <w:spacing w:line="320" w:lineRule="exact"/>
      <w:jc w:val="center"/>
    </w:pPr>
    <w:rPr>
      <w:rFonts w:eastAsia="仿宋_GB2312" w:cs="宋体"/>
      <w:bCs/>
      <w:color w:val="000000"/>
      <w:kern w:val="0"/>
      <w:sz w:val="22"/>
      <w:szCs w:val="22"/>
      <w:lang w:val="zh-CN"/>
    </w:rPr>
  </w:style>
  <w:style w:type="paragraph" w:customStyle="1" w:styleId="21">
    <w:name w:val="闻政正文"/>
    <w:basedOn w:val="1"/>
    <w:qFormat/>
    <w:uiPriority w:val="0"/>
    <w:pPr>
      <w:spacing w:line="500" w:lineRule="exact"/>
      <w:ind w:firstLine="560" w:firstLineChars="200"/>
    </w:pPr>
    <w:rPr>
      <w:rFonts w:eastAsia="仿宋_GB2312"/>
      <w:kern w:val="0"/>
      <w:sz w:val="28"/>
      <w:szCs w:val="28"/>
      <w:lang w:val="zh-CN"/>
    </w:rPr>
  </w:style>
  <w:style w:type="paragraph" w:customStyle="1" w:styleId="22">
    <w:name w:val="汇政正文"/>
    <w:basedOn w:val="1"/>
    <w:qFormat/>
    <w:uiPriority w:val="3"/>
    <w:pPr>
      <w:spacing w:line="600" w:lineRule="exact"/>
      <w:ind w:firstLine="640" w:firstLineChars="200"/>
    </w:pPr>
    <w:rPr>
      <w:rFonts w:eastAsia="仿宋_GB2312"/>
      <w:kern w:val="0"/>
      <w:sz w:val="32"/>
      <w:szCs w:val="32"/>
      <w:lang w:val="zh-CN"/>
    </w:rPr>
  </w:style>
  <w:style w:type="table" w:customStyle="1" w:styleId="23">
    <w:name w:val="网格型浅色1"/>
    <w:basedOn w:val="12"/>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24">
    <w:name w:val="font41"/>
    <w:basedOn w:val="14"/>
    <w:qFormat/>
    <w:uiPriority w:val="0"/>
    <w:rPr>
      <w:rFonts w:hint="default" w:ascii="Arial" w:hAnsi="Arial" w:cs="Arial"/>
      <w:color w:val="000000"/>
      <w:sz w:val="20"/>
      <w:szCs w:val="20"/>
      <w:u w:val="none"/>
    </w:rPr>
  </w:style>
  <w:style w:type="character" w:customStyle="1" w:styleId="25">
    <w:name w:val="font11"/>
    <w:basedOn w:val="14"/>
    <w:qFormat/>
    <w:uiPriority w:val="0"/>
    <w:rPr>
      <w:rFonts w:hint="eastAsia" w:ascii="宋体" w:hAnsi="宋体" w:eastAsia="宋体" w:cs="宋体"/>
      <w:color w:val="000000"/>
      <w:sz w:val="20"/>
      <w:szCs w:val="20"/>
      <w:u w:val="none"/>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23.xml"/><Relationship Id="rId36" Type="http://schemas.openxmlformats.org/officeDocument/2006/relationships/header" Target="header12.xml"/><Relationship Id="rId35" Type="http://schemas.openxmlformats.org/officeDocument/2006/relationships/footer" Target="footer22.xml"/><Relationship Id="rId34" Type="http://schemas.openxmlformats.org/officeDocument/2006/relationships/footer" Target="footer21.xml"/><Relationship Id="rId33" Type="http://schemas.openxmlformats.org/officeDocument/2006/relationships/header" Target="header11.xml"/><Relationship Id="rId32" Type="http://schemas.openxmlformats.org/officeDocument/2006/relationships/footer" Target="footer20.xml"/><Relationship Id="rId31" Type="http://schemas.openxmlformats.org/officeDocument/2006/relationships/footer" Target="footer19.xml"/><Relationship Id="rId30" Type="http://schemas.openxmlformats.org/officeDocument/2006/relationships/header" Target="header10.xml"/><Relationship Id="rId3" Type="http://schemas.openxmlformats.org/officeDocument/2006/relationships/header" Target="header1.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header" Target="header9.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211</Pages>
  <Words>84709</Words>
  <Characters>94003</Characters>
  <Lines>0</Lines>
  <Paragraphs>0</Paragraphs>
  <TotalTime>0</TotalTime>
  <ScaleCrop>false</ScaleCrop>
  <LinksUpToDate>false</LinksUpToDate>
  <CharactersWithSpaces>97599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2021-12-09T16:17:00Z</dcterms:created>
  <dc:creator>DELL</dc:creator>
  <cp:lastModifiedBy>Q</cp:lastModifiedBy>
  <dcterms:modified xsi:type="dcterms:W3CDTF">2025-01-07T06:42:41Z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1B8CB264F9894920AD05B973965D543D</vt:lpwstr>
  </property>
</Properties>
</file>