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ind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t>旺苍县国有林场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ind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t>2022年部门预算及绩效目标情况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ind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  <w:t>说  明</w:t>
      </w: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highlight w:val="none"/>
          <w:lang w:val="en-US" w:eastAsia="zh-CN"/>
        </w:rPr>
      </w:pPr>
    </w:p>
    <w:sdt>
      <w:sdtPr>
        <w:rPr>
          <w:rFonts w:hint="eastAsia" w:ascii="仿宋_GB2312" w:hAnsi="仿宋_GB2312" w:eastAsia="仿宋_GB2312" w:cs="仿宋_GB2312"/>
          <w:b/>
          <w:bCs/>
          <w:kern w:val="2"/>
          <w:sz w:val="44"/>
          <w:szCs w:val="44"/>
          <w:highlight w:val="none"/>
          <w:lang w:val="en-US" w:eastAsia="zh-CN" w:bidi="ar-SA"/>
        </w:rPr>
        <w:id w:val="147462166"/>
        <w15:color w:val="DBDBDB"/>
        <w:docPartObj>
          <w:docPartGallery w:val="Table of Contents"/>
          <w:docPartUnique/>
        </w:docPartObj>
      </w:sdtPr>
      <w:sdtEndPr>
        <w:rPr>
          <w:rFonts w:hint="eastAsia" w:asciiTheme="minorHAnsi" w:hAnsiTheme="minorHAnsi" w:eastAsiaTheme="minorEastAsia" w:cstheme="minorBidi"/>
          <w:b/>
          <w:bCs/>
          <w:kern w:val="2"/>
          <w:sz w:val="21"/>
          <w:szCs w:val="22"/>
          <w:highlight w:val="none"/>
          <w:lang w:val="en-US" w:eastAsia="zh-CN" w:bidi="ar-SA"/>
        </w:rPr>
      </w:sdtEndPr>
      <w:sdtContent>
        <w:p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before="0" w:beforeLines="0" w:after="0" w:afterLines="0" w:line="550" w:lineRule="exact"/>
            <w:ind w:left="0" w:leftChars="0" w:right="0" w:rightChars="0" w:firstLine="0" w:firstLineChars="0"/>
            <w:jc w:val="center"/>
            <w:textAlignment w:val="auto"/>
            <w:rPr>
              <w:rFonts w:hint="eastAsia" w:ascii="仿宋_GB2312" w:hAnsi="仿宋_GB2312" w:eastAsia="仿宋_GB2312" w:cs="仿宋_GB2312"/>
              <w:b/>
              <w:bCs/>
              <w:sz w:val="44"/>
              <w:szCs w:val="44"/>
              <w:highlight w:val="none"/>
            </w:rPr>
          </w:pPr>
          <w:r>
            <w:rPr>
              <w:rFonts w:hint="eastAsia" w:ascii="仿宋_GB2312" w:hAnsi="仿宋_GB2312" w:eastAsia="仿宋_GB2312" w:cs="仿宋_GB2312"/>
              <w:b/>
              <w:bCs/>
              <w:sz w:val="44"/>
              <w:szCs w:val="44"/>
              <w:highlight w:val="none"/>
            </w:rPr>
            <w:t>目录</w:t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TOC \o "1-3" \h \u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_Toc12603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一、基本情况、职能和主要工作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_Toc12603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3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_Toc13497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二、收支预算情况说明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_Toc13497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3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HYPERLINK \l _Toc250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（一）收入预算情况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instrText xml:space="preserve"> PAGEREF _Toc250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t>4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HYPERLINK \l _Toc7356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（二）支出预算情况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instrText xml:space="preserve"> PAGEREF _Toc7356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t>4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_Toc31194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三、财政拨款收支预算情况说明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_Toc31194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4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_Toc31618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四、一般公共预算当年拨款情况说明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_Toc31618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4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HYPERLINK \l _Toc27892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（一）一般公共预算当年拨款规模变化情况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PAGEREF _Toc27892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4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HYPERLINK \l _Toc12557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（二）一般公共预算当年拨款结构情况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PAGEREF _Toc12557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4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HYPERLINK \l _Toc26727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（三）一般公共预算当年拨款具体使用情况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PAGEREF _Toc26727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4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_Toc4250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五、一般公共预算基本支出情况说明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_Toc4250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5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_Toc25003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六、“三公”经费财政拨款预算安排情况说明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_Toc25003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5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_Toc13357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七、政府性基金预算支出情况说明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_Toc13357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5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_Toc17271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八、国有资本经营预算支出情况说明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_Toc17271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5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_Toc14679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九、其他重要事项的情况说明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_Toc14679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5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HYPERLINK \l _Toc1001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（一）机关运行经费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PAGEREF _Toc1001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HYPERLINK \l _Toc6475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（二）政府采购情况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PAGEREF _Toc6475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</w:pP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HYPERLINK \l _Toc19662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（三）国有资产占有使用情况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PAGEREF _Toc19662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6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HYPERLINK \l _Toc7806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（四）绩效评价及绩效目标设置情况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ab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instrText xml:space="preserve"> PAGEREF _Toc7806 \h </w:instrTex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t>5</w:t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28"/>
              <w:szCs w:val="28"/>
              <w:highlight w:val="none"/>
              <w:lang w:val="en-US" w:eastAsia="zh-CN"/>
            </w:rPr>
            <w:fldChar w:fldCharType="end"/>
          </w:r>
        </w:p>
        <w:p>
          <w:pPr>
            <w:pStyle w:val="5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instrText xml:space="preserve"> HYPERLINK \l _Toc20278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kern w:val="0"/>
              <w:sz w:val="30"/>
              <w:szCs w:val="30"/>
              <w:highlight w:val="none"/>
            </w:rPr>
            <w:t>十、专用名词解释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ab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begin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instrText xml:space="preserve"> PAGEREF _Toc20278 \h </w:instrTex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separate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t>6</w:t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  <w:p>
          <w:pPr>
            <w:keepNext w:val="0"/>
            <w:keepLines w:val="0"/>
            <w:pageBreakBefore w:val="0"/>
            <w:widowControl w:val="0"/>
            <w:kinsoku/>
            <w:wordWrap/>
            <w:overflowPunct/>
            <w:topLinePunct w:val="0"/>
            <w:autoSpaceDE/>
            <w:autoSpaceDN/>
            <w:bidi w:val="0"/>
            <w:adjustRightInd/>
            <w:snapToGrid/>
            <w:spacing w:line="550" w:lineRule="exact"/>
            <w:textAlignment w:val="auto"/>
            <w:rPr>
              <w:rFonts w:hint="eastAsia"/>
              <w:highlight w:val="none"/>
              <w:lang w:val="en-US" w:eastAsia="zh-CN"/>
            </w:rPr>
          </w:pPr>
          <w:r>
            <w:rPr>
              <w:rFonts w:hint="eastAsia" w:ascii="仿宋_GB2312" w:hAnsi="仿宋_GB2312" w:eastAsia="仿宋_GB2312" w:cs="仿宋_GB2312"/>
              <w:sz w:val="30"/>
              <w:szCs w:val="30"/>
              <w:highlight w:val="none"/>
              <w:lang w:val="en-US" w:eastAsia="zh-CN"/>
            </w:rPr>
            <w:fldChar w:fldCharType="end"/>
          </w:r>
        </w:p>
      </w:sdtContent>
    </w:sdt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outlineLvl w:val="0"/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0" w:name="_Toc12603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一、基本情况、职能</w:t>
      </w:r>
      <w:r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和主要工作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（一）基本情况：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旺苍县国有林场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属一类事业单位，直属旺苍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县林业局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，为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二级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财政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预算单位，内设办公室、业务室、财务室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；下设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马家坪工区、老君山工区、光头山工区、老林坪工区。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eastAsia="zh-CN"/>
        </w:rPr>
        <w:t>编制机构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核定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eastAsia="zh-CN"/>
        </w:rPr>
        <w:t>我场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事业编制数39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eastAsia="zh-CN"/>
        </w:rPr>
        <w:t>个。单位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实有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eastAsia="zh-CN"/>
        </w:rPr>
        <w:t>人员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52人，其中，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eastAsia="zh-CN"/>
        </w:rPr>
        <w:t>有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事业编制人员35名，未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eastAsia="zh-CN"/>
        </w:rPr>
        <w:t>进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事业编制人员17人。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eastAsia="zh-CN"/>
        </w:rPr>
        <w:t>退休人员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val="en-US" w:eastAsia="zh-CN"/>
        </w:rPr>
        <w:t xml:space="preserve"> 44 人。有事业编制人员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经费形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式为收支统管，全额保障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  <w:highlight w:val="none"/>
        </w:rPr>
        <w:t>。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未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eastAsia="zh-CN"/>
        </w:rPr>
        <w:t>进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事业编制人员经费由天保资金解决，不足部分县财政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eastAsia="zh-CN"/>
        </w:rPr>
        <w:t>承担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。固定资产总额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  <w:lang w:val="en-US" w:eastAsia="zh-CN"/>
        </w:rPr>
        <w:t xml:space="preserve"> 1218.13 </w:t>
      </w:r>
      <w:r>
        <w:rPr>
          <w:rFonts w:hint="eastAsia" w:ascii="仿宋" w:hAnsi="仿宋" w:eastAsia="仿宋" w:cs="仿宋"/>
          <w:bCs/>
          <w:kern w:val="0"/>
          <w:sz w:val="32"/>
          <w:szCs w:val="32"/>
          <w:highlight w:val="none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（二）职能职责和主要工作：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b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1.贯彻执行国家有关林业方针、政策和法律、法规，扩大森林资源，提高森林质量，充分发挥国有林地生产潜力，提高生态、社会和经济效益。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2.制定林场中长期发展规划和年度发展计划并组织实施。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3.负责管护区域内的森林资源保护和培育、种植资源收集和保存、生物多样性和野生动植物保护、林业有害生物防治、森林防火和火灾扑救等工作。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4.承担上级主管部门交办的其他工作任务。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" w:name="_Toc13497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二、收支预算情况说明</w:t>
      </w:r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按照综合预算的原则，所有收入和支出均纳入部门预算管理。2022年收支总预算4322869元，比2021年收支预算总数增加872373元，主要原因为人员增加和公用经费增加。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1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bookmarkStart w:id="2" w:name="_Toc250"/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（一）收入预算情况</w:t>
      </w:r>
      <w:bookmarkEnd w:id="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2022年收入预算4322869元，其中：一般公共预算拨款收入4322869，占100%；政府性基金预算拨款收入0元，占0%；国有资本经营预算拨款收入0元，占0%。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outlineLvl w:val="1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bookmarkStart w:id="3" w:name="_Toc7356"/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（二）支出预算情况</w:t>
      </w:r>
      <w:bookmarkEnd w:id="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2022年支出预算4322869元，其中：基本支出4322869元，占100%；项目支出0元，占0%。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4" w:name="_Toc31194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三、财政</w:t>
      </w:r>
      <w:r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拨款</w:t>
      </w:r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收支预算情况说明</w:t>
      </w:r>
      <w:bookmarkEnd w:id="4"/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2022年财政拨款收支总预算4322869元，比2021年收支预算总数增加872373元，主要原因人员增加和公用经费。</w:t>
      </w:r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收入包括：本年一般公共预算拨款收入4322869元、政府性基金预算拨款收入0元，国有资本经营预算拨款收入0。支出包括：一般公共服务支出0元。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5" w:name="_Toc31618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四、一般公共预算当年拨款情况说明</w:t>
      </w:r>
      <w:bookmarkEnd w:id="5"/>
    </w:p>
    <w:p>
      <w:pPr>
        <w:spacing w:line="550" w:lineRule="exact"/>
        <w:ind w:firstLine="960" w:firstLineChars="300"/>
        <w:outlineLvl w:val="1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bookmarkStart w:id="6" w:name="_Toc27892"/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（一）一般公共预算当年拨款规模变化情况</w:t>
      </w:r>
      <w:bookmarkEnd w:id="6"/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2022年一般公共预算当年拨款4322869元，比2021年收支预算总数增加872373元，变动的主要原因是人员增加和公用经费增加。</w:t>
      </w:r>
    </w:p>
    <w:p>
      <w:pPr>
        <w:spacing w:line="550" w:lineRule="exact"/>
        <w:ind w:firstLine="960" w:firstLineChars="300"/>
        <w:outlineLvl w:val="1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bookmarkStart w:id="7" w:name="_Toc12557"/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（二）一般公共预算当年拨款结构情况</w:t>
      </w:r>
      <w:bookmarkEnd w:id="7"/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一般公共服务支出0元，占0%；公共安全支出0元，占0%；教育支出0元，占0%。</w:t>
      </w:r>
    </w:p>
    <w:p>
      <w:pPr>
        <w:spacing w:line="550" w:lineRule="exact"/>
        <w:ind w:firstLine="960" w:firstLineChars="300"/>
        <w:outlineLvl w:val="1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bookmarkStart w:id="8" w:name="_Toc26727"/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（三）一般公共预算当年拨款具体使用情况</w:t>
      </w:r>
      <w:bookmarkEnd w:id="8"/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1.一般公共服务（类）人大事务（款）行政运行（项）2022年预算数为0元。</w:t>
      </w:r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2.一般公共服务（类）人大事务（款）一般行政管理事务（项目）2022年预算数为0元。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9" w:name="_Toc4250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五、一般公共预算基本支出情况说明</w:t>
      </w:r>
      <w:bookmarkEnd w:id="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2022年一般公共预算基本支出4322869元，其中：人员经费3854474元，主要包括：基本工资、津贴补贴、奖金、社会保险缴费等支出。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公用经费468395元，主要包括：办公费、印刷费、水费、电费、邮电费、差旅费、维修（护）费、物业管理费、劳务费等支出。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0" w:name="_Toc25003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六、“三公”经费财政拨款预算安排情况说明</w:t>
      </w:r>
      <w:bookmarkEnd w:id="10"/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2022年财政拨款安排“三公”经费预算70000.00元。为公务用车运行维护费。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1" w:name="_Toc13357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七、政府性基金预算支出情况说明</w:t>
      </w:r>
      <w:bookmarkEnd w:id="11"/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2022年政府性基金预算拨款安排的支出0元。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2" w:name="_Toc17271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八、国有资本经营预算支出情况说明</w:t>
      </w:r>
      <w:bookmarkEnd w:id="12"/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2022年国有资本经营预算拨款安排的支出0元。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3" w:name="_Toc14679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九、其他重要事项的情况说明</w:t>
      </w:r>
      <w:bookmarkEnd w:id="13"/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150"/>
        <w:textAlignment w:val="auto"/>
        <w:outlineLvl w:val="1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bookmarkStart w:id="14" w:name="_Toc1001"/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（一）机关运行经费</w:t>
      </w:r>
      <w:bookmarkEnd w:id="14"/>
    </w:p>
    <w:p>
      <w:pPr>
        <w:spacing w:line="550" w:lineRule="exact"/>
        <w:ind w:firstLine="960" w:firstLineChars="300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2022年，机关运行经费财政拨款预算为0元。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150"/>
        <w:textAlignment w:val="auto"/>
        <w:outlineLvl w:val="1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bookmarkStart w:id="15" w:name="_Toc6475"/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（二）政府采购情况</w:t>
      </w:r>
      <w:bookmarkEnd w:id="15"/>
    </w:p>
    <w:p>
      <w:pPr>
        <w:spacing w:line="550" w:lineRule="exact"/>
        <w:ind w:firstLine="960" w:firstLineChars="300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2022年，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安排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政府采购预算0元。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150"/>
        <w:textAlignment w:val="auto"/>
        <w:outlineLvl w:val="1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bookmarkStart w:id="16" w:name="_Toc19662"/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（三）国有资产占有使用情况</w:t>
      </w:r>
      <w:bookmarkEnd w:id="1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截至2021年底，我单位有一般公务用车、执法执勤用车。2022年部门预算未安排购置车辆。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150"/>
        <w:textAlignment w:val="auto"/>
        <w:outlineLvl w:val="1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  <w:bookmarkStart w:id="17" w:name="_Toc7806"/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（四）绩效评价</w:t>
      </w:r>
      <w:r>
        <w:rPr>
          <w:rFonts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及绩效</w:t>
      </w:r>
      <w:r>
        <w:rPr>
          <w:rFonts w:hint="eastAsia" w:ascii="仿宋_GB2312" w:hAnsi="微软雅黑" w:eastAsia="仿宋_GB2312" w:cs="宋体"/>
          <w:b/>
          <w:bCs/>
          <w:color w:val="333333"/>
          <w:kern w:val="0"/>
          <w:sz w:val="32"/>
          <w:szCs w:val="32"/>
          <w:highlight w:val="none"/>
        </w:rPr>
        <w:t>目标设置情况</w:t>
      </w:r>
      <w:bookmarkEnd w:id="17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按《旺苍县财政支出绩效评价管理办法》规定，我单位编制了部门整体支出绩效目标。我单位将牢牢树立绩效管理理念、强化主体意识、落实工作责任，切实将绩效评价作为改进工作管理、提升工作水平、提高资金效益的有力措施。在开展评价工作中，积极提供资料、主动配合工作，共同推进绩效评价有序开展、取得实效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0"/>
        <w:rPr>
          <w:rFonts w:ascii="黑体" w:hAnsi="黑体" w:eastAsia="黑体" w:cs="宋体"/>
          <w:b/>
          <w:color w:val="333333"/>
          <w:kern w:val="0"/>
          <w:sz w:val="32"/>
          <w:szCs w:val="32"/>
          <w:highlight w:val="none"/>
        </w:rPr>
      </w:pPr>
      <w:bookmarkStart w:id="18" w:name="_Toc20278"/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highlight w:val="none"/>
        </w:rPr>
        <w:t>十、专用名词解释</w:t>
      </w:r>
      <w:bookmarkEnd w:id="1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1、一般公共预算拨款收入。指财政当年拨付的资金。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2、基本支出：指为保障机构正常运转、完成日常工作任务而发生的人员支出和公用支出。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3、“三公”经费：是指用财政拨款安排的因公出国（境）费、公务用车购置及运行费和公务接待费。其中，因公出国（境）费反映单位公务出国（境）的住宿费、旅费、伙食补助费、杂费、培训费等支出；公务用车购置及运行费反映单位公务用车购置费及租用费、燃料费、维修费、过路过桥费、保险费、安全奖励费用等支出；公务接待费反映单位按规定开支的各类公务接待（含外宾接待）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4、绩效评价：财政绩效评价也称政府支出绩效评价，是指运用一定的评价方法、量化指标及评价标准，对政府部门为实现其职能所确定的绩效目标的实现程度</w:t>
      </w:r>
      <w:bookmarkStart w:id="19" w:name="_GoBack"/>
      <w:bookmarkEnd w:id="19"/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以及为实现这一目标所安排预算的执行结果进行的综合性评价。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5、机关运行经费。为保障行政单位（包括参照公务员法管理的事业单位）运行用于购买货物和服务的各项资金。包括办公及印刷费、邮电费、差旅费、福利费、日常维修费、办公用房水电费、办公用房物业管理费、公务用车运行维护费以及其他费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6、社会保障和就业（类）行政事业单位离退休（款）机关事业单位基本养老保险缴费支出（项）。指部门实施养老保险制度后，由单位缴纳的养老保险费的支出。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7、卫生健康（类）行政事业单位医疗（款）事业单位医疗（项）。指事业单位用于缴纳单位基本医疗保险支出。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8、住房保障（类）住房改革支出（款）住房公积金（项）。指按照《住房公积金管理条例》的规定，由单位及其在职职工缴存的长期住房储金。</w:t>
      </w:r>
    </w:p>
    <w:p>
      <w:pPr>
        <w:widowControl/>
        <w:shd w:val="clear" w:color="auto" w:fill="FFFFFF"/>
        <w:spacing w:line="560" w:lineRule="exact"/>
        <w:ind w:firstLine="640" w:firstLineChars="200"/>
        <w:rPr>
          <w:rFonts w:ascii="仿宋_GB2312" w:hAnsi="微软雅黑" w:eastAsia="仿宋_GB2312" w:cs="宋体"/>
          <w:color w:val="333333"/>
          <w:kern w:val="0"/>
          <w:sz w:val="32"/>
          <w:szCs w:val="32"/>
          <w:highlight w:val="none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052072620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6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M2MDcyMzMzMTA3NzhlNjRhNTlkYzNjMzgyZmIwZDkifQ=="/>
  </w:docVars>
  <w:rsids>
    <w:rsidRoot w:val="00BB5391"/>
    <w:rsid w:val="00052F1C"/>
    <w:rsid w:val="000B785C"/>
    <w:rsid w:val="00161957"/>
    <w:rsid w:val="002422E0"/>
    <w:rsid w:val="002A63AB"/>
    <w:rsid w:val="00461C1F"/>
    <w:rsid w:val="004678FA"/>
    <w:rsid w:val="00475D25"/>
    <w:rsid w:val="004A08FD"/>
    <w:rsid w:val="004E3253"/>
    <w:rsid w:val="005423BA"/>
    <w:rsid w:val="00612517"/>
    <w:rsid w:val="00672132"/>
    <w:rsid w:val="006C2636"/>
    <w:rsid w:val="00765CD1"/>
    <w:rsid w:val="007778B7"/>
    <w:rsid w:val="007F34CF"/>
    <w:rsid w:val="00A372A6"/>
    <w:rsid w:val="00AF7787"/>
    <w:rsid w:val="00B179AD"/>
    <w:rsid w:val="00B603FB"/>
    <w:rsid w:val="00BB5391"/>
    <w:rsid w:val="00BB579F"/>
    <w:rsid w:val="00BF4C33"/>
    <w:rsid w:val="00C74BA3"/>
    <w:rsid w:val="00D37AFA"/>
    <w:rsid w:val="00D60952"/>
    <w:rsid w:val="00D8617D"/>
    <w:rsid w:val="00DA746F"/>
    <w:rsid w:val="00FA15EA"/>
    <w:rsid w:val="031B3528"/>
    <w:rsid w:val="03F164B8"/>
    <w:rsid w:val="05DE36F7"/>
    <w:rsid w:val="08A116EA"/>
    <w:rsid w:val="095C5DB5"/>
    <w:rsid w:val="0FB32D84"/>
    <w:rsid w:val="12B02AC5"/>
    <w:rsid w:val="12E53E60"/>
    <w:rsid w:val="13F8323F"/>
    <w:rsid w:val="18775797"/>
    <w:rsid w:val="1DCF1963"/>
    <w:rsid w:val="1F2E743E"/>
    <w:rsid w:val="255B4D05"/>
    <w:rsid w:val="274F505D"/>
    <w:rsid w:val="2D4666C6"/>
    <w:rsid w:val="35635C3C"/>
    <w:rsid w:val="36B67FED"/>
    <w:rsid w:val="3D2D6B2F"/>
    <w:rsid w:val="3DB05381"/>
    <w:rsid w:val="42750D5C"/>
    <w:rsid w:val="434D0E60"/>
    <w:rsid w:val="469D2F78"/>
    <w:rsid w:val="4D756FEB"/>
    <w:rsid w:val="4ED05ADA"/>
    <w:rsid w:val="4F607F88"/>
    <w:rsid w:val="50597BD2"/>
    <w:rsid w:val="52C5188C"/>
    <w:rsid w:val="55620380"/>
    <w:rsid w:val="58B96D92"/>
    <w:rsid w:val="5AEE2D41"/>
    <w:rsid w:val="5D055F58"/>
    <w:rsid w:val="5DD76917"/>
    <w:rsid w:val="5F5057A2"/>
    <w:rsid w:val="60DF73D4"/>
    <w:rsid w:val="62AB53B5"/>
    <w:rsid w:val="637C43DB"/>
    <w:rsid w:val="6A0C7949"/>
    <w:rsid w:val="6D0F39D8"/>
    <w:rsid w:val="6DBE71AC"/>
    <w:rsid w:val="7839316D"/>
    <w:rsid w:val="7E4D4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qFormat="1"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2"/>
    <w:next w:val="1"/>
    <w:qFormat/>
    <w:uiPriority w:val="39"/>
    <w:pPr>
      <w:keepNext/>
      <w:keepLines/>
      <w:spacing w:before="480" w:beforeAutospacing="0" w:after="0" w:afterAutospacing="0" w:line="276" w:lineRule="auto"/>
      <w:jc w:val="both"/>
      <w:outlineLvl w:val="9"/>
    </w:pPr>
    <w:rPr>
      <w:rFonts w:ascii="仿宋" w:hAnsi="仿宋" w:eastAsia="仿宋" w:cs="Times New Roman"/>
      <w:color w:val="000000"/>
      <w:kern w:val="0"/>
      <w:sz w:val="32"/>
      <w:szCs w:val="32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oc 1"/>
    <w:basedOn w:val="1"/>
    <w:next w:val="1"/>
    <w:semiHidden/>
    <w:unhideWhenUsed/>
    <w:qFormat/>
    <w:uiPriority w:val="39"/>
  </w:style>
  <w:style w:type="paragraph" w:styleId="6">
    <w:name w:val="toc 2"/>
    <w:basedOn w:val="1"/>
    <w:next w:val="1"/>
    <w:semiHidden/>
    <w:unhideWhenUsed/>
    <w:qFormat/>
    <w:uiPriority w:val="39"/>
    <w:pPr>
      <w:ind w:left="420" w:leftChars="200"/>
    </w:p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Strong"/>
    <w:basedOn w:val="9"/>
    <w:qFormat/>
    <w:uiPriority w:val="22"/>
    <w:rPr>
      <w:b/>
      <w:bCs/>
    </w:rPr>
  </w:style>
  <w:style w:type="character" w:customStyle="1" w:styleId="11">
    <w:name w:val="页眉 字符"/>
    <w:basedOn w:val="9"/>
    <w:link w:val="4"/>
    <w:qFormat/>
    <w:uiPriority w:val="99"/>
    <w:rPr>
      <w:sz w:val="18"/>
      <w:szCs w:val="18"/>
    </w:rPr>
  </w:style>
  <w:style w:type="character" w:customStyle="1" w:styleId="12">
    <w:name w:val="页脚 字符"/>
    <w:basedOn w:val="9"/>
    <w:link w:val="3"/>
    <w:qFormat/>
    <w:uiPriority w:val="99"/>
    <w:rPr>
      <w:sz w:val="18"/>
      <w:szCs w:val="18"/>
    </w:rPr>
  </w:style>
  <w:style w:type="paragraph" w:customStyle="1" w:styleId="13">
    <w:name w:val="WPSOffice手动目录 1"/>
    <w:uiPriority w:val="0"/>
    <w:pPr>
      <w:ind w:leftChars="0"/>
    </w:pPr>
    <w:rPr>
      <w:rFonts w:ascii="Times New Roman" w:hAnsi="Times New Roman" w:eastAsia="宋体" w:cs="Times New Roman"/>
      <w:sz w:val="20"/>
      <w:szCs w:val="20"/>
    </w:rPr>
  </w:style>
  <w:style w:type="paragraph" w:customStyle="1" w:styleId="14">
    <w:name w:val="WPSOffice手动目录 2"/>
    <w:qFormat/>
    <w:uiPriority w:val="0"/>
    <w:pPr>
      <w:ind w:leftChars="200"/>
    </w:pPr>
    <w:rPr>
      <w:rFonts w:ascii="Times New Roman" w:hAnsi="Times New Roman" w:eastAsia="宋体" w:cs="Times New Roman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3A22A4-97C1-489E-87A1-AA4B3A5E723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7</Pages>
  <Words>2558</Words>
  <Characters>2733</Characters>
  <Lines>19</Lines>
  <Paragraphs>5</Paragraphs>
  <TotalTime>0</TotalTime>
  <ScaleCrop>false</ScaleCrop>
  <LinksUpToDate>false</LinksUpToDate>
  <CharactersWithSpaces>3865</CharactersWithSpaces>
  <Application>WPS Office_11.8.6.11825_F1E327BC-269C-435d-A152-05C5408002CA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2018-02-02T00:59:00Z</dcterms:created>
  <dc:creator>HP</dc:creator>
  <cp:lastModifiedBy>向红桔</cp:lastModifiedBy>
  <dcterms:modified xsi:type="dcterms:W3CDTF">2025-01-07T04:23:00Z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1C1DE300CC2B46A1B6D52B67F58E0F4A</vt:lpwstr>
  </property>
</Properties>
</file>