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1.xml" ContentType="application/vnd.ms-office.chartstyle+xml"/>
  <Override PartName="/word/charts/style2.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960"/>
        <w:jc w:val="center"/>
        <w:rPr>
          <w:rFonts w:ascii="华文新魏" w:eastAsia="华文新魏"/>
          <w:sz w:val="48"/>
          <w:szCs w:val="48"/>
        </w:rPr>
      </w:pPr>
    </w:p>
    <w:p>
      <w:pPr>
        <w:ind w:firstLine="960"/>
        <w:jc w:val="center"/>
        <w:rPr>
          <w:rFonts w:ascii="华文新魏" w:eastAsia="华文新魏"/>
          <w:sz w:val="48"/>
          <w:szCs w:val="48"/>
        </w:rPr>
      </w:pPr>
    </w:p>
    <w:p>
      <w:pPr>
        <w:pStyle w:val="23"/>
      </w:pPr>
      <w:bookmarkStart w:id="0" w:name="_Toc86049136"/>
      <w:bookmarkStart w:id="1" w:name="_Toc83545994"/>
      <w:bookmarkStart w:id="2" w:name="_Toc80719360"/>
      <w:bookmarkStart w:id="3" w:name="_Toc77323625"/>
      <w:bookmarkStart w:id="4" w:name="_Toc77322988"/>
      <w:r>
        <w:rPr>
          <w:rFonts w:hint="eastAsia"/>
        </w:rPr>
        <w:t>四川省旺苍县盐井河</w:t>
      </w:r>
      <w:bookmarkEnd w:id="0"/>
      <w:bookmarkEnd w:id="1"/>
    </w:p>
    <w:p>
      <w:pPr>
        <w:pStyle w:val="23"/>
      </w:pPr>
      <w:bookmarkStart w:id="5" w:name="_Toc86049137"/>
      <w:r>
        <w:rPr>
          <w:rFonts w:hint="eastAsia"/>
        </w:rPr>
        <w:t>健康评价报告</w:t>
      </w:r>
      <w:bookmarkEnd w:id="2"/>
      <w:bookmarkEnd w:id="3"/>
      <w:bookmarkEnd w:id="4"/>
      <w:bookmarkEnd w:id="5"/>
    </w:p>
    <w:p>
      <w:pPr>
        <w:ind w:firstLine="602"/>
        <w:jc w:val="center"/>
        <w:rPr>
          <w:rFonts w:ascii="楷体" w:hAnsi="楷体" w:eastAsia="楷体"/>
          <w:b/>
          <w:sz w:val="30"/>
          <w:szCs w:val="30"/>
        </w:rPr>
      </w:pPr>
      <w:r>
        <w:rPr>
          <w:rFonts w:hint="eastAsia" w:ascii="楷体" w:hAnsi="楷体" w:eastAsia="楷体"/>
          <w:b/>
          <w:sz w:val="30"/>
          <w:szCs w:val="30"/>
        </w:rPr>
        <w:t>（审定稿）</w:t>
      </w:r>
    </w:p>
    <w:p>
      <w:pPr>
        <w:ind w:firstLine="960"/>
        <w:jc w:val="center"/>
        <w:rPr>
          <w:rFonts w:ascii="华文新魏" w:eastAsia="华文新魏"/>
          <w:sz w:val="48"/>
          <w:szCs w:val="48"/>
        </w:rPr>
      </w:pPr>
    </w:p>
    <w:p>
      <w:pPr>
        <w:ind w:firstLine="960"/>
        <w:jc w:val="center"/>
        <w:rPr>
          <w:rFonts w:ascii="华文新魏" w:eastAsia="华文新魏"/>
          <w:sz w:val="48"/>
          <w:szCs w:val="48"/>
        </w:rPr>
      </w:pPr>
    </w:p>
    <w:p>
      <w:pPr>
        <w:ind w:firstLine="960"/>
        <w:jc w:val="center"/>
        <w:rPr>
          <w:rFonts w:ascii="华文新魏" w:eastAsia="华文新魏"/>
          <w:sz w:val="48"/>
          <w:szCs w:val="48"/>
        </w:rPr>
      </w:pPr>
    </w:p>
    <w:p>
      <w:pPr>
        <w:ind w:firstLine="960"/>
        <w:jc w:val="center"/>
        <w:rPr>
          <w:rFonts w:ascii="华文新魏" w:eastAsia="华文新魏"/>
          <w:sz w:val="48"/>
          <w:szCs w:val="48"/>
        </w:rPr>
      </w:pPr>
    </w:p>
    <w:p>
      <w:pPr>
        <w:ind w:firstLine="960"/>
        <w:jc w:val="center"/>
        <w:rPr>
          <w:rFonts w:ascii="华文新魏" w:eastAsia="华文新魏"/>
          <w:sz w:val="48"/>
          <w:szCs w:val="48"/>
        </w:rPr>
      </w:pPr>
    </w:p>
    <w:p>
      <w:pPr>
        <w:ind w:firstLine="0" w:firstLineChars="0"/>
        <w:rPr>
          <w:rFonts w:ascii="华文新魏" w:eastAsia="华文新魏"/>
          <w:sz w:val="48"/>
          <w:szCs w:val="48"/>
        </w:rPr>
      </w:pPr>
    </w:p>
    <w:p>
      <w:pPr>
        <w:ind w:firstLine="1960" w:firstLineChars="700"/>
        <w:rPr>
          <w:rFonts w:ascii="华文新魏" w:eastAsia="华文新魏"/>
          <w:sz w:val="28"/>
          <w:szCs w:val="28"/>
        </w:rPr>
      </w:pPr>
      <w:r>
        <w:rPr>
          <w:rFonts w:hint="eastAsia" w:ascii="华文新魏" w:eastAsia="华文新魏"/>
          <w:sz w:val="28"/>
          <w:szCs w:val="28"/>
        </w:rPr>
        <w:t>组织单位：旺苍县河长制办公室</w:t>
      </w:r>
    </w:p>
    <w:p>
      <w:pPr>
        <w:ind w:firstLine="1878" w:firstLineChars="671"/>
        <w:rPr>
          <w:rFonts w:ascii="华文新魏" w:eastAsia="华文新魏"/>
          <w:sz w:val="28"/>
          <w:szCs w:val="28"/>
        </w:rPr>
      </w:pPr>
      <w:r>
        <w:rPr>
          <w:rFonts w:hint="eastAsia" w:ascii="华文新魏" w:eastAsia="华文新魏"/>
          <w:sz w:val="28"/>
          <w:szCs w:val="28"/>
        </w:rPr>
        <w:t>联络员单位：旺苍县财政局</w:t>
      </w:r>
    </w:p>
    <w:p>
      <w:pPr>
        <w:ind w:firstLine="0" w:firstLineChars="0"/>
        <w:jc w:val="center"/>
        <w:rPr>
          <w:rFonts w:ascii="华文新魏" w:eastAsia="华文新魏"/>
          <w:sz w:val="28"/>
          <w:szCs w:val="28"/>
        </w:rPr>
      </w:pPr>
      <w:r>
        <w:rPr>
          <w:rFonts w:hint="eastAsia" w:ascii="华文新魏" w:eastAsia="华文新魏"/>
          <w:sz w:val="28"/>
          <w:szCs w:val="28"/>
        </w:rPr>
        <w:t xml:space="preserve"> </w:t>
      </w:r>
      <w:r>
        <w:rPr>
          <w:rFonts w:ascii="华文新魏" w:eastAsia="华文新魏"/>
          <w:sz w:val="28"/>
          <w:szCs w:val="28"/>
        </w:rPr>
        <w:t xml:space="preserve">     </w:t>
      </w:r>
      <w:r>
        <w:rPr>
          <w:rFonts w:hint="eastAsia" w:ascii="华文新魏" w:eastAsia="华文新魏"/>
          <w:sz w:val="28"/>
          <w:szCs w:val="28"/>
        </w:rPr>
        <w:t>编制单位：中达建诚工程管理集团有限公司</w:t>
      </w:r>
    </w:p>
    <w:p>
      <w:pPr>
        <w:ind w:firstLine="560"/>
        <w:jc w:val="center"/>
        <w:rPr>
          <w:rFonts w:ascii="华文新魏" w:eastAsia="华文新魏"/>
          <w:sz w:val="28"/>
          <w:szCs w:val="28"/>
        </w:rPr>
      </w:pPr>
      <w:r>
        <w:rPr>
          <w:rFonts w:hint="eastAsia" w:ascii="华文新魏" w:eastAsia="华文新魏"/>
          <w:sz w:val="28"/>
          <w:szCs w:val="28"/>
        </w:rPr>
        <w:t>二o二一年十月</w:t>
      </w:r>
    </w:p>
    <w:p>
      <w:pPr>
        <w:ind w:firstLine="560"/>
        <w:jc w:val="center"/>
        <w:rPr>
          <w:rFonts w:ascii="华文新魏" w:eastAsia="华文新魏"/>
          <w:sz w:val="28"/>
          <w:szCs w:val="28"/>
        </w:rPr>
      </w:pPr>
    </w:p>
    <w:p>
      <w:pPr>
        <w:ind w:firstLine="0" w:firstLineChars="0"/>
        <w:jc w:val="center"/>
        <w:rPr>
          <w:rFonts w:ascii="华文新魏" w:eastAsia="华文新魏"/>
          <w:sz w:val="28"/>
          <w:szCs w:val="28"/>
        </w:rPr>
      </w:pPr>
      <w:r>
        <w:rPr>
          <w:rFonts w:eastAsia="仿宋_GB2312"/>
        </w:rPr>
        <w:drawing>
          <wp:inline distT="0" distB="0" distL="114300" distR="114300">
            <wp:extent cx="6835775" cy="5162550"/>
            <wp:effectExtent l="0" t="1587" r="1587" b="1588"/>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pic:cNvPicPr>
                  </pic:nvPicPr>
                  <pic:blipFill>
                    <a:blip r:embed="rId13"/>
                    <a:stretch>
                      <a:fillRect/>
                    </a:stretch>
                  </pic:blipFill>
                  <pic:spPr>
                    <a:xfrm rot="16200000">
                      <a:off x="0" y="0"/>
                      <a:ext cx="6867442" cy="5186224"/>
                    </a:xfrm>
                    <a:prstGeom prst="rect">
                      <a:avLst/>
                    </a:prstGeom>
                    <a:noFill/>
                    <a:ln>
                      <a:noFill/>
                    </a:ln>
                  </pic:spPr>
                </pic:pic>
              </a:graphicData>
            </a:graphic>
          </wp:inline>
        </w:drawing>
      </w:r>
    </w:p>
    <w:p>
      <w:pPr>
        <w:ind w:firstLine="0" w:firstLineChars="0"/>
        <w:jc w:val="center"/>
        <w:rPr>
          <w:rFonts w:ascii="华文新魏" w:eastAsia="华文新魏"/>
          <w:sz w:val="28"/>
          <w:szCs w:val="28"/>
        </w:rPr>
      </w:pPr>
    </w:p>
    <w:p>
      <w:pPr>
        <w:ind w:firstLine="0" w:firstLineChars="0"/>
        <w:jc w:val="center"/>
        <w:rPr>
          <w:rFonts w:ascii="华文新魏" w:eastAsia="华文新魏"/>
          <w:sz w:val="28"/>
          <w:szCs w:val="28"/>
        </w:rPr>
      </w:pPr>
    </w:p>
    <w:p>
      <w:pPr>
        <w:ind w:firstLine="0" w:firstLineChars="0"/>
        <w:jc w:val="center"/>
        <w:rPr>
          <w:rFonts w:ascii="华文新魏" w:eastAsia="华文新魏"/>
          <w:sz w:val="28"/>
          <w:szCs w:val="28"/>
        </w:rPr>
      </w:pPr>
    </w:p>
    <w:p>
      <w:pPr>
        <w:ind w:firstLine="560"/>
        <w:jc w:val="left"/>
        <w:rPr>
          <w:rFonts w:ascii="华文新魏" w:eastAsia="华文新魏"/>
          <w:sz w:val="28"/>
          <w:szCs w:val="28"/>
        </w:rPr>
      </w:pPr>
    </w:p>
    <w:p>
      <w:pPr>
        <w:ind w:firstLine="560"/>
        <w:jc w:val="left"/>
        <w:rPr>
          <w:rFonts w:ascii="华文新魏" w:eastAsia="华文新魏"/>
          <w:sz w:val="28"/>
          <w:szCs w:val="28"/>
        </w:rPr>
      </w:pPr>
    </w:p>
    <w:p>
      <w:pPr>
        <w:ind w:firstLine="562"/>
        <w:jc w:val="left"/>
        <w:rPr>
          <w:rFonts w:ascii="仿宋" w:hAnsi="仿宋"/>
          <w:b/>
          <w:sz w:val="28"/>
          <w:szCs w:val="28"/>
        </w:rPr>
      </w:pPr>
      <w:r>
        <w:rPr>
          <w:rFonts w:hint="eastAsia" w:ascii="仿宋" w:hAnsi="仿宋"/>
          <w:b/>
          <w:sz w:val="28"/>
          <w:szCs w:val="28"/>
        </w:rPr>
        <w:t xml:space="preserve">批 </w:t>
      </w:r>
      <w:r>
        <w:rPr>
          <w:rFonts w:ascii="仿宋" w:hAnsi="仿宋"/>
          <w:b/>
          <w:sz w:val="28"/>
          <w:szCs w:val="28"/>
        </w:rPr>
        <w:t xml:space="preserve">     </w:t>
      </w:r>
      <w:r>
        <w:rPr>
          <w:rFonts w:hint="eastAsia" w:ascii="仿宋" w:hAnsi="仿宋"/>
          <w:b/>
          <w:sz w:val="28"/>
          <w:szCs w:val="28"/>
        </w:rPr>
        <w:t>准：雍桂林（高级工程师）</w:t>
      </w:r>
    </w:p>
    <w:p>
      <w:pPr>
        <w:ind w:firstLine="562"/>
        <w:jc w:val="left"/>
        <w:rPr>
          <w:rFonts w:ascii="仿宋" w:hAnsi="仿宋"/>
          <w:b/>
          <w:sz w:val="28"/>
          <w:szCs w:val="28"/>
        </w:rPr>
      </w:pPr>
      <w:r>
        <w:rPr>
          <w:rFonts w:hint="eastAsia" w:ascii="仿宋" w:hAnsi="仿宋"/>
          <w:b/>
          <w:sz w:val="28"/>
          <w:szCs w:val="28"/>
        </w:rPr>
        <w:t xml:space="preserve"> </w:t>
      </w:r>
    </w:p>
    <w:p>
      <w:pPr>
        <w:ind w:firstLine="562"/>
        <w:jc w:val="left"/>
        <w:rPr>
          <w:rFonts w:ascii="仿宋" w:hAnsi="仿宋"/>
          <w:b/>
          <w:sz w:val="28"/>
          <w:szCs w:val="28"/>
        </w:rPr>
      </w:pPr>
      <w:r>
        <w:rPr>
          <w:rFonts w:hint="eastAsia" w:ascii="仿宋" w:hAnsi="仿宋"/>
          <w:b/>
          <w:sz w:val="28"/>
          <w:szCs w:val="28"/>
        </w:rPr>
        <w:t xml:space="preserve">核 </w:t>
      </w:r>
      <w:r>
        <w:rPr>
          <w:rFonts w:ascii="仿宋" w:hAnsi="仿宋"/>
          <w:b/>
          <w:sz w:val="28"/>
          <w:szCs w:val="28"/>
        </w:rPr>
        <w:t xml:space="preserve">     </w:t>
      </w:r>
      <w:r>
        <w:rPr>
          <w:rFonts w:hint="eastAsia" w:ascii="仿宋" w:hAnsi="仿宋"/>
          <w:b/>
          <w:sz w:val="28"/>
          <w:szCs w:val="28"/>
        </w:rPr>
        <w:t>定：陈国旗（高级工程师）</w:t>
      </w:r>
    </w:p>
    <w:p>
      <w:pPr>
        <w:ind w:firstLine="562"/>
        <w:jc w:val="left"/>
        <w:rPr>
          <w:rFonts w:ascii="仿宋" w:hAnsi="仿宋"/>
          <w:b/>
          <w:sz w:val="28"/>
          <w:szCs w:val="28"/>
        </w:rPr>
      </w:pPr>
    </w:p>
    <w:p>
      <w:pPr>
        <w:ind w:firstLine="562"/>
        <w:jc w:val="left"/>
        <w:rPr>
          <w:rFonts w:ascii="仿宋" w:hAnsi="仿宋"/>
          <w:b/>
          <w:sz w:val="28"/>
          <w:szCs w:val="28"/>
        </w:rPr>
      </w:pPr>
      <w:r>
        <w:rPr>
          <w:rFonts w:hint="eastAsia" w:ascii="仿宋" w:hAnsi="仿宋"/>
          <w:b/>
          <w:sz w:val="28"/>
          <w:szCs w:val="28"/>
        </w:rPr>
        <w:t xml:space="preserve">审 </w:t>
      </w:r>
      <w:r>
        <w:rPr>
          <w:rFonts w:ascii="仿宋" w:hAnsi="仿宋"/>
          <w:b/>
          <w:sz w:val="28"/>
          <w:szCs w:val="28"/>
        </w:rPr>
        <w:t xml:space="preserve">     </w:t>
      </w:r>
      <w:r>
        <w:rPr>
          <w:rFonts w:hint="eastAsia" w:ascii="仿宋" w:hAnsi="仿宋"/>
          <w:b/>
          <w:sz w:val="28"/>
          <w:szCs w:val="28"/>
        </w:rPr>
        <w:t>查：杨伯龄（工程师）</w:t>
      </w:r>
    </w:p>
    <w:p>
      <w:pPr>
        <w:ind w:firstLine="562"/>
        <w:jc w:val="left"/>
        <w:rPr>
          <w:rFonts w:ascii="仿宋" w:hAnsi="仿宋"/>
          <w:b/>
          <w:sz w:val="28"/>
          <w:szCs w:val="28"/>
        </w:rPr>
      </w:pPr>
    </w:p>
    <w:p>
      <w:pPr>
        <w:ind w:firstLine="562"/>
        <w:jc w:val="left"/>
        <w:rPr>
          <w:rFonts w:ascii="仿宋" w:hAnsi="仿宋"/>
          <w:b/>
          <w:sz w:val="28"/>
          <w:szCs w:val="28"/>
        </w:rPr>
      </w:pPr>
      <w:r>
        <w:rPr>
          <w:rFonts w:hint="eastAsia" w:ascii="仿宋" w:hAnsi="仿宋"/>
          <w:b/>
          <w:sz w:val="28"/>
          <w:szCs w:val="28"/>
        </w:rPr>
        <w:t xml:space="preserve">校 </w:t>
      </w:r>
      <w:r>
        <w:rPr>
          <w:rFonts w:ascii="仿宋" w:hAnsi="仿宋"/>
          <w:b/>
          <w:sz w:val="28"/>
          <w:szCs w:val="28"/>
        </w:rPr>
        <w:t xml:space="preserve">     </w:t>
      </w:r>
      <w:r>
        <w:rPr>
          <w:rFonts w:hint="eastAsia" w:ascii="仿宋" w:hAnsi="仿宋"/>
          <w:b/>
          <w:sz w:val="28"/>
          <w:szCs w:val="28"/>
        </w:rPr>
        <w:t>核：邹鹏（工程师）</w:t>
      </w:r>
    </w:p>
    <w:p>
      <w:pPr>
        <w:ind w:firstLine="562"/>
        <w:jc w:val="left"/>
        <w:rPr>
          <w:rFonts w:ascii="仿宋" w:hAnsi="仿宋"/>
          <w:b/>
          <w:sz w:val="28"/>
          <w:szCs w:val="28"/>
        </w:rPr>
      </w:pPr>
    </w:p>
    <w:p>
      <w:pPr>
        <w:ind w:firstLine="562"/>
        <w:jc w:val="left"/>
        <w:rPr>
          <w:rFonts w:ascii="仿宋" w:hAnsi="仿宋"/>
          <w:b/>
          <w:sz w:val="28"/>
          <w:szCs w:val="28"/>
        </w:rPr>
      </w:pPr>
      <w:r>
        <w:rPr>
          <w:rFonts w:hint="eastAsia" w:ascii="仿宋" w:hAnsi="仿宋"/>
          <w:b/>
          <w:sz w:val="28"/>
          <w:szCs w:val="28"/>
        </w:rPr>
        <w:t>项目负责人：税航（工程师）</w:t>
      </w:r>
    </w:p>
    <w:p>
      <w:pPr>
        <w:ind w:firstLine="562"/>
        <w:jc w:val="left"/>
        <w:rPr>
          <w:rFonts w:ascii="仿宋" w:hAnsi="仿宋"/>
          <w:b/>
          <w:sz w:val="28"/>
          <w:szCs w:val="28"/>
        </w:rPr>
      </w:pPr>
    </w:p>
    <w:p>
      <w:pPr>
        <w:ind w:firstLine="562"/>
        <w:jc w:val="left"/>
        <w:rPr>
          <w:rFonts w:ascii="仿宋" w:hAnsi="仿宋"/>
          <w:b/>
          <w:sz w:val="28"/>
          <w:szCs w:val="28"/>
        </w:rPr>
      </w:pPr>
      <w:r>
        <w:rPr>
          <w:rFonts w:hint="eastAsia" w:ascii="仿宋" w:hAnsi="仿宋"/>
          <w:b/>
          <w:sz w:val="28"/>
          <w:szCs w:val="28"/>
        </w:rPr>
        <w:t xml:space="preserve">编 </w:t>
      </w:r>
      <w:r>
        <w:rPr>
          <w:rFonts w:ascii="仿宋" w:hAnsi="仿宋"/>
          <w:b/>
          <w:sz w:val="28"/>
          <w:szCs w:val="28"/>
        </w:rPr>
        <w:t xml:space="preserve">     </w:t>
      </w:r>
      <w:r>
        <w:rPr>
          <w:rFonts w:hint="eastAsia" w:ascii="仿宋" w:hAnsi="仿宋"/>
          <w:b/>
          <w:sz w:val="28"/>
          <w:szCs w:val="28"/>
        </w:rPr>
        <w:t>写：税航（工程师）</w:t>
      </w:r>
    </w:p>
    <w:p>
      <w:pPr>
        <w:ind w:firstLine="562"/>
        <w:jc w:val="left"/>
        <w:rPr>
          <w:rFonts w:ascii="仿宋" w:hAnsi="仿宋"/>
          <w:b/>
          <w:sz w:val="28"/>
          <w:szCs w:val="28"/>
        </w:rPr>
      </w:pPr>
    </w:p>
    <w:p>
      <w:pPr>
        <w:ind w:firstLine="2249" w:firstLineChars="800"/>
        <w:jc w:val="left"/>
        <w:rPr>
          <w:rFonts w:ascii="仿宋" w:hAnsi="仿宋"/>
          <w:b/>
          <w:sz w:val="28"/>
          <w:szCs w:val="28"/>
        </w:rPr>
      </w:pPr>
      <w:r>
        <w:rPr>
          <w:rFonts w:hint="eastAsia" w:ascii="仿宋" w:hAnsi="仿宋"/>
          <w:b/>
          <w:sz w:val="28"/>
          <w:szCs w:val="28"/>
        </w:rPr>
        <w:t>吕厚宽（助理工程师）</w:t>
      </w:r>
    </w:p>
    <w:p>
      <w:pPr>
        <w:ind w:firstLine="560"/>
        <w:jc w:val="left"/>
        <w:rPr>
          <w:rFonts w:ascii="华文新魏" w:eastAsia="华文新魏"/>
          <w:sz w:val="28"/>
          <w:szCs w:val="28"/>
        </w:rPr>
      </w:pPr>
    </w:p>
    <w:p>
      <w:pPr>
        <w:ind w:firstLine="560"/>
        <w:jc w:val="left"/>
        <w:rPr>
          <w:rFonts w:ascii="华文新魏" w:eastAsia="华文新魏"/>
          <w:sz w:val="28"/>
          <w:szCs w:val="28"/>
        </w:rPr>
      </w:pPr>
    </w:p>
    <w:p>
      <w:pPr>
        <w:ind w:firstLine="560"/>
        <w:jc w:val="left"/>
        <w:rPr>
          <w:rFonts w:ascii="华文新魏" w:eastAsia="华文新魏"/>
          <w:sz w:val="28"/>
          <w:szCs w:val="28"/>
        </w:rPr>
      </w:pPr>
    </w:p>
    <w:p>
      <w:pPr>
        <w:ind w:firstLine="560"/>
        <w:jc w:val="left"/>
        <w:rPr>
          <w:rFonts w:ascii="华文新魏" w:eastAsia="华文新魏"/>
          <w:sz w:val="28"/>
          <w:szCs w:val="28"/>
        </w:rPr>
      </w:pPr>
    </w:p>
    <w:p>
      <w:pPr>
        <w:ind w:firstLine="560"/>
        <w:jc w:val="left"/>
        <w:rPr>
          <w:rFonts w:ascii="华文新魏" w:eastAsia="华文新魏"/>
          <w:sz w:val="28"/>
          <w:szCs w:val="28"/>
        </w:rPr>
      </w:pPr>
    </w:p>
    <w:p>
      <w:pPr>
        <w:ind w:firstLine="560"/>
        <w:jc w:val="left"/>
        <w:rPr>
          <w:rFonts w:ascii="华文新魏" w:eastAsia="华文新魏"/>
          <w:sz w:val="28"/>
          <w:szCs w:val="28"/>
        </w:rPr>
      </w:pPr>
    </w:p>
    <w:p>
      <w:pPr>
        <w:ind w:firstLine="560"/>
        <w:jc w:val="left"/>
        <w:rPr>
          <w:rFonts w:ascii="华文新魏" w:eastAsia="华文新魏"/>
          <w:sz w:val="28"/>
          <w:szCs w:val="28"/>
        </w:rPr>
      </w:pPr>
    </w:p>
    <w:p>
      <w:pPr>
        <w:ind w:firstLine="560"/>
        <w:jc w:val="left"/>
        <w:rPr>
          <w:rFonts w:ascii="华文新魏" w:eastAsia="华文新魏"/>
          <w:sz w:val="28"/>
          <w:szCs w:val="28"/>
        </w:rPr>
      </w:pPr>
    </w:p>
    <w:p>
      <w:pPr>
        <w:ind w:firstLine="560"/>
        <w:jc w:val="left"/>
        <w:rPr>
          <w:rFonts w:ascii="华文新魏" w:eastAsia="华文新魏"/>
          <w:sz w:val="28"/>
          <w:szCs w:val="28"/>
        </w:rPr>
      </w:pPr>
    </w:p>
    <w:p>
      <w:pPr>
        <w:ind w:firstLine="560"/>
        <w:jc w:val="left"/>
        <w:rPr>
          <w:rFonts w:ascii="华文新魏" w:eastAsia="华文新魏"/>
          <w:sz w:val="28"/>
          <w:szCs w:val="28"/>
        </w:rPr>
      </w:pPr>
    </w:p>
    <w:sdt>
      <w:sdtPr>
        <w:rPr>
          <w:rFonts w:ascii="Times New Roman" w:hAnsi="Times New Roman" w:eastAsia="仿宋" w:cstheme="minorBidi"/>
          <w:color w:val="auto"/>
          <w:kern w:val="2"/>
          <w:sz w:val="24"/>
          <w:szCs w:val="22"/>
          <w:lang w:val="zh-CN"/>
        </w:rPr>
        <w:id w:val="1193648552"/>
        <w:docPartObj>
          <w:docPartGallery w:val="Table of Contents"/>
          <w:docPartUnique/>
        </w:docPartObj>
      </w:sdtPr>
      <w:sdtEndPr>
        <w:rPr>
          <w:rFonts w:ascii="Times New Roman" w:hAnsi="Times New Roman" w:eastAsia="仿宋" w:cstheme="minorBidi"/>
          <w:b/>
          <w:bCs/>
          <w:color w:val="auto"/>
          <w:kern w:val="2"/>
          <w:sz w:val="24"/>
          <w:szCs w:val="22"/>
          <w:lang w:val="zh-CN"/>
        </w:rPr>
      </w:sdtEndPr>
      <w:sdtContent>
        <w:p>
          <w:pPr>
            <w:pStyle w:val="41"/>
            <w:numPr>
              <w:ilvl w:val="0"/>
              <w:numId w:val="0"/>
            </w:numPr>
            <w:rPr>
              <w:color w:val="auto"/>
            </w:rPr>
          </w:pPr>
        </w:p>
        <w:p>
          <w:pPr>
            <w:pStyle w:val="21"/>
            <w:ind w:firstLine="0" w:firstLineChars="0"/>
            <w:rPr>
              <w:lang w:val="zh-CN"/>
            </w:rPr>
          </w:pPr>
          <w:r>
            <w:rPr>
              <w:rFonts w:hint="eastAsia"/>
              <w:lang w:val="zh-CN"/>
            </w:rPr>
            <w:t>目录</w:t>
          </w:r>
        </w:p>
        <w:p>
          <w:pPr>
            <w:pStyle w:val="21"/>
            <w:ind w:firstLine="281" w:firstLineChars="100"/>
            <w:jc w:val="both"/>
            <w:rPr>
              <w:rFonts w:asciiTheme="minorHAnsi" w:hAnsiTheme="minorHAnsi" w:eastAsiaTheme="minorEastAsia"/>
              <w:b w:val="0"/>
              <w:sz w:val="21"/>
              <w:szCs w:val="22"/>
            </w:rPr>
          </w:pPr>
          <w:r>
            <w:rPr>
              <w:rFonts w:hint="eastAsia"/>
              <w:lang w:val="zh-CN"/>
            </w:rPr>
            <w:t>前言</w:t>
          </w:r>
          <w:r>
            <w:rPr>
              <w:lang w:val="zh-CN"/>
            </w:rPr>
            <w:tab/>
          </w:r>
          <w:r>
            <w:rPr>
              <w:lang w:val="zh-CN"/>
            </w:rPr>
            <w:t>1</w:t>
          </w:r>
          <w:r>
            <w:rPr>
              <w:lang w:val="zh-CN"/>
            </w:rPr>
            <w:fldChar w:fldCharType="begin"/>
          </w:r>
          <w:r>
            <w:rPr>
              <w:lang w:val="zh-CN"/>
            </w:rPr>
            <w:instrText xml:space="preserve"> TOC \o "1-3" \h \z \u </w:instrText>
          </w:r>
          <w:r>
            <w:rPr>
              <w:lang w:val="zh-CN"/>
            </w:rPr>
            <w:fldChar w:fldCharType="separate"/>
          </w:r>
        </w:p>
        <w:p>
          <w:pPr>
            <w:pStyle w:val="21"/>
            <w:tabs>
              <w:tab w:val="left" w:pos="199"/>
            </w:tabs>
            <w:ind w:firstLine="0" w:firstLineChars="0"/>
            <w:rPr>
              <w:rFonts w:asciiTheme="minorHAnsi" w:hAnsiTheme="minorHAnsi" w:eastAsiaTheme="minorEastAsia"/>
              <w:b w:val="0"/>
              <w:sz w:val="21"/>
              <w:szCs w:val="22"/>
            </w:rPr>
          </w:pPr>
          <w:r>
            <w:fldChar w:fldCharType="begin"/>
          </w:r>
          <w:r>
            <w:instrText xml:space="preserve"> HYPERLINK \l "_Toc86049138" </w:instrText>
          </w:r>
          <w:r>
            <w:fldChar w:fldCharType="separate"/>
          </w:r>
          <w:r>
            <w:rPr>
              <w:rStyle w:val="27"/>
              <w:color w:val="auto"/>
            </w:rPr>
            <w:t>1</w:t>
          </w:r>
          <w:r>
            <w:rPr>
              <w:rFonts w:asciiTheme="minorHAnsi" w:hAnsiTheme="minorHAnsi" w:eastAsiaTheme="minorEastAsia"/>
              <w:b w:val="0"/>
              <w:sz w:val="21"/>
              <w:szCs w:val="22"/>
            </w:rPr>
            <w:tab/>
          </w:r>
          <w:r>
            <w:rPr>
              <w:rStyle w:val="27"/>
              <w:color w:val="auto"/>
            </w:rPr>
            <w:t>基础资料</w:t>
          </w:r>
          <w:r>
            <w:tab/>
          </w:r>
          <w:r>
            <w:fldChar w:fldCharType="begin"/>
          </w:r>
          <w:r>
            <w:instrText xml:space="preserve"> PAGEREF _Toc86049138 \h </w:instrText>
          </w:r>
          <w:r>
            <w:fldChar w:fldCharType="separate"/>
          </w:r>
          <w:r>
            <w:t>2</w:t>
          </w:r>
          <w:r>
            <w:fldChar w:fldCharType="end"/>
          </w:r>
          <w:r>
            <w:fldChar w:fldCharType="end"/>
          </w:r>
        </w:p>
        <w:p>
          <w:pPr>
            <w:pStyle w:val="22"/>
            <w:tabs>
              <w:tab w:val="right" w:leader="dot" w:pos="8296"/>
            </w:tabs>
            <w:ind w:left="480" w:firstLine="0" w:firstLineChars="0"/>
            <w:rPr>
              <w:rFonts w:asciiTheme="minorHAnsi" w:hAnsiTheme="minorHAnsi" w:eastAsiaTheme="minorEastAsia"/>
              <w:sz w:val="21"/>
            </w:rPr>
          </w:pPr>
          <w:r>
            <w:fldChar w:fldCharType="begin"/>
          </w:r>
          <w:r>
            <w:instrText xml:space="preserve"> HYPERLINK \l "_Toc86049139" </w:instrText>
          </w:r>
          <w:r>
            <w:fldChar w:fldCharType="separate"/>
          </w:r>
          <w:r>
            <w:rPr>
              <w:rStyle w:val="27"/>
              <w:color w:val="auto"/>
            </w:rPr>
            <w:t>1.1基础资料</w:t>
          </w:r>
          <w:r>
            <w:tab/>
          </w:r>
          <w:r>
            <w:fldChar w:fldCharType="begin"/>
          </w:r>
          <w:r>
            <w:instrText xml:space="preserve"> PAGEREF _Toc86049139 \h </w:instrText>
          </w:r>
          <w:r>
            <w:fldChar w:fldCharType="separate"/>
          </w:r>
          <w:r>
            <w:t>2</w:t>
          </w:r>
          <w:r>
            <w:fldChar w:fldCharType="end"/>
          </w:r>
          <w:r>
            <w:fldChar w:fldCharType="end"/>
          </w:r>
        </w:p>
        <w:p>
          <w:pPr>
            <w:pStyle w:val="15"/>
            <w:tabs>
              <w:tab w:val="clear" w:pos="2070"/>
            </w:tabs>
            <w:ind w:firstLine="0" w:firstLineChars="0"/>
            <w:rPr>
              <w:rFonts w:asciiTheme="minorHAnsi" w:hAnsiTheme="minorHAnsi" w:eastAsiaTheme="minorEastAsia"/>
              <w:sz w:val="21"/>
            </w:rPr>
          </w:pPr>
          <w:r>
            <w:fldChar w:fldCharType="begin"/>
          </w:r>
          <w:r>
            <w:instrText xml:space="preserve"> HYPERLINK \l "_Toc86049140" </w:instrText>
          </w:r>
          <w:r>
            <w:fldChar w:fldCharType="separate"/>
          </w:r>
          <w:r>
            <w:rPr>
              <w:rStyle w:val="27"/>
              <w:color w:val="auto"/>
            </w:rPr>
            <w:t>1.1.1地形地貌</w:t>
          </w:r>
          <w:r>
            <w:tab/>
          </w:r>
          <w:r>
            <w:fldChar w:fldCharType="begin"/>
          </w:r>
          <w:r>
            <w:instrText xml:space="preserve"> PAGEREF _Toc86049140 \h </w:instrText>
          </w:r>
          <w:r>
            <w:fldChar w:fldCharType="separate"/>
          </w:r>
          <w:r>
            <w:t>2</w:t>
          </w:r>
          <w:r>
            <w:fldChar w:fldCharType="end"/>
          </w:r>
          <w:r>
            <w:fldChar w:fldCharType="end"/>
          </w:r>
        </w:p>
        <w:p>
          <w:pPr>
            <w:pStyle w:val="15"/>
            <w:tabs>
              <w:tab w:val="clear" w:pos="2070"/>
            </w:tabs>
            <w:ind w:firstLine="0" w:firstLineChars="0"/>
            <w:rPr>
              <w:rFonts w:asciiTheme="minorHAnsi" w:hAnsiTheme="minorHAnsi" w:eastAsiaTheme="minorEastAsia"/>
              <w:sz w:val="21"/>
            </w:rPr>
          </w:pPr>
          <w:r>
            <w:fldChar w:fldCharType="begin"/>
          </w:r>
          <w:r>
            <w:instrText xml:space="preserve"> HYPERLINK \l "_Toc86049141" </w:instrText>
          </w:r>
          <w:r>
            <w:fldChar w:fldCharType="separate"/>
          </w:r>
          <w:r>
            <w:rPr>
              <w:rStyle w:val="27"/>
              <w:color w:val="auto"/>
            </w:rPr>
            <w:t>1.1.2植被土壤</w:t>
          </w:r>
          <w:r>
            <w:tab/>
          </w:r>
          <w:r>
            <w:fldChar w:fldCharType="begin"/>
          </w:r>
          <w:r>
            <w:instrText xml:space="preserve"> PAGEREF _Toc86049141 \h </w:instrText>
          </w:r>
          <w:r>
            <w:fldChar w:fldCharType="separate"/>
          </w:r>
          <w:r>
            <w:t>2</w:t>
          </w:r>
          <w:r>
            <w:fldChar w:fldCharType="end"/>
          </w:r>
          <w:r>
            <w:fldChar w:fldCharType="end"/>
          </w:r>
        </w:p>
        <w:p>
          <w:pPr>
            <w:pStyle w:val="15"/>
            <w:tabs>
              <w:tab w:val="clear" w:pos="2070"/>
            </w:tabs>
            <w:ind w:firstLine="0" w:firstLineChars="0"/>
            <w:rPr>
              <w:rFonts w:asciiTheme="minorHAnsi" w:hAnsiTheme="minorHAnsi" w:eastAsiaTheme="minorEastAsia"/>
              <w:sz w:val="21"/>
            </w:rPr>
          </w:pPr>
          <w:r>
            <w:fldChar w:fldCharType="begin"/>
          </w:r>
          <w:r>
            <w:instrText xml:space="preserve"> HYPERLINK \l "_Toc86049142" </w:instrText>
          </w:r>
          <w:r>
            <w:fldChar w:fldCharType="separate"/>
          </w:r>
          <w:r>
            <w:rPr>
              <w:rStyle w:val="27"/>
              <w:color w:val="auto"/>
            </w:rPr>
            <w:t>1.1.3水文气象</w:t>
          </w:r>
          <w:r>
            <w:tab/>
          </w:r>
          <w:r>
            <w:fldChar w:fldCharType="begin"/>
          </w:r>
          <w:r>
            <w:instrText xml:space="preserve"> PAGEREF _Toc86049142 \h </w:instrText>
          </w:r>
          <w:r>
            <w:fldChar w:fldCharType="separate"/>
          </w:r>
          <w:r>
            <w:t>3</w:t>
          </w:r>
          <w:r>
            <w:fldChar w:fldCharType="end"/>
          </w:r>
          <w:r>
            <w:fldChar w:fldCharType="end"/>
          </w:r>
        </w:p>
        <w:p>
          <w:pPr>
            <w:pStyle w:val="15"/>
            <w:tabs>
              <w:tab w:val="clear" w:pos="2070"/>
            </w:tabs>
            <w:ind w:firstLine="0" w:firstLineChars="0"/>
            <w:rPr>
              <w:rFonts w:asciiTheme="minorHAnsi" w:hAnsiTheme="minorHAnsi" w:eastAsiaTheme="minorEastAsia"/>
              <w:sz w:val="21"/>
            </w:rPr>
          </w:pPr>
          <w:r>
            <w:fldChar w:fldCharType="begin"/>
          </w:r>
          <w:r>
            <w:instrText xml:space="preserve"> HYPERLINK \l "_Toc86049143" </w:instrText>
          </w:r>
          <w:r>
            <w:fldChar w:fldCharType="separate"/>
          </w:r>
          <w:r>
            <w:rPr>
              <w:rStyle w:val="27"/>
              <w:color w:val="auto"/>
            </w:rPr>
            <w:t>1.1.4暴雨洪水</w:t>
          </w:r>
          <w:r>
            <w:tab/>
          </w:r>
          <w:r>
            <w:fldChar w:fldCharType="begin"/>
          </w:r>
          <w:r>
            <w:instrText xml:space="preserve"> PAGEREF _Toc86049143 \h </w:instrText>
          </w:r>
          <w:r>
            <w:fldChar w:fldCharType="separate"/>
          </w:r>
          <w:r>
            <w:t>4</w:t>
          </w:r>
          <w:r>
            <w:fldChar w:fldCharType="end"/>
          </w:r>
          <w:r>
            <w:fldChar w:fldCharType="end"/>
          </w:r>
        </w:p>
        <w:p>
          <w:pPr>
            <w:pStyle w:val="15"/>
            <w:tabs>
              <w:tab w:val="clear" w:pos="2070"/>
            </w:tabs>
            <w:ind w:firstLine="0" w:firstLineChars="0"/>
            <w:rPr>
              <w:rFonts w:asciiTheme="minorHAnsi" w:hAnsiTheme="minorHAnsi" w:eastAsiaTheme="minorEastAsia"/>
              <w:sz w:val="21"/>
            </w:rPr>
          </w:pPr>
          <w:r>
            <w:fldChar w:fldCharType="begin"/>
          </w:r>
          <w:r>
            <w:instrText xml:space="preserve"> HYPERLINK \l "_Toc86049144" </w:instrText>
          </w:r>
          <w:r>
            <w:fldChar w:fldCharType="separate"/>
          </w:r>
          <w:r>
            <w:rPr>
              <w:rStyle w:val="27"/>
              <w:color w:val="auto"/>
            </w:rPr>
            <w:t>1.1.5径流</w:t>
          </w:r>
          <w:r>
            <w:tab/>
          </w:r>
          <w:r>
            <w:fldChar w:fldCharType="begin"/>
          </w:r>
          <w:r>
            <w:instrText xml:space="preserve"> PAGEREF _Toc86049144 \h </w:instrText>
          </w:r>
          <w:r>
            <w:fldChar w:fldCharType="separate"/>
          </w:r>
          <w:r>
            <w:t>6</w:t>
          </w:r>
          <w:r>
            <w:fldChar w:fldCharType="end"/>
          </w:r>
          <w:r>
            <w:fldChar w:fldCharType="end"/>
          </w:r>
        </w:p>
        <w:p>
          <w:pPr>
            <w:pStyle w:val="15"/>
            <w:tabs>
              <w:tab w:val="clear" w:pos="2070"/>
            </w:tabs>
            <w:ind w:firstLine="0" w:firstLineChars="0"/>
            <w:rPr>
              <w:rFonts w:asciiTheme="minorHAnsi" w:hAnsiTheme="minorHAnsi" w:eastAsiaTheme="minorEastAsia"/>
              <w:sz w:val="21"/>
            </w:rPr>
          </w:pPr>
          <w:r>
            <w:fldChar w:fldCharType="begin"/>
          </w:r>
          <w:r>
            <w:instrText xml:space="preserve"> HYPERLINK \l "_Toc86049145" </w:instrText>
          </w:r>
          <w:r>
            <w:fldChar w:fldCharType="separate"/>
          </w:r>
          <w:r>
            <w:rPr>
              <w:rStyle w:val="27"/>
              <w:color w:val="auto"/>
            </w:rPr>
            <w:t>1.1.6泥沙</w:t>
          </w:r>
          <w:r>
            <w:tab/>
          </w:r>
          <w:r>
            <w:fldChar w:fldCharType="begin"/>
          </w:r>
          <w:r>
            <w:instrText xml:space="preserve"> PAGEREF _Toc86049145 \h </w:instrText>
          </w:r>
          <w:r>
            <w:fldChar w:fldCharType="separate"/>
          </w:r>
          <w:r>
            <w:t>10</w:t>
          </w:r>
          <w:r>
            <w:fldChar w:fldCharType="end"/>
          </w:r>
          <w:r>
            <w:fldChar w:fldCharType="end"/>
          </w:r>
        </w:p>
        <w:p>
          <w:pPr>
            <w:pStyle w:val="22"/>
            <w:tabs>
              <w:tab w:val="right" w:leader="dot" w:pos="8296"/>
            </w:tabs>
            <w:ind w:left="480" w:firstLine="0" w:firstLineChars="0"/>
            <w:rPr>
              <w:rFonts w:asciiTheme="minorHAnsi" w:hAnsiTheme="minorHAnsi" w:eastAsiaTheme="minorEastAsia"/>
              <w:sz w:val="21"/>
            </w:rPr>
          </w:pPr>
          <w:r>
            <w:fldChar w:fldCharType="begin"/>
          </w:r>
          <w:r>
            <w:instrText xml:space="preserve"> HYPERLINK \l "_Toc86049146" </w:instrText>
          </w:r>
          <w:r>
            <w:fldChar w:fldCharType="separate"/>
          </w:r>
          <w:r>
            <w:rPr>
              <w:rStyle w:val="27"/>
              <w:color w:val="auto"/>
            </w:rPr>
            <w:t>1.2河流规划建设情况</w:t>
          </w:r>
          <w:r>
            <w:tab/>
          </w:r>
          <w:r>
            <w:fldChar w:fldCharType="begin"/>
          </w:r>
          <w:r>
            <w:instrText xml:space="preserve"> PAGEREF _Toc86049146 \h </w:instrText>
          </w:r>
          <w:r>
            <w:fldChar w:fldCharType="separate"/>
          </w:r>
          <w:r>
            <w:t>11</w:t>
          </w:r>
          <w:r>
            <w:fldChar w:fldCharType="end"/>
          </w:r>
          <w:r>
            <w:fldChar w:fldCharType="end"/>
          </w:r>
        </w:p>
        <w:p>
          <w:pPr>
            <w:pStyle w:val="15"/>
            <w:tabs>
              <w:tab w:val="clear" w:pos="2070"/>
            </w:tabs>
            <w:ind w:firstLine="0" w:firstLineChars="0"/>
            <w:rPr>
              <w:rFonts w:asciiTheme="minorHAnsi" w:hAnsiTheme="minorHAnsi" w:eastAsiaTheme="minorEastAsia"/>
              <w:sz w:val="21"/>
            </w:rPr>
          </w:pPr>
          <w:r>
            <w:fldChar w:fldCharType="begin"/>
          </w:r>
          <w:r>
            <w:instrText xml:space="preserve"> HYPERLINK \l "_Toc86049147" </w:instrText>
          </w:r>
          <w:r>
            <w:fldChar w:fldCharType="separate"/>
          </w:r>
          <w:r>
            <w:rPr>
              <w:rStyle w:val="27"/>
              <w:color w:val="auto"/>
            </w:rPr>
            <w:t>1.2.1水功能区划</w:t>
          </w:r>
          <w:r>
            <w:tab/>
          </w:r>
          <w:r>
            <w:fldChar w:fldCharType="begin"/>
          </w:r>
          <w:r>
            <w:instrText xml:space="preserve"> PAGEREF _Toc86049147 \h </w:instrText>
          </w:r>
          <w:r>
            <w:fldChar w:fldCharType="separate"/>
          </w:r>
          <w:r>
            <w:t>11</w:t>
          </w:r>
          <w:r>
            <w:fldChar w:fldCharType="end"/>
          </w:r>
          <w:r>
            <w:fldChar w:fldCharType="end"/>
          </w:r>
        </w:p>
        <w:p>
          <w:pPr>
            <w:pStyle w:val="15"/>
            <w:tabs>
              <w:tab w:val="clear" w:pos="2070"/>
            </w:tabs>
            <w:ind w:firstLine="0" w:firstLineChars="0"/>
            <w:rPr>
              <w:rFonts w:asciiTheme="minorHAnsi" w:hAnsiTheme="minorHAnsi" w:eastAsiaTheme="minorEastAsia"/>
              <w:sz w:val="21"/>
            </w:rPr>
          </w:pPr>
          <w:r>
            <w:fldChar w:fldCharType="begin"/>
          </w:r>
          <w:r>
            <w:instrText xml:space="preserve"> HYPERLINK \l "_Toc86049148" </w:instrText>
          </w:r>
          <w:r>
            <w:fldChar w:fldCharType="separate"/>
          </w:r>
          <w:r>
            <w:rPr>
              <w:rStyle w:val="27"/>
              <w:color w:val="auto"/>
            </w:rPr>
            <w:t>1.2.2防洪工程</w:t>
          </w:r>
          <w:r>
            <w:tab/>
          </w:r>
          <w:r>
            <w:fldChar w:fldCharType="begin"/>
          </w:r>
          <w:r>
            <w:instrText xml:space="preserve"> PAGEREF _Toc86049148 \h </w:instrText>
          </w:r>
          <w:r>
            <w:fldChar w:fldCharType="separate"/>
          </w:r>
          <w:r>
            <w:t>11</w:t>
          </w:r>
          <w:r>
            <w:fldChar w:fldCharType="end"/>
          </w:r>
          <w:r>
            <w:fldChar w:fldCharType="end"/>
          </w:r>
        </w:p>
        <w:p>
          <w:pPr>
            <w:pStyle w:val="15"/>
            <w:tabs>
              <w:tab w:val="clear" w:pos="2070"/>
            </w:tabs>
            <w:ind w:firstLine="0" w:firstLineChars="0"/>
            <w:rPr>
              <w:rFonts w:asciiTheme="minorHAnsi" w:hAnsiTheme="minorHAnsi" w:eastAsiaTheme="minorEastAsia"/>
              <w:sz w:val="21"/>
            </w:rPr>
          </w:pPr>
          <w:r>
            <w:fldChar w:fldCharType="begin"/>
          </w:r>
          <w:r>
            <w:instrText xml:space="preserve"> HYPERLINK \l "_Toc86049149" </w:instrText>
          </w:r>
          <w:r>
            <w:fldChar w:fldCharType="separate"/>
          </w:r>
          <w:r>
            <w:rPr>
              <w:rStyle w:val="27"/>
              <w:color w:val="auto"/>
            </w:rPr>
            <w:t>1.2.3水电站</w:t>
          </w:r>
          <w:r>
            <w:tab/>
          </w:r>
          <w:r>
            <w:fldChar w:fldCharType="begin"/>
          </w:r>
          <w:r>
            <w:instrText xml:space="preserve"> PAGEREF _Toc86049149 \h </w:instrText>
          </w:r>
          <w:r>
            <w:fldChar w:fldCharType="separate"/>
          </w:r>
          <w:r>
            <w:t>11</w:t>
          </w:r>
          <w:r>
            <w:fldChar w:fldCharType="end"/>
          </w:r>
          <w:r>
            <w:fldChar w:fldCharType="end"/>
          </w:r>
        </w:p>
        <w:p>
          <w:pPr>
            <w:pStyle w:val="15"/>
            <w:tabs>
              <w:tab w:val="clear" w:pos="2070"/>
            </w:tabs>
            <w:ind w:firstLine="0" w:firstLineChars="0"/>
            <w:rPr>
              <w:rFonts w:asciiTheme="minorHAnsi" w:hAnsiTheme="minorHAnsi" w:eastAsiaTheme="minorEastAsia"/>
              <w:sz w:val="21"/>
            </w:rPr>
          </w:pPr>
          <w:r>
            <w:fldChar w:fldCharType="begin"/>
          </w:r>
          <w:r>
            <w:instrText xml:space="preserve"> HYPERLINK \l "_Toc86049150" </w:instrText>
          </w:r>
          <w:r>
            <w:fldChar w:fldCharType="separate"/>
          </w:r>
          <w:r>
            <w:rPr>
              <w:rStyle w:val="27"/>
              <w:color w:val="auto"/>
            </w:rPr>
            <w:t>1.2.4自然保护区</w:t>
          </w:r>
          <w:r>
            <w:tab/>
          </w:r>
          <w:r>
            <w:fldChar w:fldCharType="begin"/>
          </w:r>
          <w:r>
            <w:instrText xml:space="preserve"> PAGEREF _Toc86049150 \h </w:instrText>
          </w:r>
          <w:r>
            <w:fldChar w:fldCharType="separate"/>
          </w:r>
          <w:r>
            <w:t>12</w:t>
          </w:r>
          <w:r>
            <w:fldChar w:fldCharType="end"/>
          </w:r>
          <w:r>
            <w:fldChar w:fldCharType="end"/>
          </w:r>
        </w:p>
        <w:p>
          <w:pPr>
            <w:pStyle w:val="21"/>
            <w:tabs>
              <w:tab w:val="left" w:pos="199"/>
            </w:tabs>
            <w:ind w:firstLine="0" w:firstLineChars="0"/>
            <w:rPr>
              <w:rFonts w:asciiTheme="minorHAnsi" w:hAnsiTheme="minorHAnsi" w:eastAsiaTheme="minorEastAsia"/>
              <w:b w:val="0"/>
              <w:sz w:val="21"/>
              <w:szCs w:val="22"/>
            </w:rPr>
          </w:pPr>
          <w:r>
            <w:fldChar w:fldCharType="begin"/>
          </w:r>
          <w:r>
            <w:instrText xml:space="preserve"> HYPERLINK \l "_Toc86049151" </w:instrText>
          </w:r>
          <w:r>
            <w:fldChar w:fldCharType="separate"/>
          </w:r>
          <w:r>
            <w:rPr>
              <w:rStyle w:val="27"/>
              <w:color w:val="auto"/>
            </w:rPr>
            <w:t>2</w:t>
          </w:r>
          <w:r>
            <w:rPr>
              <w:rFonts w:asciiTheme="minorHAnsi" w:hAnsiTheme="minorHAnsi" w:eastAsiaTheme="minorEastAsia"/>
              <w:b w:val="0"/>
              <w:sz w:val="21"/>
              <w:szCs w:val="22"/>
            </w:rPr>
            <w:tab/>
          </w:r>
          <w:r>
            <w:rPr>
              <w:rStyle w:val="27"/>
              <w:color w:val="auto"/>
            </w:rPr>
            <w:t>基本情况</w:t>
          </w:r>
          <w:r>
            <w:tab/>
          </w:r>
          <w:r>
            <w:fldChar w:fldCharType="begin"/>
          </w:r>
          <w:r>
            <w:instrText xml:space="preserve"> PAGEREF _Toc86049151 \h </w:instrText>
          </w:r>
          <w:r>
            <w:fldChar w:fldCharType="separate"/>
          </w:r>
          <w:r>
            <w:t>19</w:t>
          </w:r>
          <w:r>
            <w:fldChar w:fldCharType="end"/>
          </w:r>
          <w:r>
            <w:fldChar w:fldCharType="end"/>
          </w:r>
        </w:p>
        <w:p>
          <w:pPr>
            <w:pStyle w:val="22"/>
            <w:tabs>
              <w:tab w:val="right" w:leader="dot" w:pos="8296"/>
            </w:tabs>
            <w:ind w:left="480" w:firstLine="0" w:firstLineChars="0"/>
            <w:rPr>
              <w:rFonts w:asciiTheme="minorHAnsi" w:hAnsiTheme="minorHAnsi" w:eastAsiaTheme="minorEastAsia"/>
              <w:sz w:val="21"/>
            </w:rPr>
          </w:pPr>
          <w:r>
            <w:fldChar w:fldCharType="begin"/>
          </w:r>
          <w:r>
            <w:instrText xml:space="preserve"> HYPERLINK \l "_Toc86049152" </w:instrText>
          </w:r>
          <w:r>
            <w:fldChar w:fldCharType="separate"/>
          </w:r>
          <w:r>
            <w:rPr>
              <w:rStyle w:val="27"/>
              <w:color w:val="auto"/>
            </w:rPr>
            <w:t>2.1流域概况</w:t>
          </w:r>
          <w:r>
            <w:tab/>
          </w:r>
          <w:r>
            <w:fldChar w:fldCharType="begin"/>
          </w:r>
          <w:r>
            <w:instrText xml:space="preserve"> PAGEREF _Toc86049152 \h </w:instrText>
          </w:r>
          <w:r>
            <w:fldChar w:fldCharType="separate"/>
          </w:r>
          <w:r>
            <w:t>19</w:t>
          </w:r>
          <w:r>
            <w:fldChar w:fldCharType="end"/>
          </w:r>
          <w:r>
            <w:fldChar w:fldCharType="end"/>
          </w:r>
        </w:p>
        <w:p>
          <w:pPr>
            <w:pStyle w:val="15"/>
            <w:tabs>
              <w:tab w:val="clear" w:pos="2070"/>
            </w:tabs>
            <w:ind w:firstLine="0" w:firstLineChars="0"/>
            <w:rPr>
              <w:rFonts w:asciiTheme="minorHAnsi" w:hAnsiTheme="minorHAnsi" w:eastAsiaTheme="minorEastAsia"/>
              <w:sz w:val="21"/>
            </w:rPr>
          </w:pPr>
          <w:r>
            <w:fldChar w:fldCharType="begin"/>
          </w:r>
          <w:r>
            <w:instrText xml:space="preserve"> HYPERLINK \l "_Toc86049153" </w:instrText>
          </w:r>
          <w:r>
            <w:fldChar w:fldCharType="separate"/>
          </w:r>
          <w:r>
            <w:rPr>
              <w:rStyle w:val="27"/>
              <w:color w:val="auto"/>
            </w:rPr>
            <w:t>2.1.1自然地理</w:t>
          </w:r>
          <w:r>
            <w:tab/>
          </w:r>
          <w:r>
            <w:fldChar w:fldCharType="begin"/>
          </w:r>
          <w:r>
            <w:instrText xml:space="preserve"> PAGEREF _Toc86049153 \h </w:instrText>
          </w:r>
          <w:r>
            <w:fldChar w:fldCharType="separate"/>
          </w:r>
          <w:r>
            <w:t>19</w:t>
          </w:r>
          <w:r>
            <w:fldChar w:fldCharType="end"/>
          </w:r>
          <w:r>
            <w:fldChar w:fldCharType="end"/>
          </w:r>
        </w:p>
        <w:p>
          <w:pPr>
            <w:pStyle w:val="15"/>
            <w:tabs>
              <w:tab w:val="clear" w:pos="2070"/>
            </w:tabs>
            <w:ind w:firstLine="0" w:firstLineChars="0"/>
            <w:rPr>
              <w:rFonts w:asciiTheme="minorHAnsi" w:hAnsiTheme="minorHAnsi" w:eastAsiaTheme="minorEastAsia"/>
              <w:sz w:val="21"/>
            </w:rPr>
          </w:pPr>
          <w:r>
            <w:fldChar w:fldCharType="begin"/>
          </w:r>
          <w:r>
            <w:instrText xml:space="preserve"> HYPERLINK \l "_Toc86049154" </w:instrText>
          </w:r>
          <w:r>
            <w:fldChar w:fldCharType="separate"/>
          </w:r>
          <w:r>
            <w:rPr>
              <w:rStyle w:val="27"/>
              <w:color w:val="auto"/>
            </w:rPr>
            <w:t>2.1.2河流水系</w:t>
          </w:r>
          <w:r>
            <w:tab/>
          </w:r>
          <w:r>
            <w:fldChar w:fldCharType="begin"/>
          </w:r>
          <w:r>
            <w:instrText xml:space="preserve"> PAGEREF _Toc86049154 \h </w:instrText>
          </w:r>
          <w:r>
            <w:fldChar w:fldCharType="separate"/>
          </w:r>
          <w:r>
            <w:t>19</w:t>
          </w:r>
          <w:r>
            <w:fldChar w:fldCharType="end"/>
          </w:r>
          <w:r>
            <w:fldChar w:fldCharType="end"/>
          </w:r>
        </w:p>
        <w:p>
          <w:pPr>
            <w:pStyle w:val="15"/>
            <w:tabs>
              <w:tab w:val="clear" w:pos="2070"/>
            </w:tabs>
            <w:ind w:firstLine="0" w:firstLineChars="0"/>
            <w:rPr>
              <w:rFonts w:asciiTheme="minorHAnsi" w:hAnsiTheme="minorHAnsi" w:eastAsiaTheme="minorEastAsia"/>
              <w:sz w:val="21"/>
            </w:rPr>
          </w:pPr>
          <w:r>
            <w:fldChar w:fldCharType="begin"/>
          </w:r>
          <w:r>
            <w:instrText xml:space="preserve"> HYPERLINK \l "_Toc86049155" </w:instrText>
          </w:r>
          <w:r>
            <w:fldChar w:fldCharType="separate"/>
          </w:r>
          <w:r>
            <w:rPr>
              <w:rStyle w:val="27"/>
              <w:color w:val="auto"/>
            </w:rPr>
            <w:t>2.1.3河道历史演变</w:t>
          </w:r>
          <w:r>
            <w:tab/>
          </w:r>
          <w:r>
            <w:fldChar w:fldCharType="begin"/>
          </w:r>
          <w:r>
            <w:instrText xml:space="preserve"> PAGEREF _Toc86049155 \h </w:instrText>
          </w:r>
          <w:r>
            <w:fldChar w:fldCharType="separate"/>
          </w:r>
          <w:r>
            <w:t>20</w:t>
          </w:r>
          <w:r>
            <w:fldChar w:fldCharType="end"/>
          </w:r>
          <w:r>
            <w:fldChar w:fldCharType="end"/>
          </w:r>
        </w:p>
        <w:p>
          <w:pPr>
            <w:pStyle w:val="22"/>
            <w:tabs>
              <w:tab w:val="right" w:leader="dot" w:pos="8296"/>
            </w:tabs>
            <w:ind w:left="480" w:firstLine="0" w:firstLineChars="0"/>
            <w:rPr>
              <w:rFonts w:asciiTheme="minorHAnsi" w:hAnsiTheme="minorHAnsi" w:eastAsiaTheme="minorEastAsia"/>
              <w:sz w:val="21"/>
            </w:rPr>
          </w:pPr>
          <w:r>
            <w:fldChar w:fldCharType="begin"/>
          </w:r>
          <w:r>
            <w:instrText xml:space="preserve"> HYPERLINK \l "_Toc86049156" </w:instrText>
          </w:r>
          <w:r>
            <w:fldChar w:fldCharType="separate"/>
          </w:r>
          <w:r>
            <w:rPr>
              <w:rStyle w:val="27"/>
              <w:color w:val="auto"/>
            </w:rPr>
            <w:t>2.2社会经济概况</w:t>
          </w:r>
          <w:r>
            <w:tab/>
          </w:r>
          <w:r>
            <w:fldChar w:fldCharType="begin"/>
          </w:r>
          <w:r>
            <w:instrText xml:space="preserve"> PAGEREF _Toc86049156 \h </w:instrText>
          </w:r>
          <w:r>
            <w:fldChar w:fldCharType="separate"/>
          </w:r>
          <w:r>
            <w:t>20</w:t>
          </w:r>
          <w:r>
            <w:fldChar w:fldCharType="end"/>
          </w:r>
          <w:r>
            <w:fldChar w:fldCharType="end"/>
          </w:r>
        </w:p>
        <w:p>
          <w:pPr>
            <w:pStyle w:val="15"/>
            <w:tabs>
              <w:tab w:val="clear" w:pos="2070"/>
            </w:tabs>
            <w:ind w:firstLine="0" w:firstLineChars="0"/>
            <w:rPr>
              <w:rFonts w:asciiTheme="minorHAnsi" w:hAnsiTheme="minorHAnsi" w:eastAsiaTheme="minorEastAsia"/>
              <w:sz w:val="21"/>
            </w:rPr>
          </w:pPr>
          <w:r>
            <w:fldChar w:fldCharType="begin"/>
          </w:r>
          <w:r>
            <w:instrText xml:space="preserve"> HYPERLINK \l "_Toc86049157" </w:instrText>
          </w:r>
          <w:r>
            <w:fldChar w:fldCharType="separate"/>
          </w:r>
          <w:r>
            <w:rPr>
              <w:rStyle w:val="27"/>
              <w:color w:val="auto"/>
            </w:rPr>
            <w:t>2.2.1旺苍县经济概况</w:t>
          </w:r>
          <w:r>
            <w:tab/>
          </w:r>
          <w:r>
            <w:fldChar w:fldCharType="begin"/>
          </w:r>
          <w:r>
            <w:instrText xml:space="preserve"> PAGEREF _Toc86049157 \h </w:instrText>
          </w:r>
          <w:r>
            <w:fldChar w:fldCharType="separate"/>
          </w:r>
          <w:r>
            <w:t>20</w:t>
          </w:r>
          <w:r>
            <w:fldChar w:fldCharType="end"/>
          </w:r>
          <w:r>
            <w:fldChar w:fldCharType="end"/>
          </w:r>
        </w:p>
        <w:p>
          <w:pPr>
            <w:pStyle w:val="15"/>
            <w:tabs>
              <w:tab w:val="clear" w:pos="2070"/>
            </w:tabs>
            <w:ind w:firstLine="0" w:firstLineChars="0"/>
            <w:rPr>
              <w:rFonts w:asciiTheme="minorHAnsi" w:hAnsiTheme="minorHAnsi" w:eastAsiaTheme="minorEastAsia"/>
              <w:sz w:val="21"/>
            </w:rPr>
          </w:pPr>
          <w:r>
            <w:fldChar w:fldCharType="begin"/>
          </w:r>
          <w:r>
            <w:instrText xml:space="preserve"> HYPERLINK \l "_Toc86049158" </w:instrText>
          </w:r>
          <w:r>
            <w:fldChar w:fldCharType="separate"/>
          </w:r>
          <w:r>
            <w:rPr>
              <w:rStyle w:val="27"/>
              <w:color w:val="auto"/>
            </w:rPr>
            <w:t>2.2.2盐井河流域经济概况</w:t>
          </w:r>
          <w:r>
            <w:tab/>
          </w:r>
          <w:r>
            <w:fldChar w:fldCharType="begin"/>
          </w:r>
          <w:r>
            <w:instrText xml:space="preserve"> PAGEREF _Toc86049158 \h </w:instrText>
          </w:r>
          <w:r>
            <w:fldChar w:fldCharType="separate"/>
          </w:r>
          <w:r>
            <w:t>22</w:t>
          </w:r>
          <w:r>
            <w:fldChar w:fldCharType="end"/>
          </w:r>
          <w:r>
            <w:fldChar w:fldCharType="end"/>
          </w:r>
        </w:p>
        <w:p>
          <w:pPr>
            <w:pStyle w:val="22"/>
            <w:tabs>
              <w:tab w:val="right" w:leader="dot" w:pos="8296"/>
            </w:tabs>
            <w:ind w:left="480" w:firstLine="0" w:firstLineChars="0"/>
            <w:rPr>
              <w:rFonts w:asciiTheme="minorHAnsi" w:hAnsiTheme="minorHAnsi" w:eastAsiaTheme="minorEastAsia"/>
              <w:sz w:val="21"/>
            </w:rPr>
          </w:pPr>
          <w:r>
            <w:fldChar w:fldCharType="begin"/>
          </w:r>
          <w:r>
            <w:instrText xml:space="preserve"> HYPERLINK \l "_Toc86049159" </w:instrText>
          </w:r>
          <w:r>
            <w:fldChar w:fldCharType="separate"/>
          </w:r>
          <w:r>
            <w:rPr>
              <w:rStyle w:val="27"/>
              <w:color w:val="auto"/>
            </w:rPr>
            <w:t>2.3水资源开发利用现状及存在的问题</w:t>
          </w:r>
          <w:r>
            <w:tab/>
          </w:r>
          <w:r>
            <w:fldChar w:fldCharType="begin"/>
          </w:r>
          <w:r>
            <w:instrText xml:space="preserve"> PAGEREF _Toc86049159 \h </w:instrText>
          </w:r>
          <w:r>
            <w:fldChar w:fldCharType="separate"/>
          </w:r>
          <w:r>
            <w:t>23</w:t>
          </w:r>
          <w:r>
            <w:fldChar w:fldCharType="end"/>
          </w:r>
          <w:r>
            <w:fldChar w:fldCharType="end"/>
          </w:r>
        </w:p>
        <w:p>
          <w:pPr>
            <w:pStyle w:val="15"/>
            <w:tabs>
              <w:tab w:val="clear" w:pos="2070"/>
            </w:tabs>
            <w:ind w:firstLine="0" w:firstLineChars="0"/>
            <w:rPr>
              <w:rFonts w:asciiTheme="minorHAnsi" w:hAnsiTheme="minorHAnsi" w:eastAsiaTheme="minorEastAsia"/>
              <w:sz w:val="21"/>
            </w:rPr>
          </w:pPr>
          <w:r>
            <w:fldChar w:fldCharType="begin"/>
          </w:r>
          <w:r>
            <w:instrText xml:space="preserve"> HYPERLINK \l "_Toc86049160" </w:instrText>
          </w:r>
          <w:r>
            <w:fldChar w:fldCharType="separate"/>
          </w:r>
          <w:r>
            <w:rPr>
              <w:rStyle w:val="27"/>
              <w:color w:val="auto"/>
            </w:rPr>
            <w:t>2.3.1水资源现状</w:t>
          </w:r>
          <w:r>
            <w:tab/>
          </w:r>
          <w:r>
            <w:fldChar w:fldCharType="begin"/>
          </w:r>
          <w:r>
            <w:instrText xml:space="preserve"> PAGEREF _Toc86049160 \h </w:instrText>
          </w:r>
          <w:r>
            <w:fldChar w:fldCharType="separate"/>
          </w:r>
          <w:r>
            <w:t>23</w:t>
          </w:r>
          <w:r>
            <w:fldChar w:fldCharType="end"/>
          </w:r>
          <w:r>
            <w:fldChar w:fldCharType="end"/>
          </w:r>
        </w:p>
        <w:p>
          <w:pPr>
            <w:pStyle w:val="15"/>
            <w:tabs>
              <w:tab w:val="clear" w:pos="2070"/>
            </w:tabs>
            <w:ind w:firstLine="0" w:firstLineChars="0"/>
            <w:rPr>
              <w:rFonts w:asciiTheme="minorHAnsi" w:hAnsiTheme="minorHAnsi" w:eastAsiaTheme="minorEastAsia"/>
              <w:sz w:val="21"/>
            </w:rPr>
          </w:pPr>
          <w:r>
            <w:fldChar w:fldCharType="begin"/>
          </w:r>
          <w:r>
            <w:instrText xml:space="preserve"> HYPERLINK \l "_Toc86049161" </w:instrText>
          </w:r>
          <w:r>
            <w:fldChar w:fldCharType="separate"/>
          </w:r>
          <w:r>
            <w:rPr>
              <w:rStyle w:val="27"/>
              <w:color w:val="auto"/>
            </w:rPr>
            <w:t>2.3.2供用水现状</w:t>
          </w:r>
          <w:r>
            <w:tab/>
          </w:r>
          <w:r>
            <w:fldChar w:fldCharType="begin"/>
          </w:r>
          <w:r>
            <w:instrText xml:space="preserve"> PAGEREF _Toc86049161 \h </w:instrText>
          </w:r>
          <w:r>
            <w:fldChar w:fldCharType="separate"/>
          </w:r>
          <w:r>
            <w:t>23</w:t>
          </w:r>
          <w:r>
            <w:fldChar w:fldCharType="end"/>
          </w:r>
          <w:r>
            <w:fldChar w:fldCharType="end"/>
          </w:r>
        </w:p>
        <w:p>
          <w:pPr>
            <w:pStyle w:val="15"/>
            <w:tabs>
              <w:tab w:val="clear" w:pos="2070"/>
            </w:tabs>
            <w:ind w:firstLine="0" w:firstLineChars="0"/>
            <w:rPr>
              <w:rFonts w:asciiTheme="minorHAnsi" w:hAnsiTheme="minorHAnsi" w:eastAsiaTheme="minorEastAsia"/>
              <w:sz w:val="21"/>
            </w:rPr>
          </w:pPr>
          <w:r>
            <w:fldChar w:fldCharType="begin"/>
          </w:r>
          <w:r>
            <w:instrText xml:space="preserve"> HYPERLINK \l "_Toc86049162" </w:instrText>
          </w:r>
          <w:r>
            <w:fldChar w:fldCharType="separate"/>
          </w:r>
          <w:r>
            <w:rPr>
              <w:rStyle w:val="27"/>
              <w:color w:val="auto"/>
            </w:rPr>
            <w:t>2.3.3水环境现状</w:t>
          </w:r>
          <w:r>
            <w:tab/>
          </w:r>
          <w:r>
            <w:fldChar w:fldCharType="begin"/>
          </w:r>
          <w:r>
            <w:instrText xml:space="preserve"> PAGEREF _Toc86049162 \h </w:instrText>
          </w:r>
          <w:r>
            <w:fldChar w:fldCharType="separate"/>
          </w:r>
          <w:r>
            <w:t>23</w:t>
          </w:r>
          <w:r>
            <w:fldChar w:fldCharType="end"/>
          </w:r>
          <w:r>
            <w:fldChar w:fldCharType="end"/>
          </w:r>
        </w:p>
        <w:p>
          <w:pPr>
            <w:pStyle w:val="15"/>
            <w:tabs>
              <w:tab w:val="clear" w:pos="2070"/>
            </w:tabs>
            <w:ind w:firstLine="0" w:firstLineChars="0"/>
            <w:rPr>
              <w:rFonts w:asciiTheme="minorHAnsi" w:hAnsiTheme="minorHAnsi" w:eastAsiaTheme="minorEastAsia"/>
              <w:sz w:val="21"/>
            </w:rPr>
          </w:pPr>
          <w:r>
            <w:fldChar w:fldCharType="begin"/>
          </w:r>
          <w:r>
            <w:instrText xml:space="preserve"> HYPERLINK \l "_Toc86049163" </w:instrText>
          </w:r>
          <w:r>
            <w:fldChar w:fldCharType="separate"/>
          </w:r>
          <w:r>
            <w:rPr>
              <w:rStyle w:val="27"/>
              <w:color w:val="auto"/>
            </w:rPr>
            <w:t>2.3.4水生态现状</w:t>
          </w:r>
          <w:r>
            <w:tab/>
          </w:r>
          <w:r>
            <w:fldChar w:fldCharType="begin"/>
          </w:r>
          <w:r>
            <w:instrText xml:space="preserve"> PAGEREF _Toc86049163 \h </w:instrText>
          </w:r>
          <w:r>
            <w:fldChar w:fldCharType="separate"/>
          </w:r>
          <w:r>
            <w:t>24</w:t>
          </w:r>
          <w:r>
            <w:fldChar w:fldCharType="end"/>
          </w:r>
          <w:r>
            <w:fldChar w:fldCharType="end"/>
          </w:r>
        </w:p>
        <w:p>
          <w:pPr>
            <w:pStyle w:val="15"/>
            <w:tabs>
              <w:tab w:val="clear" w:pos="2070"/>
            </w:tabs>
            <w:ind w:firstLine="0" w:firstLineChars="0"/>
            <w:rPr>
              <w:rFonts w:asciiTheme="minorHAnsi" w:hAnsiTheme="minorHAnsi" w:eastAsiaTheme="minorEastAsia"/>
              <w:sz w:val="21"/>
            </w:rPr>
          </w:pPr>
          <w:r>
            <w:fldChar w:fldCharType="begin"/>
          </w:r>
          <w:r>
            <w:instrText xml:space="preserve"> HYPERLINK \l "_Toc86049164" </w:instrText>
          </w:r>
          <w:r>
            <w:fldChar w:fldCharType="separate"/>
          </w:r>
          <w:r>
            <w:rPr>
              <w:rStyle w:val="27"/>
              <w:color w:val="auto"/>
            </w:rPr>
            <w:t>2.3.5存在的主要问题</w:t>
          </w:r>
          <w:r>
            <w:tab/>
          </w:r>
          <w:r>
            <w:fldChar w:fldCharType="begin"/>
          </w:r>
          <w:r>
            <w:instrText xml:space="preserve"> PAGEREF _Toc86049164 \h </w:instrText>
          </w:r>
          <w:r>
            <w:fldChar w:fldCharType="separate"/>
          </w:r>
          <w:r>
            <w:t>25</w:t>
          </w:r>
          <w:r>
            <w:fldChar w:fldCharType="end"/>
          </w:r>
          <w:r>
            <w:fldChar w:fldCharType="end"/>
          </w:r>
        </w:p>
        <w:p>
          <w:pPr>
            <w:pStyle w:val="22"/>
            <w:tabs>
              <w:tab w:val="right" w:leader="dot" w:pos="8296"/>
            </w:tabs>
            <w:ind w:left="480" w:firstLine="0" w:firstLineChars="0"/>
            <w:rPr>
              <w:rFonts w:asciiTheme="minorHAnsi" w:hAnsiTheme="minorHAnsi" w:eastAsiaTheme="minorEastAsia"/>
              <w:sz w:val="21"/>
            </w:rPr>
          </w:pPr>
          <w:r>
            <w:fldChar w:fldCharType="begin"/>
          </w:r>
          <w:r>
            <w:instrText xml:space="preserve"> HYPERLINK \l "_Toc86049165" </w:instrText>
          </w:r>
          <w:r>
            <w:fldChar w:fldCharType="separate"/>
          </w:r>
          <w:r>
            <w:rPr>
              <w:rStyle w:val="27"/>
              <w:color w:val="auto"/>
            </w:rPr>
            <w:t>2.4河湖健康评价工作现状</w:t>
          </w:r>
          <w:r>
            <w:tab/>
          </w:r>
          <w:r>
            <w:fldChar w:fldCharType="begin"/>
          </w:r>
          <w:r>
            <w:instrText xml:space="preserve"> PAGEREF _Toc86049165 \h </w:instrText>
          </w:r>
          <w:r>
            <w:fldChar w:fldCharType="separate"/>
          </w:r>
          <w:r>
            <w:t>26</w:t>
          </w:r>
          <w:r>
            <w:fldChar w:fldCharType="end"/>
          </w:r>
          <w:r>
            <w:fldChar w:fldCharType="end"/>
          </w:r>
        </w:p>
        <w:p>
          <w:pPr>
            <w:pStyle w:val="15"/>
            <w:tabs>
              <w:tab w:val="clear" w:pos="2070"/>
            </w:tabs>
            <w:ind w:firstLine="0" w:firstLineChars="0"/>
            <w:rPr>
              <w:rFonts w:asciiTheme="minorHAnsi" w:hAnsiTheme="minorHAnsi" w:eastAsiaTheme="minorEastAsia"/>
              <w:sz w:val="21"/>
            </w:rPr>
          </w:pPr>
          <w:r>
            <w:fldChar w:fldCharType="begin"/>
          </w:r>
          <w:r>
            <w:instrText xml:space="preserve"> HYPERLINK \l "_Toc86049166" </w:instrText>
          </w:r>
          <w:r>
            <w:fldChar w:fldCharType="separate"/>
          </w:r>
          <w:r>
            <w:rPr>
              <w:rStyle w:val="27"/>
              <w:color w:val="auto"/>
            </w:rPr>
            <w:t>2.4.1组织单位</w:t>
          </w:r>
          <w:r>
            <w:tab/>
          </w:r>
          <w:r>
            <w:fldChar w:fldCharType="begin"/>
          </w:r>
          <w:r>
            <w:instrText xml:space="preserve"> PAGEREF _Toc86049166 \h </w:instrText>
          </w:r>
          <w:r>
            <w:fldChar w:fldCharType="separate"/>
          </w:r>
          <w:r>
            <w:t>26</w:t>
          </w:r>
          <w:r>
            <w:fldChar w:fldCharType="end"/>
          </w:r>
          <w:r>
            <w:fldChar w:fldCharType="end"/>
          </w:r>
        </w:p>
        <w:p>
          <w:pPr>
            <w:pStyle w:val="15"/>
            <w:tabs>
              <w:tab w:val="clear" w:pos="2070"/>
            </w:tabs>
            <w:ind w:firstLine="0" w:firstLineChars="0"/>
            <w:rPr>
              <w:rFonts w:asciiTheme="minorHAnsi" w:hAnsiTheme="minorHAnsi" w:eastAsiaTheme="minorEastAsia"/>
              <w:sz w:val="21"/>
            </w:rPr>
          </w:pPr>
          <w:r>
            <w:fldChar w:fldCharType="begin"/>
          </w:r>
          <w:r>
            <w:instrText xml:space="preserve"> HYPERLINK \l "_Toc86049167" </w:instrText>
          </w:r>
          <w:r>
            <w:fldChar w:fldCharType="separate"/>
          </w:r>
          <w:r>
            <w:rPr>
              <w:rStyle w:val="27"/>
              <w:color w:val="auto"/>
            </w:rPr>
            <w:t>2.4.2主要工作内容</w:t>
          </w:r>
          <w:r>
            <w:tab/>
          </w:r>
          <w:r>
            <w:fldChar w:fldCharType="begin"/>
          </w:r>
          <w:r>
            <w:instrText xml:space="preserve"> PAGEREF _Toc86049167 \h </w:instrText>
          </w:r>
          <w:r>
            <w:fldChar w:fldCharType="separate"/>
          </w:r>
          <w:r>
            <w:t>26</w:t>
          </w:r>
          <w:r>
            <w:fldChar w:fldCharType="end"/>
          </w:r>
          <w:r>
            <w:fldChar w:fldCharType="end"/>
          </w:r>
        </w:p>
        <w:p>
          <w:pPr>
            <w:pStyle w:val="15"/>
            <w:tabs>
              <w:tab w:val="clear" w:pos="2070"/>
            </w:tabs>
            <w:ind w:firstLine="0" w:firstLineChars="0"/>
            <w:rPr>
              <w:rFonts w:asciiTheme="minorHAnsi" w:hAnsiTheme="minorHAnsi" w:eastAsiaTheme="minorEastAsia"/>
              <w:sz w:val="21"/>
            </w:rPr>
          </w:pPr>
          <w:r>
            <w:fldChar w:fldCharType="begin"/>
          </w:r>
          <w:r>
            <w:instrText xml:space="preserve"> HYPERLINK \l "_Toc86049168" </w:instrText>
          </w:r>
          <w:r>
            <w:fldChar w:fldCharType="separate"/>
          </w:r>
          <w:r>
            <w:rPr>
              <w:rStyle w:val="27"/>
              <w:color w:val="auto"/>
            </w:rPr>
            <w:t>2.4.3取得的主要成果</w:t>
          </w:r>
          <w:r>
            <w:tab/>
          </w:r>
          <w:r>
            <w:fldChar w:fldCharType="begin"/>
          </w:r>
          <w:r>
            <w:instrText xml:space="preserve"> PAGEREF _Toc86049168 \h </w:instrText>
          </w:r>
          <w:r>
            <w:fldChar w:fldCharType="separate"/>
          </w:r>
          <w:r>
            <w:t>27</w:t>
          </w:r>
          <w:r>
            <w:fldChar w:fldCharType="end"/>
          </w:r>
          <w:r>
            <w:fldChar w:fldCharType="end"/>
          </w:r>
        </w:p>
        <w:p>
          <w:pPr>
            <w:pStyle w:val="21"/>
            <w:tabs>
              <w:tab w:val="left" w:pos="199"/>
            </w:tabs>
            <w:ind w:firstLine="0" w:firstLineChars="0"/>
            <w:rPr>
              <w:rFonts w:asciiTheme="minorHAnsi" w:hAnsiTheme="minorHAnsi" w:eastAsiaTheme="minorEastAsia"/>
              <w:b w:val="0"/>
              <w:sz w:val="21"/>
              <w:szCs w:val="22"/>
            </w:rPr>
          </w:pPr>
          <w:r>
            <w:fldChar w:fldCharType="begin"/>
          </w:r>
          <w:r>
            <w:instrText xml:space="preserve"> HYPERLINK \l "_Toc86049169" </w:instrText>
          </w:r>
          <w:r>
            <w:fldChar w:fldCharType="separate"/>
          </w:r>
          <w:r>
            <w:rPr>
              <w:rStyle w:val="27"/>
              <w:color w:val="auto"/>
            </w:rPr>
            <w:t>3</w:t>
          </w:r>
          <w:r>
            <w:rPr>
              <w:rFonts w:asciiTheme="minorHAnsi" w:hAnsiTheme="minorHAnsi" w:eastAsiaTheme="minorEastAsia"/>
              <w:b w:val="0"/>
              <w:sz w:val="21"/>
              <w:szCs w:val="22"/>
            </w:rPr>
            <w:tab/>
          </w:r>
          <w:r>
            <w:rPr>
              <w:rStyle w:val="27"/>
              <w:color w:val="auto"/>
            </w:rPr>
            <w:t>河湖健康评价方案</w:t>
          </w:r>
          <w:r>
            <w:tab/>
          </w:r>
          <w:r>
            <w:fldChar w:fldCharType="begin"/>
          </w:r>
          <w:r>
            <w:instrText xml:space="preserve"> PAGEREF _Toc86049169 \h </w:instrText>
          </w:r>
          <w:r>
            <w:fldChar w:fldCharType="separate"/>
          </w:r>
          <w:r>
            <w:t>28</w:t>
          </w:r>
          <w:r>
            <w:fldChar w:fldCharType="end"/>
          </w:r>
          <w:r>
            <w:fldChar w:fldCharType="end"/>
          </w:r>
        </w:p>
        <w:p>
          <w:pPr>
            <w:pStyle w:val="22"/>
            <w:tabs>
              <w:tab w:val="right" w:leader="dot" w:pos="8296"/>
            </w:tabs>
            <w:ind w:left="480" w:firstLine="0" w:firstLineChars="0"/>
            <w:rPr>
              <w:rFonts w:asciiTheme="minorHAnsi" w:hAnsiTheme="minorHAnsi" w:eastAsiaTheme="minorEastAsia"/>
              <w:sz w:val="21"/>
            </w:rPr>
          </w:pPr>
          <w:r>
            <w:fldChar w:fldCharType="begin"/>
          </w:r>
          <w:r>
            <w:instrText xml:space="preserve"> HYPERLINK \l "_Toc86049170" </w:instrText>
          </w:r>
          <w:r>
            <w:fldChar w:fldCharType="separate"/>
          </w:r>
          <w:r>
            <w:rPr>
              <w:rStyle w:val="27"/>
              <w:color w:val="auto"/>
            </w:rPr>
            <w:t>3.1评价指标体系、评价方法及评价标准</w:t>
          </w:r>
          <w:r>
            <w:tab/>
          </w:r>
          <w:r>
            <w:fldChar w:fldCharType="begin"/>
          </w:r>
          <w:r>
            <w:instrText xml:space="preserve"> PAGEREF _Toc86049170 \h </w:instrText>
          </w:r>
          <w:r>
            <w:fldChar w:fldCharType="separate"/>
          </w:r>
          <w:r>
            <w:t>28</w:t>
          </w:r>
          <w:r>
            <w:fldChar w:fldCharType="end"/>
          </w:r>
          <w:r>
            <w:fldChar w:fldCharType="end"/>
          </w:r>
        </w:p>
        <w:p>
          <w:pPr>
            <w:pStyle w:val="15"/>
            <w:tabs>
              <w:tab w:val="clear" w:pos="2070"/>
            </w:tabs>
            <w:ind w:firstLine="0" w:firstLineChars="0"/>
            <w:rPr>
              <w:rFonts w:asciiTheme="minorHAnsi" w:hAnsiTheme="minorHAnsi" w:eastAsiaTheme="minorEastAsia"/>
              <w:sz w:val="21"/>
            </w:rPr>
          </w:pPr>
          <w:r>
            <w:fldChar w:fldCharType="begin"/>
          </w:r>
          <w:r>
            <w:instrText xml:space="preserve"> HYPERLINK \l "_Toc86049171" </w:instrText>
          </w:r>
          <w:r>
            <w:fldChar w:fldCharType="separate"/>
          </w:r>
          <w:r>
            <w:rPr>
              <w:rStyle w:val="27"/>
              <w:color w:val="auto"/>
            </w:rPr>
            <w:t>3.1.1评价指标体系</w:t>
          </w:r>
          <w:r>
            <w:tab/>
          </w:r>
          <w:r>
            <w:fldChar w:fldCharType="begin"/>
          </w:r>
          <w:r>
            <w:instrText xml:space="preserve"> PAGEREF _Toc86049171 \h </w:instrText>
          </w:r>
          <w:r>
            <w:fldChar w:fldCharType="separate"/>
          </w:r>
          <w:r>
            <w:t>28</w:t>
          </w:r>
          <w:r>
            <w:fldChar w:fldCharType="end"/>
          </w:r>
          <w:r>
            <w:fldChar w:fldCharType="end"/>
          </w:r>
        </w:p>
        <w:p>
          <w:pPr>
            <w:pStyle w:val="15"/>
            <w:tabs>
              <w:tab w:val="clear" w:pos="2070"/>
            </w:tabs>
            <w:ind w:firstLine="0" w:firstLineChars="0"/>
            <w:rPr>
              <w:rFonts w:asciiTheme="minorHAnsi" w:hAnsiTheme="minorHAnsi" w:eastAsiaTheme="minorEastAsia"/>
              <w:sz w:val="21"/>
            </w:rPr>
          </w:pPr>
          <w:r>
            <w:fldChar w:fldCharType="begin"/>
          </w:r>
          <w:r>
            <w:instrText xml:space="preserve"> HYPERLINK \l "_Toc86049172" </w:instrText>
          </w:r>
          <w:r>
            <w:fldChar w:fldCharType="separate"/>
          </w:r>
          <w:r>
            <w:rPr>
              <w:rStyle w:val="27"/>
              <w:color w:val="auto"/>
            </w:rPr>
            <w:t>3.1.2评价方法及评价标准</w:t>
          </w:r>
          <w:r>
            <w:tab/>
          </w:r>
          <w:r>
            <w:fldChar w:fldCharType="begin"/>
          </w:r>
          <w:r>
            <w:instrText xml:space="preserve"> PAGEREF _Toc86049172 \h </w:instrText>
          </w:r>
          <w:r>
            <w:fldChar w:fldCharType="separate"/>
          </w:r>
          <w:r>
            <w:t>28</w:t>
          </w:r>
          <w:r>
            <w:fldChar w:fldCharType="end"/>
          </w:r>
          <w:r>
            <w:fldChar w:fldCharType="end"/>
          </w:r>
        </w:p>
        <w:p>
          <w:pPr>
            <w:pStyle w:val="15"/>
            <w:tabs>
              <w:tab w:val="clear" w:pos="2070"/>
            </w:tabs>
            <w:ind w:firstLine="0" w:firstLineChars="0"/>
            <w:rPr>
              <w:rFonts w:asciiTheme="minorHAnsi" w:hAnsiTheme="minorHAnsi" w:eastAsiaTheme="minorEastAsia"/>
              <w:sz w:val="21"/>
            </w:rPr>
          </w:pPr>
          <w:r>
            <w:fldChar w:fldCharType="begin"/>
          </w:r>
          <w:r>
            <w:instrText xml:space="preserve"> HYPERLINK \l "_Toc86049173" </w:instrText>
          </w:r>
          <w:r>
            <w:fldChar w:fldCharType="separate"/>
          </w:r>
          <w:r>
            <w:rPr>
              <w:rStyle w:val="27"/>
              <w:color w:val="auto"/>
            </w:rPr>
            <w:t>3.1.3指标权重</w:t>
          </w:r>
          <w:r>
            <w:tab/>
          </w:r>
          <w:r>
            <w:fldChar w:fldCharType="begin"/>
          </w:r>
          <w:r>
            <w:instrText xml:space="preserve"> PAGEREF _Toc86049173 \h </w:instrText>
          </w:r>
          <w:r>
            <w:fldChar w:fldCharType="separate"/>
          </w:r>
          <w:r>
            <w:t>33</w:t>
          </w:r>
          <w:r>
            <w:fldChar w:fldCharType="end"/>
          </w:r>
          <w:r>
            <w:fldChar w:fldCharType="end"/>
          </w:r>
        </w:p>
        <w:p>
          <w:pPr>
            <w:pStyle w:val="22"/>
            <w:tabs>
              <w:tab w:val="right" w:leader="dot" w:pos="8296"/>
            </w:tabs>
            <w:ind w:left="480" w:firstLine="0" w:firstLineChars="0"/>
            <w:rPr>
              <w:rFonts w:asciiTheme="minorHAnsi" w:hAnsiTheme="minorHAnsi" w:eastAsiaTheme="minorEastAsia"/>
              <w:sz w:val="21"/>
            </w:rPr>
          </w:pPr>
          <w:r>
            <w:fldChar w:fldCharType="begin"/>
          </w:r>
          <w:r>
            <w:instrText xml:space="preserve"> HYPERLINK \l "_Toc86049174" </w:instrText>
          </w:r>
          <w:r>
            <w:fldChar w:fldCharType="separate"/>
          </w:r>
          <w:r>
            <w:rPr>
              <w:rStyle w:val="27"/>
              <w:color w:val="auto"/>
            </w:rPr>
            <w:t>3.2评价范围</w:t>
          </w:r>
          <w:r>
            <w:tab/>
          </w:r>
          <w:r>
            <w:fldChar w:fldCharType="begin"/>
          </w:r>
          <w:r>
            <w:instrText xml:space="preserve"> PAGEREF _Toc86049174 \h </w:instrText>
          </w:r>
          <w:r>
            <w:fldChar w:fldCharType="separate"/>
          </w:r>
          <w:r>
            <w:t>34</w:t>
          </w:r>
          <w:r>
            <w:fldChar w:fldCharType="end"/>
          </w:r>
          <w:r>
            <w:fldChar w:fldCharType="end"/>
          </w:r>
        </w:p>
        <w:p>
          <w:pPr>
            <w:pStyle w:val="15"/>
            <w:tabs>
              <w:tab w:val="clear" w:pos="2070"/>
            </w:tabs>
            <w:ind w:firstLine="0" w:firstLineChars="0"/>
            <w:rPr>
              <w:rFonts w:asciiTheme="minorHAnsi" w:hAnsiTheme="minorHAnsi" w:eastAsiaTheme="minorEastAsia"/>
              <w:sz w:val="21"/>
            </w:rPr>
          </w:pPr>
          <w:r>
            <w:fldChar w:fldCharType="begin"/>
          </w:r>
          <w:r>
            <w:instrText xml:space="preserve"> HYPERLINK \l "_Toc86049175" </w:instrText>
          </w:r>
          <w:r>
            <w:fldChar w:fldCharType="separate"/>
          </w:r>
          <w:r>
            <w:rPr>
              <w:rStyle w:val="27"/>
              <w:color w:val="auto"/>
            </w:rPr>
            <w:t>3.2.1地理位置</w:t>
          </w:r>
          <w:r>
            <w:tab/>
          </w:r>
          <w:r>
            <w:fldChar w:fldCharType="begin"/>
          </w:r>
          <w:r>
            <w:instrText xml:space="preserve"> PAGEREF _Toc86049175 \h </w:instrText>
          </w:r>
          <w:r>
            <w:fldChar w:fldCharType="separate"/>
          </w:r>
          <w:r>
            <w:t>34</w:t>
          </w:r>
          <w:r>
            <w:fldChar w:fldCharType="end"/>
          </w:r>
          <w:r>
            <w:fldChar w:fldCharType="end"/>
          </w:r>
        </w:p>
        <w:p>
          <w:pPr>
            <w:pStyle w:val="15"/>
            <w:tabs>
              <w:tab w:val="clear" w:pos="2070"/>
            </w:tabs>
            <w:ind w:firstLine="0" w:firstLineChars="0"/>
            <w:rPr>
              <w:rFonts w:asciiTheme="minorHAnsi" w:hAnsiTheme="minorHAnsi" w:eastAsiaTheme="minorEastAsia"/>
              <w:sz w:val="21"/>
            </w:rPr>
          </w:pPr>
          <w:r>
            <w:fldChar w:fldCharType="begin"/>
          </w:r>
          <w:r>
            <w:instrText xml:space="preserve"> HYPERLINK \l "_Toc86049176" </w:instrText>
          </w:r>
          <w:r>
            <w:fldChar w:fldCharType="separate"/>
          </w:r>
          <w:r>
            <w:rPr>
              <w:rStyle w:val="27"/>
              <w:color w:val="auto"/>
            </w:rPr>
            <w:t>3.2.2评价范围</w:t>
          </w:r>
          <w:r>
            <w:tab/>
          </w:r>
          <w:r>
            <w:fldChar w:fldCharType="begin"/>
          </w:r>
          <w:r>
            <w:instrText xml:space="preserve"> PAGEREF _Toc86049176 \h </w:instrText>
          </w:r>
          <w:r>
            <w:fldChar w:fldCharType="separate"/>
          </w:r>
          <w:r>
            <w:t>34</w:t>
          </w:r>
          <w:r>
            <w:fldChar w:fldCharType="end"/>
          </w:r>
          <w:r>
            <w:fldChar w:fldCharType="end"/>
          </w:r>
        </w:p>
        <w:p>
          <w:pPr>
            <w:pStyle w:val="15"/>
            <w:tabs>
              <w:tab w:val="clear" w:pos="2070"/>
            </w:tabs>
            <w:ind w:firstLine="0" w:firstLineChars="0"/>
            <w:rPr>
              <w:rFonts w:asciiTheme="minorHAnsi" w:hAnsiTheme="minorHAnsi" w:eastAsiaTheme="minorEastAsia"/>
              <w:sz w:val="21"/>
            </w:rPr>
          </w:pPr>
          <w:r>
            <w:fldChar w:fldCharType="begin"/>
          </w:r>
          <w:r>
            <w:instrText xml:space="preserve"> HYPERLINK \l "_Toc86049177" </w:instrText>
          </w:r>
          <w:r>
            <w:fldChar w:fldCharType="separate"/>
          </w:r>
          <w:r>
            <w:rPr>
              <w:rStyle w:val="27"/>
              <w:color w:val="auto"/>
            </w:rPr>
            <w:t>3.2.3评价方案</w:t>
          </w:r>
          <w:r>
            <w:tab/>
          </w:r>
          <w:r>
            <w:fldChar w:fldCharType="begin"/>
          </w:r>
          <w:r>
            <w:instrText xml:space="preserve"> PAGEREF _Toc86049177 \h </w:instrText>
          </w:r>
          <w:r>
            <w:fldChar w:fldCharType="separate"/>
          </w:r>
          <w:r>
            <w:t>35</w:t>
          </w:r>
          <w:r>
            <w:fldChar w:fldCharType="end"/>
          </w:r>
          <w:r>
            <w:fldChar w:fldCharType="end"/>
          </w:r>
        </w:p>
        <w:p>
          <w:pPr>
            <w:pStyle w:val="15"/>
            <w:tabs>
              <w:tab w:val="clear" w:pos="2070"/>
            </w:tabs>
            <w:ind w:firstLine="0" w:firstLineChars="0"/>
            <w:rPr>
              <w:rFonts w:asciiTheme="minorHAnsi" w:hAnsiTheme="minorHAnsi" w:eastAsiaTheme="minorEastAsia"/>
              <w:sz w:val="21"/>
            </w:rPr>
          </w:pPr>
          <w:r>
            <w:fldChar w:fldCharType="begin"/>
          </w:r>
          <w:r>
            <w:instrText xml:space="preserve"> HYPERLINK \l "_Toc86049178" </w:instrText>
          </w:r>
          <w:r>
            <w:fldChar w:fldCharType="separate"/>
          </w:r>
          <w:r>
            <w:rPr>
              <w:rStyle w:val="27"/>
              <w:color w:val="auto"/>
            </w:rPr>
            <w:t>3.2.4分段合理性</w:t>
          </w:r>
          <w:r>
            <w:tab/>
          </w:r>
          <w:r>
            <w:fldChar w:fldCharType="begin"/>
          </w:r>
          <w:r>
            <w:instrText xml:space="preserve"> PAGEREF _Toc86049178 \h </w:instrText>
          </w:r>
          <w:r>
            <w:fldChar w:fldCharType="separate"/>
          </w:r>
          <w:r>
            <w:t>36</w:t>
          </w:r>
          <w:r>
            <w:fldChar w:fldCharType="end"/>
          </w:r>
          <w:r>
            <w:fldChar w:fldCharType="end"/>
          </w:r>
        </w:p>
        <w:p>
          <w:pPr>
            <w:pStyle w:val="22"/>
            <w:tabs>
              <w:tab w:val="right" w:leader="dot" w:pos="8296"/>
            </w:tabs>
            <w:ind w:left="480" w:firstLine="0" w:firstLineChars="0"/>
            <w:rPr>
              <w:rFonts w:asciiTheme="minorHAnsi" w:hAnsiTheme="minorHAnsi" w:eastAsiaTheme="minorEastAsia"/>
              <w:sz w:val="21"/>
            </w:rPr>
          </w:pPr>
          <w:r>
            <w:fldChar w:fldCharType="begin"/>
          </w:r>
          <w:r>
            <w:instrText xml:space="preserve"> HYPERLINK \l "_Toc86049179" </w:instrText>
          </w:r>
          <w:r>
            <w:fldChar w:fldCharType="separate"/>
          </w:r>
          <w:r>
            <w:rPr>
              <w:rStyle w:val="27"/>
              <w:color w:val="auto"/>
            </w:rPr>
            <w:t>3.3评价对象主要特性</w:t>
          </w:r>
          <w:r>
            <w:tab/>
          </w:r>
          <w:r>
            <w:fldChar w:fldCharType="begin"/>
          </w:r>
          <w:r>
            <w:instrText xml:space="preserve"> PAGEREF _Toc86049179 \h </w:instrText>
          </w:r>
          <w:r>
            <w:fldChar w:fldCharType="separate"/>
          </w:r>
          <w:r>
            <w:t>36</w:t>
          </w:r>
          <w:r>
            <w:fldChar w:fldCharType="end"/>
          </w:r>
          <w:r>
            <w:fldChar w:fldCharType="end"/>
          </w:r>
        </w:p>
        <w:p>
          <w:pPr>
            <w:pStyle w:val="15"/>
            <w:tabs>
              <w:tab w:val="clear" w:pos="2070"/>
            </w:tabs>
            <w:ind w:firstLine="0" w:firstLineChars="0"/>
            <w:rPr>
              <w:rFonts w:asciiTheme="minorHAnsi" w:hAnsiTheme="minorHAnsi" w:eastAsiaTheme="minorEastAsia"/>
              <w:sz w:val="21"/>
            </w:rPr>
          </w:pPr>
          <w:r>
            <w:fldChar w:fldCharType="begin"/>
          </w:r>
          <w:r>
            <w:instrText xml:space="preserve"> HYPERLINK \l "_Toc86049180" </w:instrText>
          </w:r>
          <w:r>
            <w:fldChar w:fldCharType="separate"/>
          </w:r>
          <w:r>
            <w:rPr>
              <w:rStyle w:val="27"/>
              <w:color w:val="auto"/>
            </w:rPr>
            <w:t>3.3.1地形地貌</w:t>
          </w:r>
          <w:r>
            <w:tab/>
          </w:r>
          <w:r>
            <w:fldChar w:fldCharType="begin"/>
          </w:r>
          <w:r>
            <w:instrText xml:space="preserve"> PAGEREF _Toc86049180 \h </w:instrText>
          </w:r>
          <w:r>
            <w:fldChar w:fldCharType="separate"/>
          </w:r>
          <w:r>
            <w:t>36</w:t>
          </w:r>
          <w:r>
            <w:fldChar w:fldCharType="end"/>
          </w:r>
          <w:r>
            <w:fldChar w:fldCharType="end"/>
          </w:r>
        </w:p>
        <w:p>
          <w:pPr>
            <w:pStyle w:val="15"/>
            <w:tabs>
              <w:tab w:val="clear" w:pos="2070"/>
            </w:tabs>
            <w:ind w:firstLine="0" w:firstLineChars="0"/>
            <w:rPr>
              <w:rFonts w:asciiTheme="minorHAnsi" w:hAnsiTheme="minorHAnsi" w:eastAsiaTheme="minorEastAsia"/>
              <w:sz w:val="21"/>
            </w:rPr>
          </w:pPr>
          <w:r>
            <w:fldChar w:fldCharType="begin"/>
          </w:r>
          <w:r>
            <w:instrText xml:space="preserve"> HYPERLINK \l "_Toc86049181" </w:instrText>
          </w:r>
          <w:r>
            <w:fldChar w:fldCharType="separate"/>
          </w:r>
          <w:r>
            <w:rPr>
              <w:rStyle w:val="27"/>
              <w:color w:val="auto"/>
            </w:rPr>
            <w:t>3.3.2水文地质</w:t>
          </w:r>
          <w:r>
            <w:tab/>
          </w:r>
          <w:r>
            <w:fldChar w:fldCharType="begin"/>
          </w:r>
          <w:r>
            <w:instrText xml:space="preserve"> PAGEREF _Toc86049181 \h </w:instrText>
          </w:r>
          <w:r>
            <w:fldChar w:fldCharType="separate"/>
          </w:r>
          <w:r>
            <w:t>36</w:t>
          </w:r>
          <w:r>
            <w:fldChar w:fldCharType="end"/>
          </w:r>
          <w:r>
            <w:fldChar w:fldCharType="end"/>
          </w:r>
        </w:p>
        <w:p>
          <w:pPr>
            <w:pStyle w:val="15"/>
            <w:tabs>
              <w:tab w:val="clear" w:pos="2070"/>
            </w:tabs>
            <w:ind w:firstLine="0" w:firstLineChars="0"/>
            <w:rPr>
              <w:rFonts w:asciiTheme="minorHAnsi" w:hAnsiTheme="minorHAnsi" w:eastAsiaTheme="minorEastAsia"/>
              <w:sz w:val="21"/>
            </w:rPr>
          </w:pPr>
          <w:r>
            <w:fldChar w:fldCharType="begin"/>
          </w:r>
          <w:r>
            <w:instrText xml:space="preserve"> HYPERLINK \l "_Toc86049182" </w:instrText>
          </w:r>
          <w:r>
            <w:fldChar w:fldCharType="separate"/>
          </w:r>
          <w:r>
            <w:rPr>
              <w:rStyle w:val="27"/>
              <w:color w:val="auto"/>
            </w:rPr>
            <w:t>3.3.土壤植被</w:t>
          </w:r>
          <w:r>
            <w:tab/>
          </w:r>
          <w:r>
            <w:fldChar w:fldCharType="begin"/>
          </w:r>
          <w:r>
            <w:instrText xml:space="preserve"> PAGEREF _Toc86049182 \h </w:instrText>
          </w:r>
          <w:r>
            <w:fldChar w:fldCharType="separate"/>
          </w:r>
          <w:r>
            <w:t>37</w:t>
          </w:r>
          <w:r>
            <w:fldChar w:fldCharType="end"/>
          </w:r>
          <w:r>
            <w:fldChar w:fldCharType="end"/>
          </w:r>
        </w:p>
        <w:p>
          <w:pPr>
            <w:pStyle w:val="15"/>
            <w:tabs>
              <w:tab w:val="clear" w:pos="2070"/>
            </w:tabs>
            <w:ind w:firstLine="0" w:firstLineChars="0"/>
            <w:rPr>
              <w:rFonts w:asciiTheme="minorHAnsi" w:hAnsiTheme="minorHAnsi" w:eastAsiaTheme="minorEastAsia"/>
              <w:sz w:val="21"/>
            </w:rPr>
          </w:pPr>
          <w:r>
            <w:fldChar w:fldCharType="begin"/>
          </w:r>
          <w:r>
            <w:instrText xml:space="preserve"> HYPERLINK \l "_Toc86049183" </w:instrText>
          </w:r>
          <w:r>
            <w:fldChar w:fldCharType="separate"/>
          </w:r>
          <w:r>
            <w:rPr>
              <w:rStyle w:val="27"/>
              <w:color w:val="auto"/>
            </w:rPr>
            <w:t>3.3.4气象</w:t>
          </w:r>
          <w:r>
            <w:tab/>
          </w:r>
          <w:r>
            <w:fldChar w:fldCharType="begin"/>
          </w:r>
          <w:r>
            <w:instrText xml:space="preserve"> PAGEREF _Toc86049183 \h </w:instrText>
          </w:r>
          <w:r>
            <w:fldChar w:fldCharType="separate"/>
          </w:r>
          <w:r>
            <w:t>37</w:t>
          </w:r>
          <w:r>
            <w:fldChar w:fldCharType="end"/>
          </w:r>
          <w:r>
            <w:fldChar w:fldCharType="end"/>
          </w:r>
        </w:p>
        <w:p>
          <w:pPr>
            <w:pStyle w:val="21"/>
            <w:tabs>
              <w:tab w:val="left" w:pos="199"/>
            </w:tabs>
            <w:ind w:firstLine="0" w:firstLineChars="0"/>
            <w:rPr>
              <w:rFonts w:asciiTheme="minorHAnsi" w:hAnsiTheme="minorHAnsi" w:eastAsiaTheme="minorEastAsia"/>
              <w:b w:val="0"/>
              <w:sz w:val="21"/>
              <w:szCs w:val="22"/>
            </w:rPr>
          </w:pPr>
          <w:r>
            <w:fldChar w:fldCharType="begin"/>
          </w:r>
          <w:r>
            <w:instrText xml:space="preserve"> HYPERLINK \l "_Toc86049184" </w:instrText>
          </w:r>
          <w:r>
            <w:fldChar w:fldCharType="separate"/>
          </w:r>
          <w:r>
            <w:rPr>
              <w:rStyle w:val="27"/>
              <w:color w:val="auto"/>
            </w:rPr>
            <w:t>4</w:t>
          </w:r>
          <w:r>
            <w:rPr>
              <w:rFonts w:asciiTheme="minorHAnsi" w:hAnsiTheme="minorHAnsi" w:eastAsiaTheme="minorEastAsia"/>
              <w:b w:val="0"/>
              <w:sz w:val="21"/>
              <w:szCs w:val="22"/>
            </w:rPr>
            <w:tab/>
          </w:r>
          <w:r>
            <w:rPr>
              <w:rStyle w:val="27"/>
              <w:color w:val="auto"/>
            </w:rPr>
            <w:t>河湖健康调查监测</w:t>
          </w:r>
          <w:r>
            <w:tab/>
          </w:r>
          <w:r>
            <w:fldChar w:fldCharType="begin"/>
          </w:r>
          <w:r>
            <w:instrText xml:space="preserve"> PAGEREF _Toc86049184 \h </w:instrText>
          </w:r>
          <w:r>
            <w:fldChar w:fldCharType="separate"/>
          </w:r>
          <w:r>
            <w:t>39</w:t>
          </w:r>
          <w:r>
            <w:fldChar w:fldCharType="end"/>
          </w:r>
          <w:r>
            <w:fldChar w:fldCharType="end"/>
          </w:r>
        </w:p>
        <w:p>
          <w:pPr>
            <w:pStyle w:val="22"/>
            <w:tabs>
              <w:tab w:val="right" w:leader="dot" w:pos="8296"/>
            </w:tabs>
            <w:ind w:left="480" w:firstLine="0" w:firstLineChars="0"/>
            <w:rPr>
              <w:rFonts w:asciiTheme="minorHAnsi" w:hAnsiTheme="minorHAnsi" w:eastAsiaTheme="minorEastAsia"/>
              <w:sz w:val="21"/>
            </w:rPr>
          </w:pPr>
          <w:r>
            <w:fldChar w:fldCharType="begin"/>
          </w:r>
          <w:r>
            <w:instrText xml:space="preserve"> HYPERLINK \l "_Toc86049185" </w:instrText>
          </w:r>
          <w:r>
            <w:fldChar w:fldCharType="separate"/>
          </w:r>
          <w:r>
            <w:rPr>
              <w:rStyle w:val="27"/>
              <w:color w:val="auto"/>
            </w:rPr>
            <w:t>4.1调查监测方案</w:t>
          </w:r>
          <w:r>
            <w:tab/>
          </w:r>
          <w:r>
            <w:fldChar w:fldCharType="begin"/>
          </w:r>
          <w:r>
            <w:instrText xml:space="preserve"> PAGEREF _Toc86049185 \h </w:instrText>
          </w:r>
          <w:r>
            <w:fldChar w:fldCharType="separate"/>
          </w:r>
          <w:r>
            <w:t>39</w:t>
          </w:r>
          <w:r>
            <w:fldChar w:fldCharType="end"/>
          </w:r>
          <w:r>
            <w:fldChar w:fldCharType="end"/>
          </w:r>
        </w:p>
        <w:p>
          <w:pPr>
            <w:pStyle w:val="15"/>
            <w:tabs>
              <w:tab w:val="clear" w:pos="2070"/>
            </w:tabs>
            <w:ind w:firstLine="0" w:firstLineChars="0"/>
            <w:rPr>
              <w:rFonts w:asciiTheme="minorHAnsi" w:hAnsiTheme="minorHAnsi" w:eastAsiaTheme="minorEastAsia"/>
              <w:sz w:val="21"/>
            </w:rPr>
          </w:pPr>
          <w:r>
            <w:fldChar w:fldCharType="begin"/>
          </w:r>
          <w:r>
            <w:instrText xml:space="preserve"> HYPERLINK \l "_Toc86049186" </w:instrText>
          </w:r>
          <w:r>
            <w:fldChar w:fldCharType="separate"/>
          </w:r>
          <w:r>
            <w:rPr>
              <w:rStyle w:val="27"/>
              <w:color w:val="auto"/>
            </w:rPr>
            <w:t>4.1.1基础资料的收集</w:t>
          </w:r>
          <w:r>
            <w:tab/>
          </w:r>
          <w:r>
            <w:fldChar w:fldCharType="begin"/>
          </w:r>
          <w:r>
            <w:instrText xml:space="preserve"> PAGEREF _Toc86049186 \h </w:instrText>
          </w:r>
          <w:r>
            <w:fldChar w:fldCharType="separate"/>
          </w:r>
          <w:r>
            <w:t>39</w:t>
          </w:r>
          <w:r>
            <w:fldChar w:fldCharType="end"/>
          </w:r>
          <w:r>
            <w:fldChar w:fldCharType="end"/>
          </w:r>
        </w:p>
        <w:p>
          <w:pPr>
            <w:pStyle w:val="15"/>
            <w:tabs>
              <w:tab w:val="clear" w:pos="2070"/>
            </w:tabs>
            <w:ind w:firstLine="0" w:firstLineChars="0"/>
            <w:rPr>
              <w:rFonts w:asciiTheme="minorHAnsi" w:hAnsiTheme="minorHAnsi" w:eastAsiaTheme="minorEastAsia"/>
              <w:sz w:val="21"/>
            </w:rPr>
          </w:pPr>
          <w:r>
            <w:fldChar w:fldCharType="begin"/>
          </w:r>
          <w:r>
            <w:instrText xml:space="preserve"> HYPERLINK \l "_Toc86049187" </w:instrText>
          </w:r>
          <w:r>
            <w:fldChar w:fldCharType="separate"/>
          </w:r>
          <w:r>
            <w:rPr>
              <w:rStyle w:val="27"/>
              <w:color w:val="auto"/>
            </w:rPr>
            <w:t>4.1.2专项调查与监测方案</w:t>
          </w:r>
          <w:r>
            <w:tab/>
          </w:r>
          <w:r>
            <w:fldChar w:fldCharType="begin"/>
          </w:r>
          <w:r>
            <w:instrText xml:space="preserve"> PAGEREF _Toc86049187 \h </w:instrText>
          </w:r>
          <w:r>
            <w:fldChar w:fldCharType="separate"/>
          </w:r>
          <w:r>
            <w:t>39</w:t>
          </w:r>
          <w:r>
            <w:fldChar w:fldCharType="end"/>
          </w:r>
          <w:r>
            <w:fldChar w:fldCharType="end"/>
          </w:r>
        </w:p>
        <w:p>
          <w:pPr>
            <w:pStyle w:val="15"/>
            <w:tabs>
              <w:tab w:val="clear" w:pos="2070"/>
            </w:tabs>
            <w:ind w:firstLine="0" w:firstLineChars="0"/>
            <w:rPr>
              <w:rFonts w:asciiTheme="minorHAnsi" w:hAnsiTheme="minorHAnsi" w:eastAsiaTheme="minorEastAsia"/>
              <w:sz w:val="21"/>
            </w:rPr>
          </w:pPr>
          <w:r>
            <w:fldChar w:fldCharType="begin"/>
          </w:r>
          <w:r>
            <w:instrText xml:space="preserve"> HYPERLINK \l "_Toc86049188" </w:instrText>
          </w:r>
          <w:r>
            <w:fldChar w:fldCharType="separate"/>
          </w:r>
          <w:r>
            <w:rPr>
              <w:rStyle w:val="27"/>
              <w:color w:val="auto"/>
            </w:rPr>
            <w:t>4.1.3评价指标数据来源及调查结果</w:t>
          </w:r>
          <w:r>
            <w:tab/>
          </w:r>
          <w:r>
            <w:fldChar w:fldCharType="begin"/>
          </w:r>
          <w:r>
            <w:instrText xml:space="preserve"> PAGEREF _Toc86049188 \h </w:instrText>
          </w:r>
          <w:r>
            <w:fldChar w:fldCharType="separate"/>
          </w:r>
          <w:r>
            <w:t>40</w:t>
          </w:r>
          <w:r>
            <w:fldChar w:fldCharType="end"/>
          </w:r>
          <w:r>
            <w:fldChar w:fldCharType="end"/>
          </w:r>
        </w:p>
        <w:p>
          <w:pPr>
            <w:pStyle w:val="22"/>
            <w:tabs>
              <w:tab w:val="right" w:leader="dot" w:pos="8296"/>
            </w:tabs>
            <w:ind w:left="480" w:firstLine="0" w:firstLineChars="0"/>
            <w:rPr>
              <w:rFonts w:asciiTheme="minorHAnsi" w:hAnsiTheme="minorHAnsi" w:eastAsiaTheme="minorEastAsia"/>
              <w:sz w:val="21"/>
            </w:rPr>
          </w:pPr>
          <w:r>
            <w:fldChar w:fldCharType="begin"/>
          </w:r>
          <w:r>
            <w:instrText xml:space="preserve"> HYPERLINK \l "_Toc86049189" </w:instrText>
          </w:r>
          <w:r>
            <w:fldChar w:fldCharType="separate"/>
          </w:r>
          <w:r>
            <w:rPr>
              <w:rStyle w:val="27"/>
              <w:color w:val="auto"/>
            </w:rPr>
            <w:t>4.2代表点位或断面的选择</w:t>
          </w:r>
          <w:r>
            <w:tab/>
          </w:r>
          <w:r>
            <w:fldChar w:fldCharType="begin"/>
          </w:r>
          <w:r>
            <w:instrText xml:space="preserve"> PAGEREF _Toc86049189 \h </w:instrText>
          </w:r>
          <w:r>
            <w:fldChar w:fldCharType="separate"/>
          </w:r>
          <w:r>
            <w:t>41</w:t>
          </w:r>
          <w:r>
            <w:fldChar w:fldCharType="end"/>
          </w:r>
          <w:r>
            <w:fldChar w:fldCharType="end"/>
          </w:r>
        </w:p>
        <w:p>
          <w:pPr>
            <w:pStyle w:val="15"/>
            <w:tabs>
              <w:tab w:val="clear" w:pos="2070"/>
            </w:tabs>
            <w:ind w:firstLine="0" w:firstLineChars="0"/>
            <w:rPr>
              <w:rFonts w:asciiTheme="minorHAnsi" w:hAnsiTheme="minorHAnsi" w:eastAsiaTheme="minorEastAsia"/>
              <w:sz w:val="21"/>
            </w:rPr>
          </w:pPr>
          <w:r>
            <w:fldChar w:fldCharType="begin"/>
          </w:r>
          <w:r>
            <w:instrText xml:space="preserve"> HYPERLINK \l "_Toc86049190" </w:instrText>
          </w:r>
          <w:r>
            <w:fldChar w:fldCharType="separate"/>
          </w:r>
          <w:r>
            <w:rPr>
              <w:rStyle w:val="27"/>
              <w:color w:val="auto"/>
            </w:rPr>
            <w:t>4.2.1监测点位布置原则</w:t>
          </w:r>
          <w:r>
            <w:tab/>
          </w:r>
          <w:r>
            <w:fldChar w:fldCharType="begin"/>
          </w:r>
          <w:r>
            <w:instrText xml:space="preserve"> PAGEREF _Toc86049190 \h </w:instrText>
          </w:r>
          <w:r>
            <w:fldChar w:fldCharType="separate"/>
          </w:r>
          <w:r>
            <w:t>41</w:t>
          </w:r>
          <w:r>
            <w:fldChar w:fldCharType="end"/>
          </w:r>
          <w:r>
            <w:fldChar w:fldCharType="end"/>
          </w:r>
        </w:p>
        <w:p>
          <w:pPr>
            <w:pStyle w:val="15"/>
            <w:tabs>
              <w:tab w:val="clear" w:pos="2070"/>
            </w:tabs>
            <w:ind w:firstLine="0" w:firstLineChars="0"/>
            <w:rPr>
              <w:rFonts w:asciiTheme="minorHAnsi" w:hAnsiTheme="minorHAnsi" w:eastAsiaTheme="minorEastAsia"/>
              <w:sz w:val="21"/>
            </w:rPr>
          </w:pPr>
          <w:r>
            <w:fldChar w:fldCharType="begin"/>
          </w:r>
          <w:r>
            <w:instrText xml:space="preserve"> HYPERLINK \l "_Toc86049191" </w:instrText>
          </w:r>
          <w:r>
            <w:fldChar w:fldCharType="separate"/>
          </w:r>
          <w:r>
            <w:rPr>
              <w:rStyle w:val="27"/>
              <w:color w:val="auto"/>
            </w:rPr>
            <w:t>4.2.2监测断面设置</w:t>
          </w:r>
          <w:r>
            <w:tab/>
          </w:r>
          <w:r>
            <w:fldChar w:fldCharType="begin"/>
          </w:r>
          <w:r>
            <w:instrText xml:space="preserve"> PAGEREF _Toc86049191 \h </w:instrText>
          </w:r>
          <w:r>
            <w:fldChar w:fldCharType="separate"/>
          </w:r>
          <w:r>
            <w:t>42</w:t>
          </w:r>
          <w:r>
            <w:fldChar w:fldCharType="end"/>
          </w:r>
          <w:r>
            <w:fldChar w:fldCharType="end"/>
          </w:r>
        </w:p>
        <w:p>
          <w:pPr>
            <w:pStyle w:val="22"/>
            <w:tabs>
              <w:tab w:val="right" w:leader="dot" w:pos="8296"/>
            </w:tabs>
            <w:ind w:left="480" w:firstLine="0" w:firstLineChars="0"/>
            <w:rPr>
              <w:rFonts w:asciiTheme="minorHAnsi" w:hAnsiTheme="minorHAnsi" w:eastAsiaTheme="minorEastAsia"/>
              <w:sz w:val="21"/>
            </w:rPr>
          </w:pPr>
          <w:r>
            <w:fldChar w:fldCharType="begin"/>
          </w:r>
          <w:r>
            <w:instrText xml:space="preserve"> HYPERLINK \l "_Toc86049192" </w:instrText>
          </w:r>
          <w:r>
            <w:fldChar w:fldCharType="separate"/>
          </w:r>
          <w:r>
            <w:rPr>
              <w:rStyle w:val="27"/>
              <w:color w:val="auto"/>
            </w:rPr>
            <w:t>4.3监测方法</w:t>
          </w:r>
          <w:r>
            <w:tab/>
          </w:r>
          <w:r>
            <w:fldChar w:fldCharType="begin"/>
          </w:r>
          <w:r>
            <w:instrText xml:space="preserve"> PAGEREF _Toc86049192 \h </w:instrText>
          </w:r>
          <w:r>
            <w:fldChar w:fldCharType="separate"/>
          </w:r>
          <w:r>
            <w:t>43</w:t>
          </w:r>
          <w:r>
            <w:fldChar w:fldCharType="end"/>
          </w:r>
          <w:r>
            <w:fldChar w:fldCharType="end"/>
          </w:r>
        </w:p>
        <w:p>
          <w:pPr>
            <w:pStyle w:val="15"/>
            <w:tabs>
              <w:tab w:val="clear" w:pos="2070"/>
            </w:tabs>
            <w:ind w:firstLine="0" w:firstLineChars="0"/>
            <w:rPr>
              <w:rFonts w:asciiTheme="minorHAnsi" w:hAnsiTheme="minorHAnsi" w:eastAsiaTheme="minorEastAsia"/>
              <w:sz w:val="21"/>
            </w:rPr>
          </w:pPr>
          <w:r>
            <w:fldChar w:fldCharType="begin"/>
          </w:r>
          <w:r>
            <w:instrText xml:space="preserve"> HYPERLINK \l "_Toc86049193" </w:instrText>
          </w:r>
          <w:r>
            <w:fldChar w:fldCharType="separate"/>
          </w:r>
          <w:r>
            <w:rPr>
              <w:rStyle w:val="27"/>
              <w:color w:val="auto"/>
            </w:rPr>
            <w:t>4.3.1监测项目</w:t>
          </w:r>
          <w:r>
            <w:tab/>
          </w:r>
          <w:r>
            <w:fldChar w:fldCharType="begin"/>
          </w:r>
          <w:r>
            <w:instrText xml:space="preserve"> PAGEREF _Toc86049193 \h </w:instrText>
          </w:r>
          <w:r>
            <w:fldChar w:fldCharType="separate"/>
          </w:r>
          <w:r>
            <w:t>43</w:t>
          </w:r>
          <w:r>
            <w:fldChar w:fldCharType="end"/>
          </w:r>
          <w:r>
            <w:fldChar w:fldCharType="end"/>
          </w:r>
        </w:p>
        <w:p>
          <w:pPr>
            <w:pStyle w:val="15"/>
            <w:tabs>
              <w:tab w:val="clear" w:pos="2070"/>
            </w:tabs>
            <w:ind w:firstLine="0" w:firstLineChars="0"/>
            <w:rPr>
              <w:rFonts w:asciiTheme="minorHAnsi" w:hAnsiTheme="minorHAnsi" w:eastAsiaTheme="minorEastAsia"/>
              <w:sz w:val="21"/>
            </w:rPr>
          </w:pPr>
          <w:r>
            <w:fldChar w:fldCharType="begin"/>
          </w:r>
          <w:r>
            <w:instrText xml:space="preserve"> HYPERLINK \l "_Toc86049194" </w:instrText>
          </w:r>
          <w:r>
            <w:fldChar w:fldCharType="separate"/>
          </w:r>
          <w:r>
            <w:rPr>
              <w:rStyle w:val="27"/>
              <w:color w:val="auto"/>
            </w:rPr>
            <w:t>4.3.2监测频次</w:t>
          </w:r>
          <w:r>
            <w:tab/>
          </w:r>
          <w:r>
            <w:fldChar w:fldCharType="begin"/>
          </w:r>
          <w:r>
            <w:instrText xml:space="preserve"> PAGEREF _Toc86049194 \h </w:instrText>
          </w:r>
          <w:r>
            <w:fldChar w:fldCharType="separate"/>
          </w:r>
          <w:r>
            <w:t>43</w:t>
          </w:r>
          <w:r>
            <w:fldChar w:fldCharType="end"/>
          </w:r>
          <w:r>
            <w:fldChar w:fldCharType="end"/>
          </w:r>
        </w:p>
        <w:p>
          <w:pPr>
            <w:pStyle w:val="15"/>
            <w:tabs>
              <w:tab w:val="clear" w:pos="2070"/>
            </w:tabs>
            <w:ind w:firstLine="0" w:firstLineChars="0"/>
            <w:rPr>
              <w:rFonts w:asciiTheme="minorHAnsi" w:hAnsiTheme="minorHAnsi" w:eastAsiaTheme="minorEastAsia"/>
              <w:sz w:val="21"/>
            </w:rPr>
          </w:pPr>
          <w:r>
            <w:fldChar w:fldCharType="begin"/>
          </w:r>
          <w:r>
            <w:instrText xml:space="preserve"> HYPERLINK \l "_Toc86049195" </w:instrText>
          </w:r>
          <w:r>
            <w:fldChar w:fldCharType="separate"/>
          </w:r>
          <w:r>
            <w:rPr>
              <w:rStyle w:val="27"/>
              <w:color w:val="auto"/>
            </w:rPr>
            <w:t>4.3.3监测时间</w:t>
          </w:r>
          <w:r>
            <w:tab/>
          </w:r>
          <w:r>
            <w:fldChar w:fldCharType="begin"/>
          </w:r>
          <w:r>
            <w:instrText xml:space="preserve"> PAGEREF _Toc86049195 \h </w:instrText>
          </w:r>
          <w:r>
            <w:fldChar w:fldCharType="separate"/>
          </w:r>
          <w:r>
            <w:t>43</w:t>
          </w:r>
          <w:r>
            <w:fldChar w:fldCharType="end"/>
          </w:r>
          <w:r>
            <w:fldChar w:fldCharType="end"/>
          </w:r>
        </w:p>
        <w:p>
          <w:pPr>
            <w:pStyle w:val="15"/>
            <w:tabs>
              <w:tab w:val="clear" w:pos="2070"/>
            </w:tabs>
            <w:ind w:firstLine="0" w:firstLineChars="0"/>
            <w:rPr>
              <w:rFonts w:asciiTheme="minorHAnsi" w:hAnsiTheme="minorHAnsi" w:eastAsiaTheme="minorEastAsia"/>
              <w:sz w:val="21"/>
            </w:rPr>
          </w:pPr>
          <w:r>
            <w:fldChar w:fldCharType="begin"/>
          </w:r>
          <w:r>
            <w:instrText xml:space="preserve"> HYPERLINK \l "_Toc86049196" </w:instrText>
          </w:r>
          <w:r>
            <w:fldChar w:fldCharType="separate"/>
          </w:r>
          <w:r>
            <w:rPr>
              <w:rStyle w:val="27"/>
              <w:color w:val="auto"/>
            </w:rPr>
            <w:t>4.3.4监测设备与监测方法</w:t>
          </w:r>
          <w:r>
            <w:tab/>
          </w:r>
          <w:r>
            <w:fldChar w:fldCharType="begin"/>
          </w:r>
          <w:r>
            <w:instrText xml:space="preserve"> PAGEREF _Toc86049196 \h </w:instrText>
          </w:r>
          <w:r>
            <w:fldChar w:fldCharType="separate"/>
          </w:r>
          <w:r>
            <w:t>43</w:t>
          </w:r>
          <w:r>
            <w:fldChar w:fldCharType="end"/>
          </w:r>
          <w:r>
            <w:fldChar w:fldCharType="end"/>
          </w:r>
        </w:p>
        <w:p>
          <w:pPr>
            <w:pStyle w:val="15"/>
            <w:tabs>
              <w:tab w:val="clear" w:pos="2070"/>
            </w:tabs>
            <w:ind w:firstLine="0" w:firstLineChars="0"/>
            <w:rPr>
              <w:rFonts w:asciiTheme="minorHAnsi" w:hAnsiTheme="minorHAnsi" w:eastAsiaTheme="minorEastAsia"/>
              <w:sz w:val="21"/>
            </w:rPr>
          </w:pPr>
          <w:r>
            <w:fldChar w:fldCharType="begin"/>
          </w:r>
          <w:r>
            <w:instrText xml:space="preserve"> HYPERLINK \l "_Toc86049197" </w:instrText>
          </w:r>
          <w:r>
            <w:fldChar w:fldCharType="separate"/>
          </w:r>
          <w:r>
            <w:rPr>
              <w:rStyle w:val="27"/>
              <w:color w:val="auto"/>
            </w:rPr>
            <w:t>4.3.5监测成果</w:t>
          </w:r>
          <w:r>
            <w:tab/>
          </w:r>
          <w:r>
            <w:fldChar w:fldCharType="begin"/>
          </w:r>
          <w:r>
            <w:instrText xml:space="preserve"> PAGEREF _Toc86049197 \h </w:instrText>
          </w:r>
          <w:r>
            <w:fldChar w:fldCharType="separate"/>
          </w:r>
          <w:r>
            <w:t>46</w:t>
          </w:r>
          <w:r>
            <w:fldChar w:fldCharType="end"/>
          </w:r>
          <w:r>
            <w:fldChar w:fldCharType="end"/>
          </w:r>
        </w:p>
        <w:p>
          <w:pPr>
            <w:pStyle w:val="22"/>
            <w:tabs>
              <w:tab w:val="right" w:leader="dot" w:pos="8296"/>
            </w:tabs>
            <w:ind w:left="480" w:firstLine="0" w:firstLineChars="0"/>
            <w:rPr>
              <w:rFonts w:asciiTheme="minorHAnsi" w:hAnsiTheme="minorHAnsi" w:eastAsiaTheme="minorEastAsia"/>
              <w:sz w:val="21"/>
            </w:rPr>
          </w:pPr>
          <w:r>
            <w:fldChar w:fldCharType="begin"/>
          </w:r>
          <w:r>
            <w:instrText xml:space="preserve"> HYPERLINK \l "_Toc86049198" </w:instrText>
          </w:r>
          <w:r>
            <w:fldChar w:fldCharType="separate"/>
          </w:r>
          <w:r>
            <w:rPr>
              <w:rStyle w:val="27"/>
              <w:color w:val="auto"/>
            </w:rPr>
            <w:t>4.4监测成果评价</w:t>
          </w:r>
          <w:r>
            <w:tab/>
          </w:r>
          <w:r>
            <w:fldChar w:fldCharType="begin"/>
          </w:r>
          <w:r>
            <w:instrText xml:space="preserve"> PAGEREF _Toc86049198 \h </w:instrText>
          </w:r>
          <w:r>
            <w:fldChar w:fldCharType="separate"/>
          </w:r>
          <w:r>
            <w:t>48</w:t>
          </w:r>
          <w:r>
            <w:fldChar w:fldCharType="end"/>
          </w:r>
          <w:r>
            <w:fldChar w:fldCharType="end"/>
          </w:r>
        </w:p>
        <w:p>
          <w:pPr>
            <w:pStyle w:val="21"/>
            <w:tabs>
              <w:tab w:val="left" w:pos="199"/>
            </w:tabs>
            <w:ind w:firstLine="0" w:firstLineChars="0"/>
            <w:rPr>
              <w:rFonts w:asciiTheme="minorHAnsi" w:hAnsiTheme="minorHAnsi" w:eastAsiaTheme="minorEastAsia"/>
              <w:b w:val="0"/>
              <w:sz w:val="21"/>
              <w:szCs w:val="22"/>
            </w:rPr>
          </w:pPr>
          <w:r>
            <w:fldChar w:fldCharType="begin"/>
          </w:r>
          <w:r>
            <w:instrText xml:space="preserve"> HYPERLINK \l "_Toc86049199" </w:instrText>
          </w:r>
          <w:r>
            <w:fldChar w:fldCharType="separate"/>
          </w:r>
          <w:r>
            <w:rPr>
              <w:rStyle w:val="27"/>
              <w:color w:val="auto"/>
            </w:rPr>
            <w:t>5</w:t>
          </w:r>
          <w:r>
            <w:rPr>
              <w:rFonts w:asciiTheme="minorHAnsi" w:hAnsiTheme="minorHAnsi" w:eastAsiaTheme="minorEastAsia"/>
              <w:b w:val="0"/>
              <w:sz w:val="21"/>
              <w:szCs w:val="22"/>
            </w:rPr>
            <w:tab/>
          </w:r>
          <w:r>
            <w:rPr>
              <w:rStyle w:val="27"/>
              <w:color w:val="auto"/>
            </w:rPr>
            <w:t>河湖健康评价结果</w:t>
          </w:r>
          <w:r>
            <w:tab/>
          </w:r>
          <w:r>
            <w:fldChar w:fldCharType="begin"/>
          </w:r>
          <w:r>
            <w:instrText xml:space="preserve"> PAGEREF _Toc86049199 \h </w:instrText>
          </w:r>
          <w:r>
            <w:fldChar w:fldCharType="separate"/>
          </w:r>
          <w:r>
            <w:t>49</w:t>
          </w:r>
          <w:r>
            <w:fldChar w:fldCharType="end"/>
          </w:r>
          <w:r>
            <w:fldChar w:fldCharType="end"/>
          </w:r>
        </w:p>
        <w:p>
          <w:pPr>
            <w:pStyle w:val="22"/>
            <w:tabs>
              <w:tab w:val="right" w:leader="dot" w:pos="8296"/>
            </w:tabs>
            <w:ind w:left="480" w:firstLine="0" w:firstLineChars="0"/>
            <w:rPr>
              <w:rFonts w:asciiTheme="minorHAnsi" w:hAnsiTheme="minorHAnsi" w:eastAsiaTheme="minorEastAsia"/>
              <w:sz w:val="21"/>
            </w:rPr>
          </w:pPr>
          <w:r>
            <w:fldChar w:fldCharType="begin"/>
          </w:r>
          <w:r>
            <w:instrText xml:space="preserve"> HYPERLINK \l "_Toc86049200" </w:instrText>
          </w:r>
          <w:r>
            <w:fldChar w:fldCharType="separate"/>
          </w:r>
          <w:r>
            <w:rPr>
              <w:rStyle w:val="27"/>
              <w:color w:val="auto"/>
            </w:rPr>
            <w:t>5.1评价方法与结果</w:t>
          </w:r>
          <w:r>
            <w:tab/>
          </w:r>
          <w:r>
            <w:fldChar w:fldCharType="begin"/>
          </w:r>
          <w:r>
            <w:instrText xml:space="preserve"> PAGEREF _Toc86049200 \h </w:instrText>
          </w:r>
          <w:r>
            <w:fldChar w:fldCharType="separate"/>
          </w:r>
          <w:r>
            <w:t>49</w:t>
          </w:r>
          <w:r>
            <w:fldChar w:fldCharType="end"/>
          </w:r>
          <w:r>
            <w:fldChar w:fldCharType="end"/>
          </w:r>
        </w:p>
        <w:p>
          <w:pPr>
            <w:pStyle w:val="15"/>
            <w:tabs>
              <w:tab w:val="clear" w:pos="2070"/>
            </w:tabs>
            <w:ind w:firstLine="0" w:firstLineChars="0"/>
            <w:rPr>
              <w:rFonts w:asciiTheme="minorHAnsi" w:hAnsiTheme="minorHAnsi" w:eastAsiaTheme="minorEastAsia"/>
              <w:sz w:val="21"/>
            </w:rPr>
          </w:pPr>
          <w:r>
            <w:fldChar w:fldCharType="begin"/>
          </w:r>
          <w:r>
            <w:instrText xml:space="preserve"> HYPERLINK \l "_Toc86049201" </w:instrText>
          </w:r>
          <w:r>
            <w:fldChar w:fldCharType="separate"/>
          </w:r>
          <w:r>
            <w:rPr>
              <w:rStyle w:val="27"/>
              <w:color w:val="auto"/>
            </w:rPr>
            <w:t>5.1.1水文水资源</w:t>
          </w:r>
          <w:r>
            <w:tab/>
          </w:r>
          <w:r>
            <w:fldChar w:fldCharType="begin"/>
          </w:r>
          <w:r>
            <w:instrText xml:space="preserve"> PAGEREF _Toc86049201 \h </w:instrText>
          </w:r>
          <w:r>
            <w:fldChar w:fldCharType="separate"/>
          </w:r>
          <w:r>
            <w:t>49</w:t>
          </w:r>
          <w:r>
            <w:fldChar w:fldCharType="end"/>
          </w:r>
          <w:r>
            <w:fldChar w:fldCharType="end"/>
          </w:r>
        </w:p>
        <w:p>
          <w:pPr>
            <w:pStyle w:val="15"/>
            <w:tabs>
              <w:tab w:val="clear" w:pos="2070"/>
            </w:tabs>
            <w:ind w:firstLine="0" w:firstLineChars="0"/>
            <w:rPr>
              <w:rFonts w:asciiTheme="minorHAnsi" w:hAnsiTheme="minorHAnsi" w:eastAsiaTheme="minorEastAsia"/>
              <w:sz w:val="21"/>
            </w:rPr>
          </w:pPr>
          <w:r>
            <w:fldChar w:fldCharType="begin"/>
          </w:r>
          <w:r>
            <w:instrText xml:space="preserve"> HYPERLINK \l "_Toc86049202" </w:instrText>
          </w:r>
          <w:r>
            <w:fldChar w:fldCharType="separate"/>
          </w:r>
          <w:r>
            <w:rPr>
              <w:rStyle w:val="27"/>
              <w:color w:val="auto"/>
            </w:rPr>
            <w:t>5.1.2物理结构</w:t>
          </w:r>
          <w:r>
            <w:tab/>
          </w:r>
          <w:r>
            <w:fldChar w:fldCharType="begin"/>
          </w:r>
          <w:r>
            <w:instrText xml:space="preserve"> PAGEREF _Toc86049202 \h </w:instrText>
          </w:r>
          <w:r>
            <w:fldChar w:fldCharType="separate"/>
          </w:r>
          <w:r>
            <w:t>53</w:t>
          </w:r>
          <w:r>
            <w:fldChar w:fldCharType="end"/>
          </w:r>
          <w:r>
            <w:fldChar w:fldCharType="end"/>
          </w:r>
        </w:p>
        <w:p>
          <w:pPr>
            <w:pStyle w:val="15"/>
            <w:tabs>
              <w:tab w:val="clear" w:pos="2070"/>
            </w:tabs>
            <w:ind w:firstLine="0" w:firstLineChars="0"/>
            <w:rPr>
              <w:rFonts w:asciiTheme="minorHAnsi" w:hAnsiTheme="minorHAnsi" w:eastAsiaTheme="minorEastAsia"/>
              <w:sz w:val="21"/>
            </w:rPr>
          </w:pPr>
          <w:r>
            <w:fldChar w:fldCharType="begin"/>
          </w:r>
          <w:r>
            <w:instrText xml:space="preserve"> HYPERLINK \l "_Toc86049203" </w:instrText>
          </w:r>
          <w:r>
            <w:fldChar w:fldCharType="separate"/>
          </w:r>
          <w:r>
            <w:rPr>
              <w:rStyle w:val="27"/>
              <w:color w:val="auto"/>
            </w:rPr>
            <w:t>5.1.3水质</w:t>
          </w:r>
          <w:r>
            <w:tab/>
          </w:r>
          <w:r>
            <w:fldChar w:fldCharType="begin"/>
          </w:r>
          <w:r>
            <w:instrText xml:space="preserve"> PAGEREF _Toc86049203 \h </w:instrText>
          </w:r>
          <w:r>
            <w:fldChar w:fldCharType="separate"/>
          </w:r>
          <w:r>
            <w:t>56</w:t>
          </w:r>
          <w:r>
            <w:fldChar w:fldCharType="end"/>
          </w:r>
          <w:r>
            <w:fldChar w:fldCharType="end"/>
          </w:r>
        </w:p>
        <w:p>
          <w:pPr>
            <w:pStyle w:val="15"/>
            <w:tabs>
              <w:tab w:val="clear" w:pos="2070"/>
            </w:tabs>
            <w:ind w:firstLine="0" w:firstLineChars="0"/>
            <w:rPr>
              <w:rFonts w:asciiTheme="minorHAnsi" w:hAnsiTheme="minorHAnsi" w:eastAsiaTheme="minorEastAsia"/>
              <w:sz w:val="21"/>
            </w:rPr>
          </w:pPr>
          <w:r>
            <w:fldChar w:fldCharType="begin"/>
          </w:r>
          <w:r>
            <w:instrText xml:space="preserve"> HYPERLINK \l "_Toc86049204" </w:instrText>
          </w:r>
          <w:r>
            <w:fldChar w:fldCharType="separate"/>
          </w:r>
          <w:r>
            <w:rPr>
              <w:rStyle w:val="27"/>
              <w:color w:val="auto"/>
            </w:rPr>
            <w:t>5.1.4生物</w:t>
          </w:r>
          <w:r>
            <w:tab/>
          </w:r>
          <w:r>
            <w:fldChar w:fldCharType="begin"/>
          </w:r>
          <w:r>
            <w:instrText xml:space="preserve"> PAGEREF _Toc86049204 \h </w:instrText>
          </w:r>
          <w:r>
            <w:fldChar w:fldCharType="separate"/>
          </w:r>
          <w:r>
            <w:t>57</w:t>
          </w:r>
          <w:r>
            <w:fldChar w:fldCharType="end"/>
          </w:r>
          <w:r>
            <w:fldChar w:fldCharType="end"/>
          </w:r>
        </w:p>
        <w:p>
          <w:pPr>
            <w:pStyle w:val="15"/>
            <w:tabs>
              <w:tab w:val="clear" w:pos="2070"/>
            </w:tabs>
            <w:ind w:firstLine="0" w:firstLineChars="0"/>
            <w:rPr>
              <w:rFonts w:asciiTheme="minorHAnsi" w:hAnsiTheme="minorHAnsi" w:eastAsiaTheme="minorEastAsia"/>
              <w:sz w:val="21"/>
            </w:rPr>
          </w:pPr>
          <w:r>
            <w:fldChar w:fldCharType="begin"/>
          </w:r>
          <w:r>
            <w:instrText xml:space="preserve"> HYPERLINK \l "_Toc86049205" </w:instrText>
          </w:r>
          <w:r>
            <w:fldChar w:fldCharType="separate"/>
          </w:r>
          <w:r>
            <w:rPr>
              <w:rStyle w:val="27"/>
              <w:color w:val="auto"/>
            </w:rPr>
            <w:t>5.1.5河湖管理及社会服务</w:t>
          </w:r>
          <w:r>
            <w:tab/>
          </w:r>
          <w:r>
            <w:fldChar w:fldCharType="begin"/>
          </w:r>
          <w:r>
            <w:instrText xml:space="preserve"> PAGEREF _Toc86049205 \h </w:instrText>
          </w:r>
          <w:r>
            <w:fldChar w:fldCharType="separate"/>
          </w:r>
          <w:r>
            <w:t>59</w:t>
          </w:r>
          <w:r>
            <w:fldChar w:fldCharType="end"/>
          </w:r>
          <w:r>
            <w:fldChar w:fldCharType="end"/>
          </w:r>
        </w:p>
        <w:p>
          <w:pPr>
            <w:pStyle w:val="22"/>
            <w:tabs>
              <w:tab w:val="right" w:leader="dot" w:pos="8296"/>
            </w:tabs>
            <w:ind w:left="480" w:firstLine="0" w:firstLineChars="0"/>
            <w:rPr>
              <w:rFonts w:asciiTheme="minorHAnsi" w:hAnsiTheme="minorHAnsi" w:eastAsiaTheme="minorEastAsia"/>
              <w:sz w:val="21"/>
            </w:rPr>
          </w:pPr>
          <w:r>
            <w:fldChar w:fldCharType="begin"/>
          </w:r>
          <w:r>
            <w:instrText xml:space="preserve"> HYPERLINK \l "_Toc86049206" </w:instrText>
          </w:r>
          <w:r>
            <w:fldChar w:fldCharType="separate"/>
          </w:r>
          <w:r>
            <w:rPr>
              <w:rStyle w:val="27"/>
              <w:color w:val="auto"/>
            </w:rPr>
            <w:t>5.2健康综合评价结论</w:t>
          </w:r>
          <w:r>
            <w:tab/>
          </w:r>
          <w:r>
            <w:fldChar w:fldCharType="begin"/>
          </w:r>
          <w:r>
            <w:instrText xml:space="preserve"> PAGEREF _Toc86049206 \h </w:instrText>
          </w:r>
          <w:r>
            <w:fldChar w:fldCharType="separate"/>
          </w:r>
          <w:r>
            <w:t>64</w:t>
          </w:r>
          <w:r>
            <w:fldChar w:fldCharType="end"/>
          </w:r>
          <w:r>
            <w:fldChar w:fldCharType="end"/>
          </w:r>
        </w:p>
        <w:p>
          <w:pPr>
            <w:pStyle w:val="15"/>
            <w:tabs>
              <w:tab w:val="clear" w:pos="2070"/>
            </w:tabs>
            <w:ind w:firstLine="0" w:firstLineChars="0"/>
            <w:rPr>
              <w:rFonts w:asciiTheme="minorHAnsi" w:hAnsiTheme="minorHAnsi" w:eastAsiaTheme="minorEastAsia"/>
              <w:sz w:val="21"/>
            </w:rPr>
          </w:pPr>
          <w:r>
            <w:fldChar w:fldCharType="begin"/>
          </w:r>
          <w:r>
            <w:instrText xml:space="preserve"> HYPERLINK \l "_Toc86049207" </w:instrText>
          </w:r>
          <w:r>
            <w:fldChar w:fldCharType="separate"/>
          </w:r>
          <w:r>
            <w:rPr>
              <w:rStyle w:val="27"/>
              <w:color w:val="auto"/>
            </w:rPr>
            <w:t>5.2.1赋分计算</w:t>
          </w:r>
          <w:r>
            <w:tab/>
          </w:r>
          <w:r>
            <w:fldChar w:fldCharType="begin"/>
          </w:r>
          <w:r>
            <w:instrText xml:space="preserve"> PAGEREF _Toc86049207 \h </w:instrText>
          </w:r>
          <w:r>
            <w:fldChar w:fldCharType="separate"/>
          </w:r>
          <w:r>
            <w:t>64</w:t>
          </w:r>
          <w:r>
            <w:fldChar w:fldCharType="end"/>
          </w:r>
          <w:r>
            <w:fldChar w:fldCharType="end"/>
          </w:r>
        </w:p>
        <w:p>
          <w:pPr>
            <w:pStyle w:val="15"/>
            <w:tabs>
              <w:tab w:val="clear" w:pos="2070"/>
            </w:tabs>
            <w:ind w:firstLine="0" w:firstLineChars="0"/>
            <w:rPr>
              <w:rFonts w:asciiTheme="minorHAnsi" w:hAnsiTheme="minorHAnsi" w:eastAsiaTheme="minorEastAsia"/>
              <w:sz w:val="21"/>
            </w:rPr>
          </w:pPr>
          <w:r>
            <w:fldChar w:fldCharType="begin"/>
          </w:r>
          <w:r>
            <w:instrText xml:space="preserve"> HYPERLINK \l "_Toc86049208" </w:instrText>
          </w:r>
          <w:r>
            <w:fldChar w:fldCharType="separate"/>
          </w:r>
          <w:r>
            <w:rPr>
              <w:rStyle w:val="27"/>
              <w:color w:val="auto"/>
            </w:rPr>
            <w:t>5.2.2综合评价结论</w:t>
          </w:r>
          <w:r>
            <w:tab/>
          </w:r>
          <w:r>
            <w:fldChar w:fldCharType="begin"/>
          </w:r>
          <w:r>
            <w:instrText xml:space="preserve"> PAGEREF _Toc86049208 \h </w:instrText>
          </w:r>
          <w:r>
            <w:fldChar w:fldCharType="separate"/>
          </w:r>
          <w:r>
            <w:t>66</w:t>
          </w:r>
          <w:r>
            <w:fldChar w:fldCharType="end"/>
          </w:r>
          <w:r>
            <w:fldChar w:fldCharType="end"/>
          </w:r>
        </w:p>
        <w:p>
          <w:pPr>
            <w:pStyle w:val="15"/>
            <w:tabs>
              <w:tab w:val="clear" w:pos="2070"/>
            </w:tabs>
            <w:ind w:firstLine="0" w:firstLineChars="0"/>
            <w:rPr>
              <w:rFonts w:asciiTheme="minorHAnsi" w:hAnsiTheme="minorHAnsi" w:eastAsiaTheme="minorEastAsia"/>
              <w:sz w:val="21"/>
            </w:rPr>
          </w:pPr>
          <w:r>
            <w:fldChar w:fldCharType="begin"/>
          </w:r>
          <w:r>
            <w:instrText xml:space="preserve"> HYPERLINK \l "_Toc86049209" </w:instrText>
          </w:r>
          <w:r>
            <w:fldChar w:fldCharType="separate"/>
          </w:r>
          <w:r>
            <w:rPr>
              <w:rStyle w:val="27"/>
              <w:color w:val="auto"/>
            </w:rPr>
            <w:t>5.2.3评价结论为亚健康的原因分析</w:t>
          </w:r>
          <w:r>
            <w:tab/>
          </w:r>
          <w:r>
            <w:fldChar w:fldCharType="begin"/>
          </w:r>
          <w:r>
            <w:instrText xml:space="preserve"> PAGEREF _Toc86049209 \h </w:instrText>
          </w:r>
          <w:r>
            <w:fldChar w:fldCharType="separate"/>
          </w:r>
          <w:r>
            <w:t>67</w:t>
          </w:r>
          <w:r>
            <w:fldChar w:fldCharType="end"/>
          </w:r>
          <w:r>
            <w:fldChar w:fldCharType="end"/>
          </w:r>
        </w:p>
        <w:p>
          <w:pPr>
            <w:pStyle w:val="21"/>
            <w:tabs>
              <w:tab w:val="left" w:pos="199"/>
            </w:tabs>
            <w:ind w:firstLine="0" w:firstLineChars="0"/>
            <w:rPr>
              <w:rFonts w:asciiTheme="minorHAnsi" w:hAnsiTheme="minorHAnsi" w:eastAsiaTheme="minorEastAsia"/>
              <w:b w:val="0"/>
              <w:sz w:val="21"/>
              <w:szCs w:val="22"/>
            </w:rPr>
          </w:pPr>
          <w:r>
            <w:fldChar w:fldCharType="begin"/>
          </w:r>
          <w:r>
            <w:instrText xml:space="preserve"> HYPERLINK \l "_Toc86049210" </w:instrText>
          </w:r>
          <w:r>
            <w:fldChar w:fldCharType="separate"/>
          </w:r>
          <w:r>
            <w:rPr>
              <w:rStyle w:val="27"/>
              <w:color w:val="auto"/>
            </w:rPr>
            <w:t>6</w:t>
          </w:r>
          <w:r>
            <w:rPr>
              <w:rFonts w:asciiTheme="minorHAnsi" w:hAnsiTheme="minorHAnsi" w:eastAsiaTheme="minorEastAsia"/>
              <w:b w:val="0"/>
              <w:sz w:val="21"/>
              <w:szCs w:val="22"/>
            </w:rPr>
            <w:tab/>
          </w:r>
          <w:r>
            <w:rPr>
              <w:rStyle w:val="27"/>
              <w:color w:val="auto"/>
            </w:rPr>
            <w:t>河湖健康问题分析及保护对策</w:t>
          </w:r>
          <w:r>
            <w:tab/>
          </w:r>
          <w:r>
            <w:fldChar w:fldCharType="begin"/>
          </w:r>
          <w:r>
            <w:instrText xml:space="preserve"> PAGEREF _Toc86049210 \h </w:instrText>
          </w:r>
          <w:r>
            <w:fldChar w:fldCharType="separate"/>
          </w:r>
          <w:r>
            <w:t>69</w:t>
          </w:r>
          <w:r>
            <w:fldChar w:fldCharType="end"/>
          </w:r>
          <w:r>
            <w:fldChar w:fldCharType="end"/>
          </w:r>
        </w:p>
        <w:p>
          <w:pPr>
            <w:pStyle w:val="22"/>
            <w:tabs>
              <w:tab w:val="right" w:leader="dot" w:pos="8296"/>
            </w:tabs>
            <w:ind w:left="480" w:firstLine="0" w:firstLineChars="0"/>
            <w:rPr>
              <w:rFonts w:asciiTheme="minorHAnsi" w:hAnsiTheme="minorHAnsi" w:eastAsiaTheme="minorEastAsia"/>
              <w:sz w:val="21"/>
            </w:rPr>
          </w:pPr>
          <w:r>
            <w:fldChar w:fldCharType="begin"/>
          </w:r>
          <w:r>
            <w:instrText xml:space="preserve"> HYPERLINK \l "_Toc86049211" </w:instrText>
          </w:r>
          <w:r>
            <w:fldChar w:fldCharType="separate"/>
          </w:r>
          <w:r>
            <w:rPr>
              <w:rStyle w:val="27"/>
              <w:color w:val="auto"/>
            </w:rPr>
            <w:t>6.1健康状况总体评价</w:t>
          </w:r>
          <w:r>
            <w:tab/>
          </w:r>
          <w:r>
            <w:fldChar w:fldCharType="begin"/>
          </w:r>
          <w:r>
            <w:instrText xml:space="preserve"> PAGEREF _Toc86049211 \h </w:instrText>
          </w:r>
          <w:r>
            <w:fldChar w:fldCharType="separate"/>
          </w:r>
          <w:r>
            <w:t>69</w:t>
          </w:r>
          <w:r>
            <w:fldChar w:fldCharType="end"/>
          </w:r>
          <w:r>
            <w:fldChar w:fldCharType="end"/>
          </w:r>
        </w:p>
        <w:p>
          <w:pPr>
            <w:pStyle w:val="22"/>
            <w:tabs>
              <w:tab w:val="right" w:leader="dot" w:pos="8296"/>
            </w:tabs>
            <w:ind w:left="480" w:firstLine="0" w:firstLineChars="0"/>
            <w:rPr>
              <w:rFonts w:asciiTheme="minorHAnsi" w:hAnsiTheme="minorHAnsi" w:eastAsiaTheme="minorEastAsia"/>
              <w:sz w:val="21"/>
            </w:rPr>
          </w:pPr>
          <w:r>
            <w:fldChar w:fldCharType="begin"/>
          </w:r>
          <w:r>
            <w:instrText xml:space="preserve"> HYPERLINK \l "_Toc86049212" </w:instrText>
          </w:r>
          <w:r>
            <w:fldChar w:fldCharType="separate"/>
          </w:r>
          <w:r>
            <w:rPr>
              <w:rStyle w:val="27"/>
              <w:color w:val="auto"/>
            </w:rPr>
            <w:t>6.2存在的问题</w:t>
          </w:r>
          <w:r>
            <w:tab/>
          </w:r>
          <w:r>
            <w:fldChar w:fldCharType="begin"/>
          </w:r>
          <w:r>
            <w:instrText xml:space="preserve"> PAGEREF _Toc86049212 \h </w:instrText>
          </w:r>
          <w:r>
            <w:fldChar w:fldCharType="separate"/>
          </w:r>
          <w:r>
            <w:t>69</w:t>
          </w:r>
          <w:r>
            <w:fldChar w:fldCharType="end"/>
          </w:r>
          <w:r>
            <w:fldChar w:fldCharType="end"/>
          </w:r>
        </w:p>
        <w:p>
          <w:pPr>
            <w:pStyle w:val="22"/>
            <w:tabs>
              <w:tab w:val="right" w:leader="dot" w:pos="8296"/>
            </w:tabs>
            <w:ind w:left="480" w:firstLine="0" w:firstLineChars="0"/>
            <w:rPr>
              <w:rFonts w:asciiTheme="minorHAnsi" w:hAnsiTheme="minorHAnsi" w:eastAsiaTheme="minorEastAsia"/>
              <w:sz w:val="21"/>
            </w:rPr>
          </w:pPr>
          <w:r>
            <w:fldChar w:fldCharType="begin"/>
          </w:r>
          <w:r>
            <w:instrText xml:space="preserve"> HYPERLINK \l "_Toc86049213" </w:instrText>
          </w:r>
          <w:r>
            <w:fldChar w:fldCharType="separate"/>
          </w:r>
          <w:r>
            <w:rPr>
              <w:rStyle w:val="27"/>
              <w:color w:val="auto"/>
            </w:rPr>
            <w:t>6.3保护对策及建议</w:t>
          </w:r>
          <w:r>
            <w:tab/>
          </w:r>
          <w:r>
            <w:fldChar w:fldCharType="begin"/>
          </w:r>
          <w:r>
            <w:instrText xml:space="preserve"> PAGEREF _Toc86049213 \h </w:instrText>
          </w:r>
          <w:r>
            <w:fldChar w:fldCharType="separate"/>
          </w:r>
          <w:r>
            <w:t>71</w:t>
          </w:r>
          <w:r>
            <w:fldChar w:fldCharType="end"/>
          </w:r>
          <w:r>
            <w:fldChar w:fldCharType="end"/>
          </w:r>
        </w:p>
        <w:p>
          <w:pPr>
            <w:pStyle w:val="15"/>
            <w:tabs>
              <w:tab w:val="clear" w:pos="2070"/>
            </w:tabs>
            <w:ind w:firstLine="0" w:firstLineChars="0"/>
            <w:rPr>
              <w:rFonts w:asciiTheme="minorHAnsi" w:hAnsiTheme="minorHAnsi" w:eastAsiaTheme="minorEastAsia"/>
              <w:sz w:val="21"/>
            </w:rPr>
          </w:pPr>
          <w:r>
            <w:fldChar w:fldCharType="begin"/>
          </w:r>
          <w:r>
            <w:instrText xml:space="preserve"> HYPERLINK \l "_Toc86049214" </w:instrText>
          </w:r>
          <w:r>
            <w:fldChar w:fldCharType="separate"/>
          </w:r>
          <w:r>
            <w:rPr>
              <w:rStyle w:val="27"/>
              <w:color w:val="auto"/>
            </w:rPr>
            <w:t>6.3.1保护对策</w:t>
          </w:r>
          <w:r>
            <w:tab/>
          </w:r>
          <w:r>
            <w:fldChar w:fldCharType="begin"/>
          </w:r>
          <w:r>
            <w:instrText xml:space="preserve"> PAGEREF _Toc86049214 \h </w:instrText>
          </w:r>
          <w:r>
            <w:fldChar w:fldCharType="separate"/>
          </w:r>
          <w:r>
            <w:t>71</w:t>
          </w:r>
          <w:r>
            <w:fldChar w:fldCharType="end"/>
          </w:r>
          <w:r>
            <w:fldChar w:fldCharType="end"/>
          </w:r>
        </w:p>
        <w:p>
          <w:pPr>
            <w:pStyle w:val="15"/>
            <w:tabs>
              <w:tab w:val="clear" w:pos="2070"/>
            </w:tabs>
            <w:ind w:firstLine="0" w:firstLineChars="0"/>
            <w:rPr>
              <w:rFonts w:asciiTheme="minorHAnsi" w:hAnsiTheme="minorHAnsi" w:eastAsiaTheme="minorEastAsia"/>
              <w:sz w:val="21"/>
            </w:rPr>
          </w:pPr>
          <w:r>
            <w:fldChar w:fldCharType="begin"/>
          </w:r>
          <w:r>
            <w:instrText xml:space="preserve"> HYPERLINK \l "_Toc86049215" </w:instrText>
          </w:r>
          <w:r>
            <w:fldChar w:fldCharType="separate"/>
          </w:r>
          <w:r>
            <w:rPr>
              <w:rStyle w:val="27"/>
              <w:color w:val="auto"/>
            </w:rPr>
            <w:t>6.3.2对《指南》的建议</w:t>
          </w:r>
          <w:r>
            <w:tab/>
          </w:r>
          <w:r>
            <w:fldChar w:fldCharType="begin"/>
          </w:r>
          <w:r>
            <w:instrText xml:space="preserve"> PAGEREF _Toc86049215 \h </w:instrText>
          </w:r>
          <w:r>
            <w:fldChar w:fldCharType="separate"/>
          </w:r>
          <w:r>
            <w:t>72</w:t>
          </w:r>
          <w:r>
            <w:fldChar w:fldCharType="end"/>
          </w:r>
          <w:r>
            <w:fldChar w:fldCharType="end"/>
          </w:r>
        </w:p>
        <w:p>
          <w:pPr>
            <w:pStyle w:val="21"/>
            <w:tabs>
              <w:tab w:val="left" w:pos="199"/>
            </w:tabs>
            <w:ind w:firstLine="0" w:firstLineChars="0"/>
            <w:rPr>
              <w:rFonts w:asciiTheme="minorHAnsi" w:hAnsiTheme="minorHAnsi" w:eastAsiaTheme="minorEastAsia"/>
              <w:b w:val="0"/>
              <w:sz w:val="21"/>
              <w:szCs w:val="22"/>
            </w:rPr>
          </w:pPr>
          <w:r>
            <w:fldChar w:fldCharType="begin"/>
          </w:r>
          <w:r>
            <w:instrText xml:space="preserve"> HYPERLINK \l "_Toc86049216" </w:instrText>
          </w:r>
          <w:r>
            <w:fldChar w:fldCharType="separate"/>
          </w:r>
          <w:r>
            <w:rPr>
              <w:rStyle w:val="27"/>
              <w:color w:val="auto"/>
            </w:rPr>
            <w:t>7</w:t>
          </w:r>
          <w:r>
            <w:rPr>
              <w:rFonts w:asciiTheme="minorHAnsi" w:hAnsiTheme="minorHAnsi" w:eastAsiaTheme="minorEastAsia"/>
              <w:b w:val="0"/>
              <w:sz w:val="21"/>
              <w:szCs w:val="22"/>
            </w:rPr>
            <w:tab/>
          </w:r>
          <w:r>
            <w:rPr>
              <w:rStyle w:val="27"/>
              <w:color w:val="auto"/>
            </w:rPr>
            <w:t>附表</w:t>
          </w:r>
          <w:r>
            <w:tab/>
          </w:r>
          <w:r>
            <w:fldChar w:fldCharType="begin"/>
          </w:r>
          <w:r>
            <w:instrText xml:space="preserve"> PAGEREF _Toc86049216 \h </w:instrText>
          </w:r>
          <w:r>
            <w:fldChar w:fldCharType="separate"/>
          </w:r>
          <w:r>
            <w:t>74</w:t>
          </w:r>
          <w:r>
            <w:fldChar w:fldCharType="end"/>
          </w:r>
          <w:r>
            <w:fldChar w:fldCharType="end"/>
          </w:r>
        </w:p>
        <w:p>
          <w:pPr>
            <w:pStyle w:val="22"/>
            <w:tabs>
              <w:tab w:val="right" w:leader="dot" w:pos="8296"/>
            </w:tabs>
            <w:ind w:left="480" w:firstLine="240" w:firstLineChars="100"/>
            <w:rPr>
              <w:rFonts w:asciiTheme="minorHAnsi" w:hAnsiTheme="minorHAnsi" w:eastAsiaTheme="minorEastAsia"/>
              <w:sz w:val="21"/>
            </w:rPr>
          </w:pPr>
          <w:r>
            <w:fldChar w:fldCharType="begin"/>
          </w:r>
          <w:r>
            <w:instrText xml:space="preserve"> HYPERLINK \l "_Toc86049217" </w:instrText>
          </w:r>
          <w:r>
            <w:fldChar w:fldCharType="separate"/>
          </w:r>
          <w:r>
            <w:rPr>
              <w:rStyle w:val="27"/>
              <w:color w:val="auto"/>
            </w:rPr>
            <w:t>附表1四川省广元市旺苍县盐井河基本特征表</w:t>
          </w:r>
          <w:r>
            <w:tab/>
          </w:r>
          <w:r>
            <w:fldChar w:fldCharType="begin"/>
          </w:r>
          <w:r>
            <w:instrText xml:space="preserve"> PAGEREF _Toc86049217 \h </w:instrText>
          </w:r>
          <w:r>
            <w:fldChar w:fldCharType="separate"/>
          </w:r>
          <w:r>
            <w:t>74</w:t>
          </w:r>
          <w:r>
            <w:fldChar w:fldCharType="end"/>
          </w:r>
          <w:r>
            <w:fldChar w:fldCharType="end"/>
          </w:r>
        </w:p>
        <w:p>
          <w:pPr>
            <w:pStyle w:val="22"/>
            <w:tabs>
              <w:tab w:val="right" w:leader="dot" w:pos="8296"/>
            </w:tabs>
            <w:ind w:left="480" w:firstLine="0" w:firstLineChars="0"/>
            <w:rPr>
              <w:rFonts w:asciiTheme="minorHAnsi" w:hAnsiTheme="minorHAnsi" w:eastAsiaTheme="minorEastAsia"/>
              <w:sz w:val="21"/>
            </w:rPr>
          </w:pPr>
          <w:r>
            <w:fldChar w:fldCharType="begin"/>
          </w:r>
          <w:r>
            <w:instrText xml:space="preserve"> HYPERLINK \l "_Toc86049218" </w:instrText>
          </w:r>
          <w:r>
            <w:fldChar w:fldCharType="separate"/>
          </w:r>
          <w:r>
            <w:rPr>
              <w:rStyle w:val="27"/>
              <w:color w:val="auto"/>
            </w:rPr>
            <w:t>附表2水电站基本情况调查表</w:t>
          </w:r>
          <w:r>
            <w:tab/>
          </w:r>
          <w:r>
            <w:fldChar w:fldCharType="begin"/>
          </w:r>
          <w:r>
            <w:instrText xml:space="preserve"> PAGEREF _Toc86049218 \h </w:instrText>
          </w:r>
          <w:r>
            <w:fldChar w:fldCharType="separate"/>
          </w:r>
          <w:r>
            <w:t>74</w:t>
          </w:r>
          <w:r>
            <w:fldChar w:fldCharType="end"/>
          </w:r>
          <w:r>
            <w:fldChar w:fldCharType="end"/>
          </w:r>
        </w:p>
        <w:p>
          <w:pPr>
            <w:pStyle w:val="22"/>
            <w:tabs>
              <w:tab w:val="right" w:leader="dot" w:pos="8296"/>
            </w:tabs>
            <w:ind w:left="480" w:firstLine="0" w:firstLineChars="0"/>
            <w:rPr>
              <w:rFonts w:asciiTheme="minorHAnsi" w:hAnsiTheme="minorHAnsi" w:eastAsiaTheme="minorEastAsia"/>
              <w:sz w:val="21"/>
            </w:rPr>
          </w:pPr>
          <w:r>
            <w:fldChar w:fldCharType="begin"/>
          </w:r>
          <w:r>
            <w:instrText xml:space="preserve"> HYPERLINK \l "_Toc86049219" </w:instrText>
          </w:r>
          <w:r>
            <w:fldChar w:fldCharType="separate"/>
          </w:r>
          <w:r>
            <w:rPr>
              <w:rStyle w:val="27"/>
              <w:color w:val="auto"/>
            </w:rPr>
            <w:t>附表3堤防基本情况调查表</w:t>
          </w:r>
          <w:r>
            <w:tab/>
          </w:r>
          <w:r>
            <w:fldChar w:fldCharType="begin"/>
          </w:r>
          <w:r>
            <w:instrText xml:space="preserve"> PAGEREF _Toc86049219 \h </w:instrText>
          </w:r>
          <w:r>
            <w:fldChar w:fldCharType="separate"/>
          </w:r>
          <w:r>
            <w:t>75</w:t>
          </w:r>
          <w:r>
            <w:fldChar w:fldCharType="end"/>
          </w:r>
          <w:r>
            <w:fldChar w:fldCharType="end"/>
          </w:r>
        </w:p>
        <w:p>
          <w:pPr>
            <w:pStyle w:val="21"/>
            <w:tabs>
              <w:tab w:val="left" w:pos="199"/>
            </w:tabs>
            <w:ind w:firstLine="0" w:firstLineChars="0"/>
          </w:pPr>
          <w:r>
            <w:fldChar w:fldCharType="begin"/>
          </w:r>
          <w:r>
            <w:instrText xml:space="preserve"> HYPERLINK \l "_Toc86049220" </w:instrText>
          </w:r>
          <w:r>
            <w:fldChar w:fldCharType="separate"/>
          </w:r>
          <w:r>
            <w:rPr>
              <w:rStyle w:val="27"/>
              <w:color w:val="auto"/>
            </w:rPr>
            <w:t>8</w:t>
          </w:r>
          <w:r>
            <w:rPr>
              <w:rFonts w:asciiTheme="minorHAnsi" w:hAnsiTheme="minorHAnsi" w:eastAsiaTheme="minorEastAsia"/>
              <w:b w:val="0"/>
              <w:sz w:val="21"/>
              <w:szCs w:val="22"/>
            </w:rPr>
            <w:tab/>
          </w:r>
          <w:r>
            <w:rPr>
              <w:rStyle w:val="27"/>
              <w:color w:val="auto"/>
            </w:rPr>
            <w:t>附图</w:t>
          </w:r>
          <w:r>
            <w:tab/>
          </w:r>
          <w:r>
            <w:fldChar w:fldCharType="begin"/>
          </w:r>
          <w:r>
            <w:instrText xml:space="preserve"> PAGEREF _Toc86049220 \h </w:instrText>
          </w:r>
          <w:r>
            <w:fldChar w:fldCharType="separate"/>
          </w:r>
          <w:r>
            <w:t>75</w:t>
          </w:r>
          <w:r>
            <w:fldChar w:fldCharType="end"/>
          </w:r>
          <w:r>
            <w:fldChar w:fldCharType="end"/>
          </w:r>
        </w:p>
        <w:p>
          <w:pPr>
            <w:ind w:firstLine="480"/>
          </w:pPr>
          <w:r>
            <w:rPr>
              <w:rFonts w:hint="eastAsia"/>
            </w:rPr>
            <w:t>附图1</w:t>
          </w:r>
          <w:r>
            <w:t xml:space="preserve">  </w:t>
          </w:r>
          <w:r>
            <w:rPr>
              <w:rFonts w:hint="eastAsia"/>
            </w:rPr>
            <w:t>旺苍县盐井河水系图</w:t>
          </w:r>
        </w:p>
        <w:p>
          <w:pPr>
            <w:ind w:firstLine="480"/>
          </w:pPr>
          <w:r>
            <w:rPr>
              <w:rFonts w:hint="eastAsia"/>
            </w:rPr>
            <w:t>附图</w:t>
          </w:r>
          <w:r>
            <w:t xml:space="preserve">2  </w:t>
          </w:r>
          <w:r>
            <w:rPr>
              <w:rFonts w:hint="eastAsia"/>
            </w:rPr>
            <w:t>旺苍县盐井河水功能区划图</w:t>
          </w:r>
        </w:p>
        <w:p>
          <w:pPr>
            <w:ind w:firstLine="480"/>
          </w:pPr>
          <w:r>
            <w:rPr>
              <w:rFonts w:hint="eastAsia"/>
            </w:rPr>
            <w:t>附图</w:t>
          </w:r>
          <w:r>
            <w:t xml:space="preserve">3  </w:t>
          </w:r>
          <w:r>
            <w:rPr>
              <w:rFonts w:hint="eastAsia"/>
            </w:rPr>
            <w:t>汉王山湿地保护区区划图</w:t>
          </w:r>
        </w:p>
        <w:p>
          <w:pPr>
            <w:ind w:firstLine="480"/>
          </w:pPr>
          <w:r>
            <w:rPr>
              <w:rFonts w:hint="eastAsia"/>
            </w:rPr>
            <w:t>附图4</w:t>
          </w:r>
          <w:r>
            <w:t xml:space="preserve">  </w:t>
          </w:r>
          <w:r>
            <w:rPr>
              <w:rFonts w:hint="eastAsia"/>
            </w:rPr>
            <w:t>东河上游特有鱼类省级水产种质资源保护区区划图</w:t>
          </w:r>
        </w:p>
        <w:p>
          <w:pPr>
            <w:ind w:firstLine="480"/>
          </w:pPr>
          <w:r>
            <w:rPr>
              <w:rFonts w:hint="eastAsia"/>
            </w:rPr>
            <w:t>附图</w:t>
          </w:r>
          <w:r>
            <w:t xml:space="preserve">5  </w:t>
          </w:r>
          <w:r>
            <w:rPr>
              <w:rFonts w:hint="eastAsia"/>
            </w:rPr>
            <w:t>旺苍县盐井河水质监测断面布设示意图</w:t>
          </w:r>
        </w:p>
        <w:p>
          <w:pPr>
            <w:ind w:firstLine="480"/>
          </w:pPr>
          <w:r>
            <w:rPr>
              <w:rFonts w:hint="eastAsia"/>
            </w:rPr>
            <w:t>附图</w:t>
          </w:r>
          <w:r>
            <w:t xml:space="preserve">6  </w:t>
          </w:r>
          <w:r>
            <w:rPr>
              <w:rFonts w:hint="eastAsia"/>
            </w:rPr>
            <w:t>旺苍县盐井河水利工程示意图</w:t>
          </w:r>
        </w:p>
        <w:p>
          <w:pPr>
            <w:ind w:firstLine="0" w:firstLineChars="0"/>
          </w:pPr>
        </w:p>
        <w:p>
          <w:pPr>
            <w:ind w:firstLine="482"/>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pgNumType w:start="0"/>
              <w:cols w:space="425" w:num="1"/>
              <w:titlePg/>
              <w:docGrid w:type="lines" w:linePitch="326" w:charSpace="0"/>
            </w:sectPr>
          </w:pPr>
          <w:r>
            <w:rPr>
              <w:b/>
              <w:bCs/>
              <w:lang w:val="zh-CN"/>
            </w:rPr>
            <w:fldChar w:fldCharType="end"/>
          </w:r>
        </w:p>
      </w:sdtContent>
    </w:sdt>
    <w:p>
      <w:pPr>
        <w:ind w:firstLine="720"/>
        <w:jc w:val="center"/>
        <w:rPr>
          <w:rFonts w:ascii="仿宋" w:hAnsi="仿宋"/>
          <w:sz w:val="36"/>
          <w:szCs w:val="36"/>
        </w:rPr>
      </w:pPr>
    </w:p>
    <w:p>
      <w:pPr>
        <w:ind w:firstLine="723"/>
        <w:jc w:val="center"/>
        <w:rPr>
          <w:rFonts w:ascii="仿宋" w:hAnsi="仿宋"/>
          <w:b/>
          <w:sz w:val="36"/>
          <w:szCs w:val="36"/>
        </w:rPr>
      </w:pPr>
      <w:r>
        <w:rPr>
          <w:rFonts w:hint="eastAsia" w:ascii="仿宋" w:hAnsi="仿宋"/>
          <w:b/>
          <w:sz w:val="36"/>
          <w:szCs w:val="36"/>
        </w:rPr>
        <w:t>前 言</w:t>
      </w:r>
    </w:p>
    <w:p>
      <w:pPr>
        <w:ind w:firstLine="480"/>
        <w:rPr>
          <w:rFonts w:ascii="华文新魏" w:eastAsia="华文新魏"/>
          <w:sz w:val="28"/>
          <w:szCs w:val="28"/>
        </w:rPr>
      </w:pPr>
      <w:r>
        <w:rPr>
          <w:rFonts w:hint="eastAsia"/>
        </w:rPr>
        <w:t>盐井</w:t>
      </w:r>
      <w:r>
        <w:t>河为</w:t>
      </w:r>
      <w:r>
        <w:rPr>
          <w:rFonts w:hint="eastAsia"/>
        </w:rPr>
        <w:t>嘉陵江二级支流，东河右</w:t>
      </w:r>
      <w:r>
        <w:t>岸一级支流，</w:t>
      </w:r>
      <w:r>
        <w:rPr>
          <w:rFonts w:hint="eastAsia"/>
        </w:rPr>
        <w:t>发源于陕西省宁强县黎坪场东的三心眼处，</w:t>
      </w:r>
      <w:r>
        <w:rPr>
          <w:rFonts w:hint="eastAsia"/>
          <w:szCs w:val="24"/>
        </w:rPr>
        <w:t>上段称八道河，西南流过宁强县永新、二郎坝，称西流河；转南偏西过大竹坝镇、毛坝河镇，称毛坝河；南入四川省旺苍县境，乃称盐井河。</w:t>
      </w:r>
      <w:r>
        <w:t>盐井河保留了河流生态系统的自然生境</w:t>
      </w:r>
      <w:r>
        <w:rPr>
          <w:rFonts w:hint="eastAsia"/>
        </w:rPr>
        <w:t>，</w:t>
      </w:r>
      <w:r>
        <w:t>如潭、瀑</w:t>
      </w:r>
      <w:r>
        <w:rPr>
          <w:rFonts w:hint="eastAsia"/>
        </w:rPr>
        <w:t>、</w:t>
      </w:r>
      <w:r>
        <w:t>泉</w:t>
      </w:r>
      <w:r>
        <w:rPr>
          <w:rFonts w:hint="eastAsia"/>
        </w:rPr>
        <w:t>、</w:t>
      </w:r>
      <w:r>
        <w:t>涧</w:t>
      </w:r>
      <w:r>
        <w:rPr>
          <w:rFonts w:hint="eastAsia"/>
        </w:rPr>
        <w:t>、</w:t>
      </w:r>
      <w:r>
        <w:t>溪</w:t>
      </w:r>
      <w:r>
        <w:rPr>
          <w:rFonts w:hint="eastAsia"/>
        </w:rPr>
        <w:t>、</w:t>
      </w:r>
      <w:r>
        <w:t>滩</w:t>
      </w:r>
      <w:r>
        <w:rPr>
          <w:rFonts w:hint="eastAsia"/>
        </w:rPr>
        <w:t>、</w:t>
      </w:r>
      <w:r>
        <w:t>岸等原始性，是珍稀水生野生动物适宜的繁殖栖息地，是国家二级保护动物大鲵以及多种长江上游特有鱼类的集中分布区。</w:t>
      </w:r>
      <w:r>
        <w:rPr>
          <w:rFonts w:hint="eastAsia"/>
        </w:rPr>
        <w:t>盐井河</w:t>
      </w:r>
      <w:r>
        <w:t>分布有鱼类60种，具有冷水性鱼类向温水性鱼类过渡的特点，具有重要的保护和学术研究价值。</w:t>
      </w:r>
    </w:p>
    <w:p>
      <w:pPr>
        <w:ind w:firstLine="480"/>
        <w:rPr>
          <w:rFonts w:ascii="华文新魏" w:eastAsia="华文新魏"/>
          <w:sz w:val="28"/>
          <w:szCs w:val="28"/>
        </w:rPr>
      </w:pPr>
      <w:r>
        <w:rPr>
          <w:shd w:val="clear" w:color="auto" w:fill="FFFFFF"/>
        </w:rPr>
        <w:t>自2018年6月全面建立河长制以来，</w:t>
      </w:r>
      <w:r>
        <w:rPr>
          <w:rFonts w:hint="eastAsia"/>
          <w:shd w:val="clear" w:color="auto" w:fill="FFFFFF"/>
        </w:rPr>
        <w:t>盐井河河流管理</w:t>
      </w:r>
      <w:r>
        <w:rPr>
          <w:shd w:val="clear" w:color="auto" w:fill="FFFFFF"/>
        </w:rPr>
        <w:t>按照统一部署，坚持问题导向、综合施策，聚集“盆”“水”，集中开展“清四乱”等专项整治行动，重拳“治乱”、铁腕“治病”、系统“治根”，严厉惩处一批涉河湖违法违规行为，河</w:t>
      </w:r>
      <w:r>
        <w:rPr>
          <w:rFonts w:hint="eastAsia"/>
          <w:shd w:val="clear" w:color="auto" w:fill="FFFFFF"/>
        </w:rPr>
        <w:t>流</w:t>
      </w:r>
      <w:r>
        <w:rPr>
          <w:shd w:val="clear" w:color="auto" w:fill="FFFFFF"/>
        </w:rPr>
        <w:t>乱象得到有效遏制，黑臭水体明显减少，河</w:t>
      </w:r>
      <w:r>
        <w:rPr>
          <w:rFonts w:hint="eastAsia"/>
          <w:shd w:val="clear" w:color="auto" w:fill="FFFFFF"/>
        </w:rPr>
        <w:t>流</w:t>
      </w:r>
      <w:r>
        <w:rPr>
          <w:shd w:val="clear" w:color="auto" w:fill="FFFFFF"/>
        </w:rPr>
        <w:t>面貌明显改善，水质水环境明显提升。</w:t>
      </w:r>
    </w:p>
    <w:p>
      <w:pPr>
        <w:ind w:firstLine="480"/>
        <w:rPr>
          <w:rFonts w:ascii="华文新魏" w:eastAsia="华文新魏"/>
          <w:sz w:val="28"/>
          <w:szCs w:val="28"/>
        </w:rPr>
      </w:pPr>
      <w:r>
        <w:t>河湖健康评价是河湖管理的重要内容，是检验河长制</w:t>
      </w:r>
      <w:r>
        <w:rPr>
          <w:rFonts w:hint="eastAsia"/>
        </w:rPr>
        <w:t>、</w:t>
      </w:r>
      <w:r>
        <w:t>湖长制“有名”“有实”的重要手段。为深入贯彻落实中办、国办</w:t>
      </w:r>
      <w:r>
        <w:rPr>
          <w:rFonts w:hint="eastAsia"/>
        </w:rPr>
        <w:t>、省河长办</w:t>
      </w:r>
      <w:r>
        <w:t>《关于全面推行河长制的意见》</w:t>
      </w:r>
      <w:r>
        <w:rPr>
          <w:rFonts w:hint="eastAsia"/>
        </w:rPr>
        <w:t>、</w:t>
      </w:r>
      <w:r>
        <w:t>《关于在湖泊实施湖长制的指导意见》</w:t>
      </w:r>
      <w:r>
        <w:rPr>
          <w:rFonts w:hint="eastAsia"/>
        </w:rPr>
        <w:t>、《四川省河长制办公室关于在全省开展河流（湖库）健康评价工作的通知》</w:t>
      </w:r>
      <w:r>
        <w:t>要求，</w:t>
      </w:r>
      <w:r>
        <w:rPr>
          <w:rFonts w:hint="eastAsia"/>
        </w:rPr>
        <w:t>盐井河作为旺苍县河湖健康评价工作试点，是</w:t>
      </w:r>
      <w:r>
        <w:t>推动</w:t>
      </w:r>
      <w:r>
        <w:rPr>
          <w:rFonts w:hint="eastAsia"/>
        </w:rPr>
        <w:t>盐井河</w:t>
      </w:r>
      <w:r>
        <w:t>河长制“有名”“有实”“有能”</w:t>
      </w:r>
      <w:r>
        <w:rPr>
          <w:rFonts w:hint="eastAsia"/>
        </w:rPr>
        <w:t>的重要举措。</w:t>
      </w:r>
    </w:p>
    <w:p>
      <w:pPr>
        <w:ind w:firstLine="480"/>
      </w:pPr>
      <w:r>
        <w:rPr>
          <w:rFonts w:hint="eastAsia"/>
        </w:rPr>
        <w:t>盐井河河湖健康评价范围为陕川交界入境至入东河汇口，总长43.3km，评价指标体系及评价标准参照《四川省河流（湖库）健康评价指南（试行）》执行。此次健康评价总体技术路线为资料收集→现场踏勘调查→确定评价指标→水质监测→计算得分→原因分析→对策及建议。</w:t>
      </w:r>
    </w:p>
    <w:p>
      <w:pPr>
        <w:ind w:firstLine="480"/>
      </w:pPr>
      <w:r>
        <w:rPr>
          <w:rFonts w:hint="eastAsia"/>
        </w:rPr>
        <w:t>盐井河河湖健康评价工作自开展以来，获得了旺苍县水利局、旺苍县林业和草原局、旺苍县生态环境保护局等单位的大力支持，向我单位提供了宝贵资料，使得盐井河河湖健康评价工作得以顺利开展，在此，谨代表中达建诚工程管理集团有限公司盐井河河湖健康评价项目组表示忠心的感谢。</w:t>
      </w:r>
    </w:p>
    <w:p>
      <w:pPr>
        <w:ind w:firstLine="560"/>
        <w:jc w:val="center"/>
        <w:rPr>
          <w:rFonts w:ascii="华文新魏" w:eastAsia="华文新魏"/>
          <w:sz w:val="28"/>
          <w:szCs w:val="28"/>
        </w:rPr>
      </w:pPr>
    </w:p>
    <w:p>
      <w:pPr>
        <w:ind w:firstLine="0" w:firstLineChars="0"/>
        <w:rPr>
          <w:rFonts w:ascii="华文新魏" w:eastAsia="华文新魏"/>
          <w:sz w:val="28"/>
          <w:szCs w:val="28"/>
        </w:rPr>
        <w:sectPr>
          <w:footerReference r:id="rId9" w:type="first"/>
          <w:pgSz w:w="11906" w:h="16838"/>
          <w:pgMar w:top="1440" w:right="1800" w:bottom="1440" w:left="1800" w:header="851" w:footer="992" w:gutter="0"/>
          <w:pgNumType w:start="1"/>
          <w:cols w:space="425" w:num="1"/>
          <w:titlePg/>
          <w:docGrid w:type="lines" w:linePitch="326" w:charSpace="0"/>
        </w:sectPr>
      </w:pPr>
    </w:p>
    <w:p>
      <w:pPr>
        <w:pStyle w:val="2"/>
      </w:pPr>
      <w:bookmarkStart w:id="6" w:name="_Toc86049138"/>
      <w:bookmarkStart w:id="7" w:name="_Toc80719361"/>
      <w:r>
        <w:rPr>
          <w:rFonts w:hint="eastAsia"/>
        </w:rPr>
        <w:t>基础资料</w:t>
      </w:r>
      <w:bookmarkEnd w:id="6"/>
      <w:bookmarkEnd w:id="7"/>
    </w:p>
    <w:p>
      <w:pPr>
        <w:pStyle w:val="3"/>
        <w:ind w:left="301" w:hanging="301"/>
      </w:pPr>
      <w:bookmarkStart w:id="8" w:name="_Toc86049139"/>
      <w:bookmarkStart w:id="9" w:name="_Toc80719362"/>
      <w:r>
        <w:rPr>
          <w:rFonts w:hint="eastAsia"/>
        </w:rPr>
        <w:t>基础资料</w:t>
      </w:r>
      <w:bookmarkEnd w:id="8"/>
      <w:bookmarkEnd w:id="9"/>
    </w:p>
    <w:p>
      <w:pPr>
        <w:pStyle w:val="4"/>
        <w:ind w:left="240"/>
      </w:pPr>
      <w:bookmarkStart w:id="10" w:name="_Toc86049140"/>
      <w:r>
        <w:rPr>
          <w:rFonts w:hint="eastAsia"/>
        </w:rPr>
        <w:t>地形地貌</w:t>
      </w:r>
      <w:bookmarkEnd w:id="10"/>
    </w:p>
    <w:p>
      <w:pPr>
        <w:ind w:firstLine="480"/>
        <w:rPr>
          <w:szCs w:val="24"/>
        </w:rPr>
      </w:pPr>
      <w:r>
        <w:rPr>
          <w:szCs w:val="24"/>
        </w:rPr>
        <w:t>旺苍县位于川北低山丘陵区，地貌类型主要为构造剥蚀低山丘陵及侵蚀堆积河谷地貌。嘉陵江支流东河由北向南流经本区，河流曲折，河谷开阔，呈浅宽“U”型谷，谷宽200～400m，河流平均比降5.0‰。</w:t>
      </w:r>
    </w:p>
    <w:p>
      <w:pPr>
        <w:ind w:firstLine="480"/>
        <w:rPr>
          <w:szCs w:val="24"/>
        </w:rPr>
      </w:pPr>
      <w:r>
        <w:rPr>
          <w:szCs w:val="24"/>
        </w:rPr>
        <w:t>旺苍地貌复杂。相对海拔380-2281m，县城海拔458m。境内山、丘、坝兼有，地势北高南缓，腹部低平，形成一条东西走向的槽谷地带且横贯全境；北部鼓城山、光头山、云雾山、汉王山、老君山、欧家坪等群峰雄踞，构成米仓山西段主体；南部崇山突兀，壑谷纵横；腹部丘坝相间，溪河交错。</w:t>
      </w:r>
      <w:r>
        <w:rPr>
          <w:rFonts w:hint="eastAsia"/>
          <w:szCs w:val="24"/>
        </w:rPr>
        <w:t>整体</w:t>
      </w:r>
      <w:r>
        <w:rPr>
          <w:szCs w:val="24"/>
        </w:rPr>
        <w:t>地势北高南低，嘉陵江一级支流东河南北纵贯。</w:t>
      </w:r>
    </w:p>
    <w:p>
      <w:pPr>
        <w:ind w:firstLine="480"/>
        <w:rPr>
          <w:szCs w:val="24"/>
        </w:rPr>
      </w:pPr>
      <w:r>
        <w:rPr>
          <w:rFonts w:hint="eastAsia"/>
          <w:szCs w:val="24"/>
        </w:rPr>
        <w:t>盐井河流域地处川陕交界地区，北与汉江流域共分水岭。流域内多为山地，山势陡峻；北部地势较高，分水岭海拔在2000m以上，南面地势较低。盐井河自崇山峻岭中穿过，形成许多峡谷，河床坡度大，水流湍急。属山区河谷河流，河谷狭窄，河道弯曲且弯道较多，弯度较大，河流流域面积小，水源涵养差，水量小，流程短，季节性强，水能藴藏量小，无通航能力。流域中心位于米仓山暴雨带，年最大24小时的最大降雨可达300mm左右，流域形成的洪水具有典型的山区洪水特性，陡涨陡落，暴雨形成的洪峰在0.5~1个小时。水流速度快，冲刷下蚀能力强。</w:t>
      </w:r>
    </w:p>
    <w:p>
      <w:pPr>
        <w:pStyle w:val="4"/>
        <w:ind w:left="240"/>
      </w:pPr>
      <w:bookmarkStart w:id="11" w:name="_Toc86049141"/>
      <w:r>
        <w:rPr>
          <w:rFonts w:hint="eastAsia"/>
        </w:rPr>
        <w:t>植被土壤</w:t>
      </w:r>
      <w:bookmarkEnd w:id="11"/>
    </w:p>
    <w:p>
      <w:pPr>
        <w:ind w:firstLine="480"/>
        <w:rPr>
          <w:szCs w:val="24"/>
        </w:rPr>
      </w:pPr>
      <w:r>
        <w:rPr>
          <w:szCs w:val="24"/>
        </w:rPr>
        <w:t>旺苍县境内土壤类型复杂多样，几乎包括了四川东部和北部所有土壤类型。县境中部主要是紫色土，境北低中山地区主要是黄壤和棕黄壤，南部低山深丘区主要是水稻土，西北部的摩天岭主要是暗棕壤和亚高山草甸土。</w:t>
      </w:r>
    </w:p>
    <w:p>
      <w:pPr>
        <w:ind w:firstLine="480"/>
        <w:rPr>
          <w:szCs w:val="24"/>
        </w:rPr>
      </w:pPr>
      <w:r>
        <w:rPr>
          <w:szCs w:val="24"/>
        </w:rPr>
        <w:t>旺苍县森林覆盖率58%，植被平面分布为：县境南部低山、深丘的水稻土类区，以农作植被为主，辅以散生林、人工林、疏林、</w:t>
      </w:r>
      <w:r>
        <w:rPr>
          <w:rFonts w:eastAsia="宋体"/>
          <w:szCs w:val="24"/>
        </w:rPr>
        <w:t>䓍</w:t>
      </w:r>
      <w:r>
        <w:rPr>
          <w:szCs w:val="24"/>
        </w:rPr>
        <w:t>场、田隙草地植被；县境中河谷走廊两岸的新积、紫色土类区，以农作植被为主，森林植被及草场为辅；县境北中山和亚高山的黄壤和黄棕壤土类区，主要以森林植被和草场植被为主。</w:t>
      </w:r>
    </w:p>
    <w:p>
      <w:pPr>
        <w:ind w:firstLine="480"/>
        <w:rPr>
          <w:szCs w:val="24"/>
        </w:rPr>
      </w:pPr>
      <w:r>
        <w:rPr>
          <w:rFonts w:hint="eastAsia"/>
          <w:szCs w:val="24"/>
        </w:rPr>
        <w:t>盐井河流域位于旺苍县北部，与陕西宁强县接壤，流域内多为山地，山势陡峻。流域内植被较好，森林覆盖率45%，较多灌木林，树木以杂木为主。</w:t>
      </w:r>
      <w:r>
        <w:rPr>
          <w:szCs w:val="24"/>
        </w:rPr>
        <w:t>海拔900m以下，多为亚热带的农作栽培植被及疏林、散生林、田隙草地、小块人工林植被；海拔900</w:t>
      </w:r>
      <w:r>
        <w:rPr>
          <w:rFonts w:hint="eastAsia"/>
          <w:szCs w:val="24"/>
        </w:rPr>
        <w:t>~</w:t>
      </w:r>
      <w:r>
        <w:rPr>
          <w:szCs w:val="24"/>
        </w:rPr>
        <w:t>1600m间，为山地亚热带常绿阔叶林带植被，主要是天然次生林和草场，杂以人工飞播林、栽培林和农作栽培植被；海拔1600</w:t>
      </w:r>
      <w:r>
        <w:rPr>
          <w:rFonts w:hint="eastAsia"/>
          <w:szCs w:val="24"/>
        </w:rPr>
        <w:t>~</w:t>
      </w:r>
      <w:r>
        <w:rPr>
          <w:szCs w:val="24"/>
        </w:rPr>
        <w:t>2100m间，为暖温带常绿与落叶阔叶混交林带，多为次生林及灌丛草场植被，杂以天然原生植被；海拔2100</w:t>
      </w:r>
      <w:r>
        <w:rPr>
          <w:rFonts w:hint="eastAsia"/>
          <w:szCs w:val="24"/>
        </w:rPr>
        <w:t>~</w:t>
      </w:r>
      <w:r>
        <w:rPr>
          <w:szCs w:val="24"/>
        </w:rPr>
        <w:t>2400m之间，为温带针阔叶混交林带，这类地带面积很少，主要分布于旺苍县北和青川县西北境，多为原生植被，杂以少量次生植被；海拔2400</w:t>
      </w:r>
      <w:r>
        <w:rPr>
          <w:rFonts w:hint="eastAsia"/>
          <w:szCs w:val="24"/>
        </w:rPr>
        <w:t>~</w:t>
      </w:r>
      <w:r>
        <w:rPr>
          <w:szCs w:val="24"/>
        </w:rPr>
        <w:t>3600m间，为寒温带亚高山针叶林带</w:t>
      </w:r>
      <w:r>
        <w:rPr>
          <w:rFonts w:hint="eastAsia"/>
          <w:szCs w:val="24"/>
        </w:rPr>
        <w:t>；</w:t>
      </w:r>
      <w:r>
        <w:rPr>
          <w:szCs w:val="24"/>
        </w:rPr>
        <w:t>海拔3600m以上为寒带亚高山矮化灌丛草甸带。</w:t>
      </w:r>
      <w:r>
        <w:rPr>
          <w:rFonts w:hint="eastAsia"/>
          <w:szCs w:val="24"/>
        </w:rPr>
        <w:t>流域内经济林木主要有油桐、桑梨、苹果、茶叶等，粮食作物主要有小麦、玉米、土豆、苕豆等。</w:t>
      </w:r>
    </w:p>
    <w:p>
      <w:pPr>
        <w:pStyle w:val="4"/>
        <w:ind w:left="240"/>
      </w:pPr>
      <w:bookmarkStart w:id="12" w:name="_Toc86049142"/>
      <w:r>
        <w:rPr>
          <w:rFonts w:hint="eastAsia"/>
        </w:rPr>
        <w:t>水文气象</w:t>
      </w:r>
      <w:bookmarkEnd w:id="12"/>
    </w:p>
    <w:p>
      <w:pPr>
        <w:ind w:firstLine="480"/>
      </w:pPr>
      <w:r>
        <w:rPr>
          <w:rFonts w:hint="eastAsia"/>
        </w:rPr>
        <w:t>（1）气象</w:t>
      </w:r>
    </w:p>
    <w:p>
      <w:pPr>
        <w:ind w:firstLine="480"/>
        <w:rPr>
          <w:szCs w:val="24"/>
        </w:rPr>
      </w:pPr>
      <w:r>
        <w:rPr>
          <w:szCs w:val="24"/>
        </w:rPr>
        <w:t>旺苍县属中、亚热带湿润季风气候，季风气候明显，冬暖夏热。北部山区地势较高，受西北气流影响较明显，属于寒冷性气候；下游因有西北的岷山山脉、北部秦岭和东北大巴山脉为屏障，西北寒流不易入侵，故冬季霜雪少，而夏季则炎热多雨，秋冬多雾。</w:t>
      </w:r>
    </w:p>
    <w:p>
      <w:pPr>
        <w:ind w:firstLine="480"/>
        <w:rPr>
          <w:szCs w:val="24"/>
        </w:rPr>
      </w:pPr>
      <w:r>
        <w:rPr>
          <w:szCs w:val="24"/>
        </w:rPr>
        <w:t>根据旺苍气象站实测资料统计：多年平均气温16.2</w:t>
      </w:r>
      <w:r>
        <w:rPr>
          <w:rFonts w:eastAsia="宋体"/>
          <w:szCs w:val="24"/>
        </w:rPr>
        <w:t>℃</w:t>
      </w:r>
      <w:r>
        <w:rPr>
          <w:szCs w:val="24"/>
        </w:rPr>
        <w:t>，极端最高气温40.9</w:t>
      </w:r>
      <w:r>
        <w:rPr>
          <w:rFonts w:eastAsia="宋体"/>
          <w:szCs w:val="24"/>
        </w:rPr>
        <w:t>℃</w:t>
      </w:r>
      <w:r>
        <w:rPr>
          <w:szCs w:val="24"/>
        </w:rPr>
        <w:t>，极端最低气温-7.2</w:t>
      </w:r>
      <w:r>
        <w:rPr>
          <w:rFonts w:eastAsia="宋体"/>
          <w:szCs w:val="24"/>
        </w:rPr>
        <w:t>℃</w:t>
      </w:r>
      <w:r>
        <w:rPr>
          <w:szCs w:val="24"/>
        </w:rPr>
        <w:t>，出现在1975年；全年无霜期260天，多年平均年降水量1226.2mm，最大年降水量为2092.4mm，出现在1981年，最小年降水量为728.8mm，出现在1979年，最大一日降水量260.3mm（1965年9月4日）；多年平均年蒸发量1136.3mm，历年平均年日照时数为1355小时，相对湿度74%；多年平均风速1.0m/s，最大风速34m/s，相应风向NNE，多年平均年最大风速12m/s。</w:t>
      </w:r>
    </w:p>
    <w:p>
      <w:pPr>
        <w:ind w:firstLine="480"/>
        <w:rPr>
          <w:szCs w:val="24"/>
        </w:rPr>
      </w:pPr>
      <w:r>
        <w:rPr>
          <w:szCs w:val="24"/>
        </w:rPr>
        <w:t>旺苍气象站主要气象特征值见</w:t>
      </w:r>
      <w:r>
        <w:rPr>
          <w:szCs w:val="24"/>
        </w:rPr>
        <w:fldChar w:fldCharType="begin"/>
      </w:r>
      <w:r>
        <w:rPr>
          <w:szCs w:val="24"/>
        </w:rPr>
        <w:instrText xml:space="preserve"> REF _Ref80716278 \h </w:instrText>
      </w:r>
      <w:r>
        <w:rPr>
          <w:szCs w:val="24"/>
        </w:rPr>
        <w:fldChar w:fldCharType="separate"/>
      </w:r>
      <w:r>
        <w:rPr>
          <w:rFonts w:hint="eastAsia"/>
        </w:rPr>
        <w:t>表</w:t>
      </w:r>
      <w:r>
        <w:t>1.1</w:t>
      </w:r>
      <w:r>
        <w:noBreakHyphen/>
      </w:r>
      <w:r>
        <w:t>1</w:t>
      </w:r>
      <w:r>
        <w:rPr>
          <w:szCs w:val="24"/>
        </w:rPr>
        <w:fldChar w:fldCharType="end"/>
      </w:r>
      <w:r>
        <w:rPr>
          <w:szCs w:val="24"/>
        </w:rPr>
        <w:t>。</w:t>
      </w:r>
    </w:p>
    <w:p>
      <w:pPr>
        <w:pStyle w:val="58"/>
        <w:rPr>
          <w:color w:val="auto"/>
        </w:rPr>
      </w:pPr>
      <w:bookmarkStart w:id="13" w:name="_Ref80716278"/>
      <w:bookmarkStart w:id="14" w:name="_Ref80713569"/>
      <w:r>
        <w:rPr>
          <w:rFonts w:hint="eastAsia"/>
          <w:color w:val="auto"/>
        </w:rPr>
        <w:t>表</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1.1</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1</w:t>
      </w:r>
      <w:r>
        <w:rPr>
          <w:color w:val="auto"/>
        </w:rPr>
        <w:fldChar w:fldCharType="end"/>
      </w:r>
      <w:bookmarkEnd w:id="13"/>
      <w:r>
        <w:rPr>
          <w:color w:val="auto"/>
        </w:rPr>
        <w:t>旺苍气象站主要气象特征值统计表</w:t>
      </w:r>
      <w:bookmarkEnd w:id="14"/>
    </w:p>
    <w:tbl>
      <w:tblPr>
        <w:tblStyle w:val="24"/>
        <w:tblW w:w="5000" w:type="pct"/>
        <w:tblInd w:w="0" w:type="dxa"/>
        <w:tblLayout w:type="autofit"/>
        <w:tblCellMar>
          <w:top w:w="0" w:type="dxa"/>
          <w:left w:w="108" w:type="dxa"/>
          <w:bottom w:w="0" w:type="dxa"/>
          <w:right w:w="108" w:type="dxa"/>
        </w:tblCellMar>
      </w:tblPr>
      <w:tblGrid>
        <w:gridCol w:w="706"/>
        <w:gridCol w:w="1367"/>
        <w:gridCol w:w="1223"/>
        <w:gridCol w:w="1423"/>
        <w:gridCol w:w="652"/>
        <w:gridCol w:w="836"/>
        <w:gridCol w:w="3081"/>
      </w:tblGrid>
      <w:tr>
        <w:tblPrEx>
          <w:tblCellMar>
            <w:top w:w="0" w:type="dxa"/>
            <w:left w:w="108" w:type="dxa"/>
            <w:bottom w:w="0" w:type="dxa"/>
            <w:right w:w="108" w:type="dxa"/>
          </w:tblCellMar>
        </w:tblPrEx>
        <w:trPr>
          <w:trHeight w:val="270" w:hRule="atLeast"/>
          <w:tblHeader/>
        </w:trPr>
        <w:tc>
          <w:tcPr>
            <w:tcW w:w="380" w:type="pct"/>
            <w:tcBorders>
              <w:top w:val="single" w:color="auto" w:sz="4" w:space="0"/>
              <w:left w:val="single" w:color="auto" w:sz="4" w:space="0"/>
              <w:bottom w:val="single" w:color="auto" w:sz="4" w:space="0"/>
              <w:right w:val="single" w:color="auto" w:sz="4" w:space="0"/>
            </w:tcBorders>
            <w:noWrap/>
            <w:vAlign w:val="center"/>
          </w:tcPr>
          <w:p>
            <w:pPr>
              <w:pStyle w:val="43"/>
            </w:pPr>
            <w:r>
              <w:t>序号</w:t>
            </w:r>
          </w:p>
        </w:tc>
        <w:tc>
          <w:tcPr>
            <w:tcW w:w="2160" w:type="pct"/>
            <w:gridSpan w:val="3"/>
            <w:tcBorders>
              <w:top w:val="single" w:color="auto" w:sz="4" w:space="0"/>
              <w:left w:val="nil"/>
              <w:bottom w:val="single" w:color="auto" w:sz="4" w:space="0"/>
              <w:right w:val="single" w:color="auto" w:sz="4" w:space="0"/>
            </w:tcBorders>
            <w:noWrap/>
            <w:vAlign w:val="center"/>
          </w:tcPr>
          <w:p>
            <w:pPr>
              <w:pStyle w:val="43"/>
            </w:pPr>
            <w:r>
              <w:t>项目</w:t>
            </w:r>
          </w:p>
        </w:tc>
        <w:tc>
          <w:tcPr>
            <w:tcW w:w="351" w:type="pct"/>
            <w:tcBorders>
              <w:top w:val="single" w:color="auto" w:sz="4" w:space="0"/>
              <w:left w:val="nil"/>
              <w:bottom w:val="single" w:color="auto" w:sz="4" w:space="0"/>
              <w:right w:val="single" w:color="auto" w:sz="4" w:space="0"/>
            </w:tcBorders>
            <w:noWrap/>
            <w:vAlign w:val="center"/>
          </w:tcPr>
          <w:p>
            <w:pPr>
              <w:pStyle w:val="43"/>
            </w:pPr>
            <w:r>
              <w:t>单位</w:t>
            </w:r>
          </w:p>
        </w:tc>
        <w:tc>
          <w:tcPr>
            <w:tcW w:w="450" w:type="pct"/>
            <w:tcBorders>
              <w:top w:val="single" w:color="auto" w:sz="4" w:space="0"/>
              <w:left w:val="nil"/>
              <w:bottom w:val="single" w:color="auto" w:sz="4" w:space="0"/>
              <w:right w:val="single" w:color="auto" w:sz="4" w:space="0"/>
            </w:tcBorders>
            <w:noWrap/>
            <w:vAlign w:val="center"/>
          </w:tcPr>
          <w:p>
            <w:pPr>
              <w:pStyle w:val="43"/>
            </w:pPr>
            <w:r>
              <w:t>数量</w:t>
            </w:r>
          </w:p>
        </w:tc>
        <w:tc>
          <w:tcPr>
            <w:tcW w:w="1658" w:type="pct"/>
            <w:tcBorders>
              <w:top w:val="single" w:color="auto" w:sz="4" w:space="0"/>
              <w:left w:val="nil"/>
              <w:bottom w:val="single" w:color="auto" w:sz="4" w:space="0"/>
              <w:right w:val="single" w:color="auto" w:sz="4" w:space="0"/>
            </w:tcBorders>
            <w:noWrap/>
            <w:vAlign w:val="center"/>
          </w:tcPr>
          <w:p>
            <w:pPr>
              <w:pStyle w:val="43"/>
            </w:pPr>
            <w:r>
              <w:t>备注</w:t>
            </w:r>
          </w:p>
        </w:tc>
      </w:tr>
      <w:tr>
        <w:tblPrEx>
          <w:tblCellMar>
            <w:top w:w="0" w:type="dxa"/>
            <w:left w:w="108" w:type="dxa"/>
            <w:bottom w:w="0" w:type="dxa"/>
            <w:right w:w="108" w:type="dxa"/>
          </w:tblCellMar>
        </w:tblPrEx>
        <w:trPr>
          <w:trHeight w:val="270" w:hRule="atLeast"/>
        </w:trPr>
        <w:tc>
          <w:tcPr>
            <w:tcW w:w="380" w:type="pct"/>
            <w:vMerge w:val="restart"/>
            <w:tcBorders>
              <w:top w:val="nil"/>
              <w:left w:val="single" w:color="auto" w:sz="4" w:space="0"/>
              <w:bottom w:val="single" w:color="auto" w:sz="4" w:space="0"/>
              <w:right w:val="single" w:color="auto" w:sz="4" w:space="0"/>
            </w:tcBorders>
            <w:noWrap/>
            <w:vAlign w:val="center"/>
          </w:tcPr>
          <w:p>
            <w:pPr>
              <w:pStyle w:val="43"/>
            </w:pPr>
            <w:r>
              <w:t>1</w:t>
            </w:r>
          </w:p>
        </w:tc>
        <w:tc>
          <w:tcPr>
            <w:tcW w:w="736" w:type="pct"/>
            <w:vMerge w:val="restart"/>
            <w:tcBorders>
              <w:top w:val="nil"/>
              <w:left w:val="single" w:color="auto" w:sz="4" w:space="0"/>
              <w:bottom w:val="single" w:color="auto" w:sz="4" w:space="0"/>
              <w:right w:val="single" w:color="auto" w:sz="4" w:space="0"/>
            </w:tcBorders>
            <w:noWrap/>
            <w:vAlign w:val="center"/>
          </w:tcPr>
          <w:p>
            <w:pPr>
              <w:pStyle w:val="43"/>
            </w:pPr>
            <w:r>
              <w:t>气温</w:t>
            </w:r>
          </w:p>
        </w:tc>
        <w:tc>
          <w:tcPr>
            <w:tcW w:w="1424" w:type="pct"/>
            <w:gridSpan w:val="2"/>
            <w:tcBorders>
              <w:top w:val="nil"/>
              <w:left w:val="nil"/>
              <w:bottom w:val="single" w:color="auto" w:sz="4" w:space="0"/>
              <w:right w:val="single" w:color="auto" w:sz="4" w:space="0"/>
            </w:tcBorders>
            <w:noWrap/>
            <w:vAlign w:val="center"/>
          </w:tcPr>
          <w:p>
            <w:pPr>
              <w:pStyle w:val="43"/>
            </w:pPr>
            <w:r>
              <w:t>多年平均</w:t>
            </w:r>
          </w:p>
        </w:tc>
        <w:tc>
          <w:tcPr>
            <w:tcW w:w="351" w:type="pct"/>
            <w:tcBorders>
              <w:top w:val="nil"/>
              <w:left w:val="nil"/>
              <w:bottom w:val="single" w:color="auto" w:sz="4" w:space="0"/>
              <w:right w:val="single" w:color="auto" w:sz="4" w:space="0"/>
            </w:tcBorders>
            <w:noWrap/>
            <w:vAlign w:val="center"/>
          </w:tcPr>
          <w:p>
            <w:pPr>
              <w:pStyle w:val="43"/>
            </w:pPr>
            <w:r>
              <w:t>℃</w:t>
            </w:r>
          </w:p>
        </w:tc>
        <w:tc>
          <w:tcPr>
            <w:tcW w:w="450" w:type="pct"/>
            <w:tcBorders>
              <w:top w:val="nil"/>
              <w:left w:val="nil"/>
              <w:bottom w:val="single" w:color="auto" w:sz="4" w:space="0"/>
              <w:right w:val="single" w:color="auto" w:sz="4" w:space="0"/>
            </w:tcBorders>
            <w:noWrap/>
            <w:vAlign w:val="center"/>
          </w:tcPr>
          <w:p>
            <w:pPr>
              <w:pStyle w:val="43"/>
            </w:pPr>
            <w:r>
              <w:t>16.1</w:t>
            </w:r>
          </w:p>
        </w:tc>
        <w:tc>
          <w:tcPr>
            <w:tcW w:w="1658" w:type="pct"/>
            <w:vMerge w:val="restart"/>
            <w:tcBorders>
              <w:top w:val="nil"/>
              <w:left w:val="single" w:color="auto" w:sz="4" w:space="0"/>
              <w:bottom w:val="single" w:color="auto" w:sz="4" w:space="0"/>
              <w:right w:val="single" w:color="auto" w:sz="4" w:space="0"/>
            </w:tcBorders>
            <w:noWrap/>
            <w:vAlign w:val="center"/>
          </w:tcPr>
          <w:p>
            <w:pPr>
              <w:pStyle w:val="43"/>
            </w:pPr>
            <w:r>
              <w:t>旺苍气象站黄海高程为485.0m</w:t>
            </w:r>
          </w:p>
        </w:tc>
      </w:tr>
      <w:tr>
        <w:tblPrEx>
          <w:tblCellMar>
            <w:top w:w="0" w:type="dxa"/>
            <w:left w:w="108" w:type="dxa"/>
            <w:bottom w:w="0" w:type="dxa"/>
            <w:right w:w="108" w:type="dxa"/>
          </w:tblCellMar>
        </w:tblPrEx>
        <w:trPr>
          <w:trHeight w:val="270" w:hRule="atLeast"/>
        </w:trPr>
        <w:tc>
          <w:tcPr>
            <w:tcW w:w="380" w:type="pct"/>
            <w:vMerge w:val="continue"/>
            <w:tcBorders>
              <w:top w:val="nil"/>
              <w:left w:val="single" w:color="auto" w:sz="4" w:space="0"/>
              <w:bottom w:val="single" w:color="auto" w:sz="4" w:space="0"/>
              <w:right w:val="single" w:color="auto" w:sz="4" w:space="0"/>
            </w:tcBorders>
            <w:vAlign w:val="center"/>
          </w:tcPr>
          <w:p>
            <w:pPr>
              <w:pStyle w:val="43"/>
            </w:pPr>
          </w:p>
        </w:tc>
        <w:tc>
          <w:tcPr>
            <w:tcW w:w="736" w:type="pct"/>
            <w:vMerge w:val="continue"/>
            <w:tcBorders>
              <w:top w:val="nil"/>
              <w:left w:val="single" w:color="auto" w:sz="4" w:space="0"/>
              <w:bottom w:val="single" w:color="auto" w:sz="4" w:space="0"/>
              <w:right w:val="single" w:color="auto" w:sz="4" w:space="0"/>
            </w:tcBorders>
            <w:vAlign w:val="center"/>
          </w:tcPr>
          <w:p>
            <w:pPr>
              <w:pStyle w:val="43"/>
            </w:pPr>
          </w:p>
        </w:tc>
        <w:tc>
          <w:tcPr>
            <w:tcW w:w="1424" w:type="pct"/>
            <w:gridSpan w:val="2"/>
            <w:tcBorders>
              <w:top w:val="nil"/>
              <w:left w:val="nil"/>
              <w:bottom w:val="single" w:color="auto" w:sz="4" w:space="0"/>
              <w:right w:val="single" w:color="auto" w:sz="4" w:space="0"/>
            </w:tcBorders>
            <w:noWrap/>
            <w:vAlign w:val="center"/>
          </w:tcPr>
          <w:p>
            <w:pPr>
              <w:pStyle w:val="43"/>
            </w:pPr>
            <w:r>
              <w:t>极端最高</w:t>
            </w:r>
          </w:p>
        </w:tc>
        <w:tc>
          <w:tcPr>
            <w:tcW w:w="351" w:type="pct"/>
            <w:tcBorders>
              <w:top w:val="nil"/>
              <w:left w:val="nil"/>
              <w:bottom w:val="single" w:color="auto" w:sz="4" w:space="0"/>
              <w:right w:val="single" w:color="auto" w:sz="4" w:space="0"/>
            </w:tcBorders>
            <w:noWrap/>
            <w:vAlign w:val="center"/>
          </w:tcPr>
          <w:p>
            <w:pPr>
              <w:pStyle w:val="43"/>
            </w:pPr>
            <w:r>
              <w:t>℃</w:t>
            </w:r>
          </w:p>
        </w:tc>
        <w:tc>
          <w:tcPr>
            <w:tcW w:w="450" w:type="pct"/>
            <w:tcBorders>
              <w:top w:val="nil"/>
              <w:left w:val="nil"/>
              <w:bottom w:val="single" w:color="auto" w:sz="4" w:space="0"/>
              <w:right w:val="single" w:color="auto" w:sz="4" w:space="0"/>
            </w:tcBorders>
            <w:noWrap/>
            <w:vAlign w:val="center"/>
          </w:tcPr>
          <w:p>
            <w:pPr>
              <w:pStyle w:val="43"/>
            </w:pPr>
            <w:r>
              <w:t>39.0</w:t>
            </w:r>
          </w:p>
        </w:tc>
        <w:tc>
          <w:tcPr>
            <w:tcW w:w="1658" w:type="pct"/>
            <w:vMerge w:val="continue"/>
            <w:tcBorders>
              <w:top w:val="nil"/>
              <w:left w:val="single" w:color="auto" w:sz="4" w:space="0"/>
              <w:bottom w:val="single" w:color="auto" w:sz="4" w:space="0"/>
              <w:right w:val="single" w:color="auto" w:sz="4" w:space="0"/>
            </w:tcBorders>
            <w:vAlign w:val="center"/>
          </w:tcPr>
          <w:p>
            <w:pPr>
              <w:pStyle w:val="43"/>
            </w:pPr>
          </w:p>
        </w:tc>
      </w:tr>
      <w:tr>
        <w:tblPrEx>
          <w:tblCellMar>
            <w:top w:w="0" w:type="dxa"/>
            <w:left w:w="108" w:type="dxa"/>
            <w:bottom w:w="0" w:type="dxa"/>
            <w:right w:w="108" w:type="dxa"/>
          </w:tblCellMar>
        </w:tblPrEx>
        <w:trPr>
          <w:trHeight w:val="270" w:hRule="atLeast"/>
        </w:trPr>
        <w:tc>
          <w:tcPr>
            <w:tcW w:w="380" w:type="pct"/>
            <w:vMerge w:val="continue"/>
            <w:tcBorders>
              <w:top w:val="nil"/>
              <w:left w:val="single" w:color="auto" w:sz="4" w:space="0"/>
              <w:bottom w:val="single" w:color="auto" w:sz="4" w:space="0"/>
              <w:right w:val="single" w:color="auto" w:sz="4" w:space="0"/>
            </w:tcBorders>
            <w:vAlign w:val="center"/>
          </w:tcPr>
          <w:p>
            <w:pPr>
              <w:pStyle w:val="43"/>
            </w:pPr>
          </w:p>
        </w:tc>
        <w:tc>
          <w:tcPr>
            <w:tcW w:w="736" w:type="pct"/>
            <w:vMerge w:val="continue"/>
            <w:tcBorders>
              <w:top w:val="nil"/>
              <w:left w:val="single" w:color="auto" w:sz="4" w:space="0"/>
              <w:bottom w:val="single" w:color="auto" w:sz="4" w:space="0"/>
              <w:right w:val="single" w:color="auto" w:sz="4" w:space="0"/>
            </w:tcBorders>
            <w:vAlign w:val="center"/>
          </w:tcPr>
          <w:p>
            <w:pPr>
              <w:pStyle w:val="43"/>
            </w:pPr>
          </w:p>
        </w:tc>
        <w:tc>
          <w:tcPr>
            <w:tcW w:w="1424" w:type="pct"/>
            <w:gridSpan w:val="2"/>
            <w:tcBorders>
              <w:top w:val="nil"/>
              <w:left w:val="nil"/>
              <w:bottom w:val="single" w:color="auto" w:sz="4" w:space="0"/>
              <w:right w:val="single" w:color="auto" w:sz="4" w:space="0"/>
            </w:tcBorders>
            <w:noWrap/>
            <w:vAlign w:val="center"/>
          </w:tcPr>
          <w:p>
            <w:pPr>
              <w:pStyle w:val="43"/>
            </w:pPr>
            <w:r>
              <w:t>极端最低</w:t>
            </w:r>
          </w:p>
        </w:tc>
        <w:tc>
          <w:tcPr>
            <w:tcW w:w="351" w:type="pct"/>
            <w:tcBorders>
              <w:top w:val="nil"/>
              <w:left w:val="nil"/>
              <w:bottom w:val="single" w:color="auto" w:sz="4" w:space="0"/>
              <w:right w:val="single" w:color="auto" w:sz="4" w:space="0"/>
            </w:tcBorders>
            <w:noWrap/>
            <w:vAlign w:val="center"/>
          </w:tcPr>
          <w:p>
            <w:pPr>
              <w:pStyle w:val="43"/>
            </w:pPr>
            <w:r>
              <w:t>℃</w:t>
            </w:r>
          </w:p>
        </w:tc>
        <w:tc>
          <w:tcPr>
            <w:tcW w:w="450" w:type="pct"/>
            <w:tcBorders>
              <w:top w:val="nil"/>
              <w:left w:val="nil"/>
              <w:bottom w:val="single" w:color="auto" w:sz="4" w:space="0"/>
              <w:right w:val="single" w:color="auto" w:sz="4" w:space="0"/>
            </w:tcBorders>
            <w:noWrap/>
            <w:vAlign w:val="center"/>
          </w:tcPr>
          <w:p>
            <w:pPr>
              <w:pStyle w:val="43"/>
            </w:pPr>
            <w:r>
              <w:t>-7.2</w:t>
            </w:r>
          </w:p>
        </w:tc>
        <w:tc>
          <w:tcPr>
            <w:tcW w:w="1658" w:type="pct"/>
            <w:vMerge w:val="continue"/>
            <w:tcBorders>
              <w:top w:val="nil"/>
              <w:left w:val="single" w:color="auto" w:sz="4" w:space="0"/>
              <w:bottom w:val="single" w:color="auto" w:sz="4" w:space="0"/>
              <w:right w:val="single" w:color="auto" w:sz="4" w:space="0"/>
            </w:tcBorders>
            <w:vAlign w:val="center"/>
          </w:tcPr>
          <w:p>
            <w:pPr>
              <w:pStyle w:val="43"/>
            </w:pPr>
          </w:p>
        </w:tc>
      </w:tr>
      <w:tr>
        <w:tblPrEx>
          <w:tblCellMar>
            <w:top w:w="0" w:type="dxa"/>
            <w:left w:w="108" w:type="dxa"/>
            <w:bottom w:w="0" w:type="dxa"/>
            <w:right w:w="108" w:type="dxa"/>
          </w:tblCellMar>
        </w:tblPrEx>
        <w:trPr>
          <w:trHeight w:val="270" w:hRule="atLeast"/>
        </w:trPr>
        <w:tc>
          <w:tcPr>
            <w:tcW w:w="380" w:type="pct"/>
            <w:vMerge w:val="restart"/>
            <w:tcBorders>
              <w:top w:val="nil"/>
              <w:left w:val="single" w:color="auto" w:sz="4" w:space="0"/>
              <w:bottom w:val="single" w:color="auto" w:sz="4" w:space="0"/>
              <w:right w:val="single" w:color="auto" w:sz="4" w:space="0"/>
            </w:tcBorders>
            <w:noWrap/>
            <w:vAlign w:val="center"/>
          </w:tcPr>
          <w:p>
            <w:pPr>
              <w:pStyle w:val="43"/>
            </w:pPr>
            <w:r>
              <w:t>2</w:t>
            </w:r>
          </w:p>
        </w:tc>
        <w:tc>
          <w:tcPr>
            <w:tcW w:w="736" w:type="pct"/>
            <w:vMerge w:val="restart"/>
            <w:tcBorders>
              <w:top w:val="nil"/>
              <w:left w:val="single" w:color="auto" w:sz="4" w:space="0"/>
              <w:bottom w:val="single" w:color="auto" w:sz="4" w:space="0"/>
              <w:right w:val="single" w:color="auto" w:sz="4" w:space="0"/>
            </w:tcBorders>
            <w:noWrap/>
            <w:vAlign w:val="center"/>
          </w:tcPr>
          <w:p>
            <w:pPr>
              <w:pStyle w:val="43"/>
            </w:pPr>
            <w:r>
              <w:t>降水量</w:t>
            </w:r>
          </w:p>
        </w:tc>
        <w:tc>
          <w:tcPr>
            <w:tcW w:w="1424" w:type="pct"/>
            <w:gridSpan w:val="2"/>
            <w:tcBorders>
              <w:top w:val="nil"/>
              <w:left w:val="nil"/>
              <w:bottom w:val="single" w:color="auto" w:sz="4" w:space="0"/>
              <w:right w:val="single" w:color="auto" w:sz="4" w:space="0"/>
            </w:tcBorders>
            <w:noWrap/>
            <w:vAlign w:val="center"/>
          </w:tcPr>
          <w:p>
            <w:pPr>
              <w:pStyle w:val="43"/>
            </w:pPr>
            <w:r>
              <w:t>多年平均年</w:t>
            </w:r>
          </w:p>
        </w:tc>
        <w:tc>
          <w:tcPr>
            <w:tcW w:w="351" w:type="pct"/>
            <w:tcBorders>
              <w:top w:val="nil"/>
              <w:left w:val="nil"/>
              <w:bottom w:val="single" w:color="auto" w:sz="4" w:space="0"/>
              <w:right w:val="single" w:color="auto" w:sz="4" w:space="0"/>
            </w:tcBorders>
            <w:noWrap/>
            <w:vAlign w:val="center"/>
          </w:tcPr>
          <w:p>
            <w:pPr>
              <w:pStyle w:val="43"/>
            </w:pPr>
            <w:r>
              <w:t>mm</w:t>
            </w:r>
          </w:p>
        </w:tc>
        <w:tc>
          <w:tcPr>
            <w:tcW w:w="450" w:type="pct"/>
            <w:tcBorders>
              <w:top w:val="nil"/>
              <w:left w:val="nil"/>
              <w:bottom w:val="single" w:color="auto" w:sz="4" w:space="0"/>
              <w:right w:val="single" w:color="auto" w:sz="4" w:space="0"/>
            </w:tcBorders>
            <w:noWrap/>
            <w:vAlign w:val="center"/>
          </w:tcPr>
          <w:p>
            <w:pPr>
              <w:pStyle w:val="43"/>
            </w:pPr>
            <w:r>
              <w:t>1226</w:t>
            </w:r>
          </w:p>
        </w:tc>
        <w:tc>
          <w:tcPr>
            <w:tcW w:w="1658" w:type="pct"/>
            <w:tcBorders>
              <w:top w:val="nil"/>
              <w:left w:val="nil"/>
              <w:bottom w:val="single" w:color="auto" w:sz="4" w:space="0"/>
              <w:right w:val="single" w:color="auto" w:sz="4" w:space="0"/>
            </w:tcBorders>
            <w:noWrap/>
            <w:vAlign w:val="center"/>
          </w:tcPr>
          <w:p>
            <w:pPr>
              <w:pStyle w:val="43"/>
            </w:pPr>
            <w:r>
              <w:t>　</w:t>
            </w:r>
          </w:p>
        </w:tc>
      </w:tr>
      <w:tr>
        <w:tblPrEx>
          <w:tblCellMar>
            <w:top w:w="0" w:type="dxa"/>
            <w:left w:w="108" w:type="dxa"/>
            <w:bottom w:w="0" w:type="dxa"/>
            <w:right w:w="108" w:type="dxa"/>
          </w:tblCellMar>
        </w:tblPrEx>
        <w:trPr>
          <w:trHeight w:val="270" w:hRule="atLeast"/>
        </w:trPr>
        <w:tc>
          <w:tcPr>
            <w:tcW w:w="380" w:type="pct"/>
            <w:vMerge w:val="continue"/>
            <w:tcBorders>
              <w:top w:val="nil"/>
              <w:left w:val="single" w:color="auto" w:sz="4" w:space="0"/>
              <w:bottom w:val="single" w:color="auto" w:sz="4" w:space="0"/>
              <w:right w:val="single" w:color="auto" w:sz="4" w:space="0"/>
            </w:tcBorders>
            <w:vAlign w:val="center"/>
          </w:tcPr>
          <w:p>
            <w:pPr>
              <w:pStyle w:val="43"/>
            </w:pPr>
          </w:p>
        </w:tc>
        <w:tc>
          <w:tcPr>
            <w:tcW w:w="736" w:type="pct"/>
            <w:vMerge w:val="continue"/>
            <w:tcBorders>
              <w:top w:val="nil"/>
              <w:left w:val="single" w:color="auto" w:sz="4" w:space="0"/>
              <w:bottom w:val="single" w:color="auto" w:sz="4" w:space="0"/>
              <w:right w:val="single" w:color="auto" w:sz="4" w:space="0"/>
            </w:tcBorders>
            <w:vAlign w:val="center"/>
          </w:tcPr>
          <w:p>
            <w:pPr>
              <w:pStyle w:val="43"/>
            </w:pPr>
          </w:p>
        </w:tc>
        <w:tc>
          <w:tcPr>
            <w:tcW w:w="1424" w:type="pct"/>
            <w:gridSpan w:val="2"/>
            <w:tcBorders>
              <w:top w:val="nil"/>
              <w:left w:val="nil"/>
              <w:bottom w:val="single" w:color="auto" w:sz="4" w:space="0"/>
              <w:right w:val="single" w:color="auto" w:sz="4" w:space="0"/>
            </w:tcBorders>
            <w:noWrap/>
            <w:vAlign w:val="center"/>
          </w:tcPr>
          <w:p>
            <w:pPr>
              <w:pStyle w:val="43"/>
            </w:pPr>
            <w:r>
              <w:t>一日最大</w:t>
            </w:r>
          </w:p>
        </w:tc>
        <w:tc>
          <w:tcPr>
            <w:tcW w:w="351" w:type="pct"/>
            <w:tcBorders>
              <w:top w:val="nil"/>
              <w:left w:val="nil"/>
              <w:bottom w:val="single" w:color="auto" w:sz="4" w:space="0"/>
              <w:right w:val="single" w:color="auto" w:sz="4" w:space="0"/>
            </w:tcBorders>
            <w:noWrap/>
            <w:vAlign w:val="center"/>
          </w:tcPr>
          <w:p>
            <w:pPr>
              <w:pStyle w:val="43"/>
            </w:pPr>
            <w:r>
              <w:t>mm</w:t>
            </w:r>
          </w:p>
        </w:tc>
        <w:tc>
          <w:tcPr>
            <w:tcW w:w="450" w:type="pct"/>
            <w:tcBorders>
              <w:top w:val="nil"/>
              <w:left w:val="nil"/>
              <w:bottom w:val="single" w:color="auto" w:sz="4" w:space="0"/>
              <w:right w:val="single" w:color="auto" w:sz="4" w:space="0"/>
            </w:tcBorders>
            <w:noWrap/>
            <w:vAlign w:val="center"/>
          </w:tcPr>
          <w:p>
            <w:pPr>
              <w:pStyle w:val="43"/>
            </w:pPr>
            <w:r>
              <w:t>260.3</w:t>
            </w:r>
          </w:p>
        </w:tc>
        <w:tc>
          <w:tcPr>
            <w:tcW w:w="1658" w:type="pct"/>
            <w:tcBorders>
              <w:top w:val="nil"/>
              <w:left w:val="nil"/>
              <w:bottom w:val="single" w:color="auto" w:sz="4" w:space="0"/>
              <w:right w:val="single" w:color="auto" w:sz="4" w:space="0"/>
            </w:tcBorders>
            <w:noWrap/>
            <w:vAlign w:val="center"/>
          </w:tcPr>
          <w:p>
            <w:pPr>
              <w:pStyle w:val="43"/>
            </w:pPr>
            <w:r>
              <w:t>日期1965.9.4</w:t>
            </w:r>
          </w:p>
        </w:tc>
      </w:tr>
      <w:tr>
        <w:tblPrEx>
          <w:tblCellMar>
            <w:top w:w="0" w:type="dxa"/>
            <w:left w:w="108" w:type="dxa"/>
            <w:bottom w:w="0" w:type="dxa"/>
            <w:right w:w="108" w:type="dxa"/>
          </w:tblCellMar>
        </w:tblPrEx>
        <w:trPr>
          <w:trHeight w:val="270" w:hRule="atLeast"/>
        </w:trPr>
        <w:tc>
          <w:tcPr>
            <w:tcW w:w="380" w:type="pct"/>
            <w:vMerge w:val="restart"/>
            <w:tcBorders>
              <w:top w:val="nil"/>
              <w:left w:val="single" w:color="auto" w:sz="4" w:space="0"/>
              <w:bottom w:val="single" w:color="auto" w:sz="4" w:space="0"/>
              <w:right w:val="single" w:color="auto" w:sz="4" w:space="0"/>
            </w:tcBorders>
            <w:noWrap/>
            <w:vAlign w:val="center"/>
          </w:tcPr>
          <w:p>
            <w:pPr>
              <w:pStyle w:val="43"/>
            </w:pPr>
            <w:r>
              <w:t>3</w:t>
            </w:r>
          </w:p>
        </w:tc>
        <w:tc>
          <w:tcPr>
            <w:tcW w:w="736" w:type="pct"/>
            <w:vMerge w:val="restart"/>
            <w:tcBorders>
              <w:top w:val="nil"/>
              <w:left w:val="single" w:color="auto" w:sz="4" w:space="0"/>
              <w:bottom w:val="single" w:color="auto" w:sz="4" w:space="0"/>
              <w:right w:val="single" w:color="auto" w:sz="4" w:space="0"/>
            </w:tcBorders>
            <w:noWrap/>
            <w:vAlign w:val="center"/>
          </w:tcPr>
          <w:p>
            <w:pPr>
              <w:pStyle w:val="43"/>
            </w:pPr>
            <w:r>
              <w:t>风速</w:t>
            </w:r>
          </w:p>
        </w:tc>
        <w:tc>
          <w:tcPr>
            <w:tcW w:w="1424" w:type="pct"/>
            <w:gridSpan w:val="2"/>
            <w:tcBorders>
              <w:top w:val="nil"/>
              <w:left w:val="nil"/>
              <w:bottom w:val="single" w:color="auto" w:sz="4" w:space="0"/>
              <w:right w:val="single" w:color="auto" w:sz="4" w:space="0"/>
            </w:tcBorders>
            <w:noWrap/>
            <w:vAlign w:val="center"/>
          </w:tcPr>
          <w:p>
            <w:pPr>
              <w:pStyle w:val="43"/>
            </w:pPr>
            <w:r>
              <w:t>多年平均</w:t>
            </w:r>
          </w:p>
        </w:tc>
        <w:tc>
          <w:tcPr>
            <w:tcW w:w="351" w:type="pct"/>
            <w:tcBorders>
              <w:top w:val="nil"/>
              <w:left w:val="nil"/>
              <w:bottom w:val="single" w:color="auto" w:sz="4" w:space="0"/>
              <w:right w:val="single" w:color="auto" w:sz="4" w:space="0"/>
            </w:tcBorders>
            <w:noWrap/>
            <w:vAlign w:val="center"/>
          </w:tcPr>
          <w:p>
            <w:pPr>
              <w:pStyle w:val="43"/>
            </w:pPr>
            <w:r>
              <w:t>m/s</w:t>
            </w:r>
          </w:p>
        </w:tc>
        <w:tc>
          <w:tcPr>
            <w:tcW w:w="450" w:type="pct"/>
            <w:tcBorders>
              <w:top w:val="nil"/>
              <w:left w:val="nil"/>
              <w:bottom w:val="single" w:color="auto" w:sz="4" w:space="0"/>
              <w:right w:val="single" w:color="auto" w:sz="4" w:space="0"/>
            </w:tcBorders>
            <w:noWrap/>
            <w:vAlign w:val="center"/>
          </w:tcPr>
          <w:p>
            <w:pPr>
              <w:pStyle w:val="43"/>
            </w:pPr>
            <w:r>
              <w:t>1.0</w:t>
            </w:r>
          </w:p>
        </w:tc>
        <w:tc>
          <w:tcPr>
            <w:tcW w:w="1658" w:type="pct"/>
            <w:tcBorders>
              <w:top w:val="nil"/>
              <w:left w:val="nil"/>
              <w:bottom w:val="single" w:color="auto" w:sz="4" w:space="0"/>
              <w:right w:val="single" w:color="auto" w:sz="4" w:space="0"/>
            </w:tcBorders>
            <w:noWrap/>
            <w:vAlign w:val="center"/>
          </w:tcPr>
          <w:p>
            <w:pPr>
              <w:pStyle w:val="43"/>
            </w:pPr>
            <w:r>
              <w:t>　</w:t>
            </w:r>
          </w:p>
        </w:tc>
      </w:tr>
      <w:tr>
        <w:tblPrEx>
          <w:tblCellMar>
            <w:top w:w="0" w:type="dxa"/>
            <w:left w:w="108" w:type="dxa"/>
            <w:bottom w:w="0" w:type="dxa"/>
            <w:right w:w="108" w:type="dxa"/>
          </w:tblCellMar>
        </w:tblPrEx>
        <w:trPr>
          <w:trHeight w:val="270" w:hRule="atLeast"/>
        </w:trPr>
        <w:tc>
          <w:tcPr>
            <w:tcW w:w="380" w:type="pct"/>
            <w:vMerge w:val="continue"/>
            <w:tcBorders>
              <w:top w:val="nil"/>
              <w:left w:val="single" w:color="auto" w:sz="4" w:space="0"/>
              <w:bottom w:val="single" w:color="auto" w:sz="4" w:space="0"/>
              <w:right w:val="single" w:color="auto" w:sz="4" w:space="0"/>
            </w:tcBorders>
            <w:vAlign w:val="center"/>
          </w:tcPr>
          <w:p>
            <w:pPr>
              <w:pStyle w:val="43"/>
            </w:pPr>
          </w:p>
        </w:tc>
        <w:tc>
          <w:tcPr>
            <w:tcW w:w="736" w:type="pct"/>
            <w:vMerge w:val="continue"/>
            <w:tcBorders>
              <w:top w:val="nil"/>
              <w:left w:val="single" w:color="auto" w:sz="4" w:space="0"/>
              <w:bottom w:val="single" w:color="auto" w:sz="4" w:space="0"/>
              <w:right w:val="single" w:color="auto" w:sz="4" w:space="0"/>
            </w:tcBorders>
            <w:vAlign w:val="center"/>
          </w:tcPr>
          <w:p>
            <w:pPr>
              <w:pStyle w:val="43"/>
            </w:pPr>
          </w:p>
        </w:tc>
        <w:tc>
          <w:tcPr>
            <w:tcW w:w="1424" w:type="pct"/>
            <w:gridSpan w:val="2"/>
            <w:tcBorders>
              <w:top w:val="nil"/>
              <w:left w:val="nil"/>
              <w:bottom w:val="single" w:color="auto" w:sz="4" w:space="0"/>
              <w:right w:val="single" w:color="auto" w:sz="4" w:space="0"/>
            </w:tcBorders>
            <w:noWrap/>
            <w:vAlign w:val="center"/>
          </w:tcPr>
          <w:p>
            <w:pPr>
              <w:pStyle w:val="43"/>
            </w:pPr>
            <w:r>
              <w:t>最大风速</w:t>
            </w:r>
          </w:p>
        </w:tc>
        <w:tc>
          <w:tcPr>
            <w:tcW w:w="351" w:type="pct"/>
            <w:tcBorders>
              <w:top w:val="nil"/>
              <w:left w:val="nil"/>
              <w:bottom w:val="single" w:color="auto" w:sz="4" w:space="0"/>
              <w:right w:val="single" w:color="auto" w:sz="4" w:space="0"/>
            </w:tcBorders>
            <w:noWrap/>
            <w:vAlign w:val="center"/>
          </w:tcPr>
          <w:p>
            <w:pPr>
              <w:pStyle w:val="43"/>
            </w:pPr>
            <w:r>
              <w:t>m/s</w:t>
            </w:r>
          </w:p>
        </w:tc>
        <w:tc>
          <w:tcPr>
            <w:tcW w:w="450" w:type="pct"/>
            <w:tcBorders>
              <w:top w:val="nil"/>
              <w:left w:val="nil"/>
              <w:bottom w:val="single" w:color="auto" w:sz="4" w:space="0"/>
              <w:right w:val="single" w:color="auto" w:sz="4" w:space="0"/>
            </w:tcBorders>
            <w:noWrap/>
            <w:vAlign w:val="center"/>
          </w:tcPr>
          <w:p>
            <w:pPr>
              <w:pStyle w:val="43"/>
            </w:pPr>
            <w:r>
              <w:t>34.0</w:t>
            </w:r>
          </w:p>
        </w:tc>
        <w:tc>
          <w:tcPr>
            <w:tcW w:w="1658" w:type="pct"/>
            <w:tcBorders>
              <w:top w:val="nil"/>
              <w:left w:val="nil"/>
              <w:bottom w:val="single" w:color="auto" w:sz="4" w:space="0"/>
              <w:right w:val="single" w:color="auto" w:sz="4" w:space="0"/>
            </w:tcBorders>
            <w:noWrap/>
            <w:vAlign w:val="center"/>
          </w:tcPr>
          <w:p>
            <w:pPr>
              <w:pStyle w:val="43"/>
            </w:pPr>
            <w:r>
              <w:t>相应风向NNE</w:t>
            </w:r>
          </w:p>
        </w:tc>
      </w:tr>
      <w:tr>
        <w:tblPrEx>
          <w:tblCellMar>
            <w:top w:w="0" w:type="dxa"/>
            <w:left w:w="108" w:type="dxa"/>
            <w:bottom w:w="0" w:type="dxa"/>
            <w:right w:w="108" w:type="dxa"/>
          </w:tblCellMar>
        </w:tblPrEx>
        <w:trPr>
          <w:trHeight w:val="270" w:hRule="atLeast"/>
        </w:trPr>
        <w:tc>
          <w:tcPr>
            <w:tcW w:w="380" w:type="pct"/>
            <w:vMerge w:val="continue"/>
            <w:tcBorders>
              <w:top w:val="nil"/>
              <w:left w:val="single" w:color="auto" w:sz="4" w:space="0"/>
              <w:bottom w:val="single" w:color="auto" w:sz="4" w:space="0"/>
              <w:right w:val="single" w:color="auto" w:sz="4" w:space="0"/>
            </w:tcBorders>
            <w:vAlign w:val="center"/>
          </w:tcPr>
          <w:p>
            <w:pPr>
              <w:pStyle w:val="43"/>
            </w:pPr>
          </w:p>
        </w:tc>
        <w:tc>
          <w:tcPr>
            <w:tcW w:w="736" w:type="pct"/>
            <w:vMerge w:val="continue"/>
            <w:tcBorders>
              <w:top w:val="nil"/>
              <w:left w:val="single" w:color="auto" w:sz="4" w:space="0"/>
              <w:bottom w:val="single" w:color="auto" w:sz="4" w:space="0"/>
              <w:right w:val="single" w:color="auto" w:sz="4" w:space="0"/>
            </w:tcBorders>
            <w:vAlign w:val="center"/>
          </w:tcPr>
          <w:p>
            <w:pPr>
              <w:pStyle w:val="43"/>
            </w:pPr>
          </w:p>
        </w:tc>
        <w:tc>
          <w:tcPr>
            <w:tcW w:w="1424" w:type="pct"/>
            <w:gridSpan w:val="2"/>
            <w:tcBorders>
              <w:top w:val="nil"/>
              <w:left w:val="nil"/>
              <w:bottom w:val="single" w:color="auto" w:sz="4" w:space="0"/>
              <w:right w:val="single" w:color="auto" w:sz="4" w:space="0"/>
            </w:tcBorders>
            <w:noWrap/>
            <w:vAlign w:val="center"/>
          </w:tcPr>
          <w:p>
            <w:pPr>
              <w:pStyle w:val="43"/>
            </w:pPr>
            <w:r>
              <w:t>多年平均年最大风速</w:t>
            </w:r>
          </w:p>
        </w:tc>
        <w:tc>
          <w:tcPr>
            <w:tcW w:w="351" w:type="pct"/>
            <w:tcBorders>
              <w:top w:val="nil"/>
              <w:left w:val="nil"/>
              <w:bottom w:val="single" w:color="auto" w:sz="4" w:space="0"/>
              <w:right w:val="single" w:color="auto" w:sz="4" w:space="0"/>
            </w:tcBorders>
            <w:noWrap/>
            <w:vAlign w:val="center"/>
          </w:tcPr>
          <w:p>
            <w:pPr>
              <w:pStyle w:val="43"/>
            </w:pPr>
            <w:r>
              <w:t>m/s</w:t>
            </w:r>
          </w:p>
        </w:tc>
        <w:tc>
          <w:tcPr>
            <w:tcW w:w="450" w:type="pct"/>
            <w:tcBorders>
              <w:top w:val="nil"/>
              <w:left w:val="nil"/>
              <w:bottom w:val="single" w:color="auto" w:sz="4" w:space="0"/>
              <w:right w:val="single" w:color="auto" w:sz="4" w:space="0"/>
            </w:tcBorders>
            <w:noWrap/>
            <w:vAlign w:val="center"/>
          </w:tcPr>
          <w:p>
            <w:pPr>
              <w:pStyle w:val="43"/>
            </w:pPr>
            <w:r>
              <w:t>12</w:t>
            </w:r>
          </w:p>
        </w:tc>
        <w:tc>
          <w:tcPr>
            <w:tcW w:w="1658" w:type="pct"/>
            <w:tcBorders>
              <w:top w:val="nil"/>
              <w:left w:val="nil"/>
              <w:bottom w:val="single" w:color="auto" w:sz="4" w:space="0"/>
              <w:right w:val="single" w:color="auto" w:sz="4" w:space="0"/>
            </w:tcBorders>
            <w:noWrap/>
            <w:vAlign w:val="center"/>
          </w:tcPr>
          <w:p>
            <w:pPr>
              <w:pStyle w:val="43"/>
            </w:pPr>
            <w:r>
              <w:t>　</w:t>
            </w:r>
          </w:p>
        </w:tc>
      </w:tr>
      <w:tr>
        <w:tblPrEx>
          <w:tblCellMar>
            <w:top w:w="0" w:type="dxa"/>
            <w:left w:w="108" w:type="dxa"/>
            <w:bottom w:w="0" w:type="dxa"/>
            <w:right w:w="108" w:type="dxa"/>
          </w:tblCellMar>
        </w:tblPrEx>
        <w:trPr>
          <w:trHeight w:val="270" w:hRule="atLeast"/>
        </w:trPr>
        <w:tc>
          <w:tcPr>
            <w:tcW w:w="380" w:type="pct"/>
            <w:tcBorders>
              <w:top w:val="nil"/>
              <w:left w:val="single" w:color="auto" w:sz="4" w:space="0"/>
              <w:bottom w:val="single" w:color="auto" w:sz="4" w:space="0"/>
              <w:right w:val="single" w:color="auto" w:sz="4" w:space="0"/>
            </w:tcBorders>
            <w:noWrap/>
            <w:vAlign w:val="center"/>
          </w:tcPr>
          <w:p>
            <w:pPr>
              <w:pStyle w:val="43"/>
            </w:pPr>
            <w:r>
              <w:t>4</w:t>
            </w:r>
          </w:p>
        </w:tc>
        <w:tc>
          <w:tcPr>
            <w:tcW w:w="2160" w:type="pct"/>
            <w:gridSpan w:val="3"/>
            <w:tcBorders>
              <w:top w:val="single" w:color="auto" w:sz="4" w:space="0"/>
              <w:left w:val="nil"/>
              <w:bottom w:val="single" w:color="auto" w:sz="4" w:space="0"/>
              <w:right w:val="single" w:color="auto" w:sz="4" w:space="0"/>
            </w:tcBorders>
            <w:noWrap/>
            <w:vAlign w:val="center"/>
          </w:tcPr>
          <w:p>
            <w:pPr>
              <w:pStyle w:val="43"/>
            </w:pPr>
            <w:r>
              <w:t>多年平均年蒸发量</w:t>
            </w:r>
          </w:p>
        </w:tc>
        <w:tc>
          <w:tcPr>
            <w:tcW w:w="351" w:type="pct"/>
            <w:tcBorders>
              <w:top w:val="nil"/>
              <w:left w:val="nil"/>
              <w:bottom w:val="single" w:color="auto" w:sz="4" w:space="0"/>
              <w:right w:val="single" w:color="auto" w:sz="4" w:space="0"/>
            </w:tcBorders>
            <w:noWrap/>
            <w:vAlign w:val="center"/>
          </w:tcPr>
          <w:p>
            <w:pPr>
              <w:pStyle w:val="43"/>
            </w:pPr>
            <w:r>
              <w:t>mm</w:t>
            </w:r>
          </w:p>
        </w:tc>
        <w:tc>
          <w:tcPr>
            <w:tcW w:w="450" w:type="pct"/>
            <w:tcBorders>
              <w:top w:val="nil"/>
              <w:left w:val="nil"/>
              <w:bottom w:val="single" w:color="auto" w:sz="4" w:space="0"/>
              <w:right w:val="single" w:color="auto" w:sz="4" w:space="0"/>
            </w:tcBorders>
            <w:noWrap/>
            <w:vAlign w:val="center"/>
          </w:tcPr>
          <w:p>
            <w:pPr>
              <w:pStyle w:val="43"/>
            </w:pPr>
            <w:r>
              <w:t>1136.3</w:t>
            </w:r>
          </w:p>
        </w:tc>
        <w:tc>
          <w:tcPr>
            <w:tcW w:w="1658" w:type="pct"/>
            <w:tcBorders>
              <w:top w:val="nil"/>
              <w:left w:val="nil"/>
              <w:bottom w:val="single" w:color="auto" w:sz="4" w:space="0"/>
              <w:right w:val="single" w:color="auto" w:sz="4" w:space="0"/>
            </w:tcBorders>
            <w:noWrap/>
            <w:vAlign w:val="center"/>
          </w:tcPr>
          <w:p>
            <w:pPr>
              <w:pStyle w:val="43"/>
            </w:pPr>
            <w:r>
              <w:t>　</w:t>
            </w:r>
          </w:p>
        </w:tc>
      </w:tr>
      <w:tr>
        <w:tblPrEx>
          <w:tblCellMar>
            <w:top w:w="0" w:type="dxa"/>
            <w:left w:w="108" w:type="dxa"/>
            <w:bottom w:w="0" w:type="dxa"/>
            <w:right w:w="108" w:type="dxa"/>
          </w:tblCellMar>
        </w:tblPrEx>
        <w:trPr>
          <w:trHeight w:val="270" w:hRule="atLeast"/>
        </w:trPr>
        <w:tc>
          <w:tcPr>
            <w:tcW w:w="380" w:type="pct"/>
            <w:tcBorders>
              <w:top w:val="nil"/>
              <w:left w:val="single" w:color="auto" w:sz="4" w:space="0"/>
              <w:bottom w:val="single" w:color="auto" w:sz="4" w:space="0"/>
              <w:right w:val="single" w:color="auto" w:sz="4" w:space="0"/>
            </w:tcBorders>
            <w:noWrap/>
            <w:vAlign w:val="center"/>
          </w:tcPr>
          <w:p>
            <w:pPr>
              <w:pStyle w:val="43"/>
            </w:pPr>
            <w:r>
              <w:t>5</w:t>
            </w:r>
          </w:p>
        </w:tc>
        <w:tc>
          <w:tcPr>
            <w:tcW w:w="2160" w:type="pct"/>
            <w:gridSpan w:val="3"/>
            <w:tcBorders>
              <w:top w:val="single" w:color="auto" w:sz="4" w:space="0"/>
              <w:left w:val="nil"/>
              <w:bottom w:val="single" w:color="auto" w:sz="4" w:space="0"/>
              <w:right w:val="single" w:color="auto" w:sz="4" w:space="0"/>
            </w:tcBorders>
            <w:noWrap/>
            <w:vAlign w:val="center"/>
          </w:tcPr>
          <w:p>
            <w:pPr>
              <w:pStyle w:val="43"/>
            </w:pPr>
            <w:r>
              <w:t>多年平均年日照时数</w:t>
            </w:r>
          </w:p>
        </w:tc>
        <w:tc>
          <w:tcPr>
            <w:tcW w:w="351" w:type="pct"/>
            <w:tcBorders>
              <w:top w:val="nil"/>
              <w:left w:val="nil"/>
              <w:bottom w:val="single" w:color="auto" w:sz="4" w:space="0"/>
              <w:right w:val="single" w:color="auto" w:sz="4" w:space="0"/>
            </w:tcBorders>
            <w:noWrap/>
            <w:vAlign w:val="center"/>
          </w:tcPr>
          <w:p>
            <w:pPr>
              <w:pStyle w:val="43"/>
            </w:pPr>
            <w:r>
              <w:t>h</w:t>
            </w:r>
          </w:p>
        </w:tc>
        <w:tc>
          <w:tcPr>
            <w:tcW w:w="450" w:type="pct"/>
            <w:tcBorders>
              <w:top w:val="nil"/>
              <w:left w:val="nil"/>
              <w:bottom w:val="single" w:color="auto" w:sz="4" w:space="0"/>
              <w:right w:val="single" w:color="auto" w:sz="4" w:space="0"/>
            </w:tcBorders>
            <w:noWrap/>
            <w:vAlign w:val="center"/>
          </w:tcPr>
          <w:p>
            <w:pPr>
              <w:pStyle w:val="43"/>
            </w:pPr>
            <w:r>
              <w:t>1355</w:t>
            </w:r>
          </w:p>
        </w:tc>
        <w:tc>
          <w:tcPr>
            <w:tcW w:w="1658" w:type="pct"/>
            <w:tcBorders>
              <w:top w:val="nil"/>
              <w:left w:val="nil"/>
              <w:bottom w:val="single" w:color="auto" w:sz="4" w:space="0"/>
              <w:right w:val="single" w:color="auto" w:sz="4" w:space="0"/>
            </w:tcBorders>
            <w:noWrap/>
            <w:vAlign w:val="center"/>
          </w:tcPr>
          <w:p>
            <w:pPr>
              <w:pStyle w:val="43"/>
            </w:pPr>
            <w:r>
              <w:t>　</w:t>
            </w:r>
          </w:p>
        </w:tc>
      </w:tr>
      <w:tr>
        <w:tblPrEx>
          <w:tblCellMar>
            <w:top w:w="0" w:type="dxa"/>
            <w:left w:w="108" w:type="dxa"/>
            <w:bottom w:w="0" w:type="dxa"/>
            <w:right w:w="108" w:type="dxa"/>
          </w:tblCellMar>
        </w:tblPrEx>
        <w:trPr>
          <w:trHeight w:val="270" w:hRule="atLeast"/>
        </w:trPr>
        <w:tc>
          <w:tcPr>
            <w:tcW w:w="380" w:type="pct"/>
            <w:tcBorders>
              <w:top w:val="nil"/>
              <w:left w:val="single" w:color="auto" w:sz="4" w:space="0"/>
              <w:bottom w:val="single" w:color="auto" w:sz="4" w:space="0"/>
              <w:right w:val="single" w:color="auto" w:sz="4" w:space="0"/>
            </w:tcBorders>
            <w:noWrap/>
            <w:vAlign w:val="center"/>
          </w:tcPr>
          <w:p>
            <w:pPr>
              <w:pStyle w:val="43"/>
            </w:pPr>
            <w:r>
              <w:t>6</w:t>
            </w:r>
          </w:p>
        </w:tc>
        <w:tc>
          <w:tcPr>
            <w:tcW w:w="2160" w:type="pct"/>
            <w:gridSpan w:val="3"/>
            <w:tcBorders>
              <w:top w:val="single" w:color="auto" w:sz="4" w:space="0"/>
              <w:left w:val="nil"/>
              <w:bottom w:val="single" w:color="auto" w:sz="4" w:space="0"/>
              <w:right w:val="single" w:color="auto" w:sz="4" w:space="0"/>
            </w:tcBorders>
            <w:noWrap/>
            <w:vAlign w:val="center"/>
          </w:tcPr>
          <w:p>
            <w:pPr>
              <w:pStyle w:val="43"/>
            </w:pPr>
            <w:r>
              <w:t>多年平均相对湿度</w:t>
            </w:r>
          </w:p>
        </w:tc>
        <w:tc>
          <w:tcPr>
            <w:tcW w:w="351" w:type="pct"/>
            <w:tcBorders>
              <w:top w:val="nil"/>
              <w:left w:val="nil"/>
              <w:bottom w:val="single" w:color="auto" w:sz="4" w:space="0"/>
              <w:right w:val="single" w:color="auto" w:sz="4" w:space="0"/>
            </w:tcBorders>
            <w:noWrap/>
            <w:vAlign w:val="center"/>
          </w:tcPr>
          <w:p>
            <w:pPr>
              <w:pStyle w:val="43"/>
            </w:pPr>
            <w:r>
              <w:t>%</w:t>
            </w:r>
          </w:p>
        </w:tc>
        <w:tc>
          <w:tcPr>
            <w:tcW w:w="450" w:type="pct"/>
            <w:tcBorders>
              <w:top w:val="nil"/>
              <w:left w:val="nil"/>
              <w:bottom w:val="single" w:color="auto" w:sz="4" w:space="0"/>
              <w:right w:val="single" w:color="auto" w:sz="4" w:space="0"/>
            </w:tcBorders>
            <w:noWrap/>
            <w:vAlign w:val="center"/>
          </w:tcPr>
          <w:p>
            <w:pPr>
              <w:pStyle w:val="43"/>
            </w:pPr>
            <w:r>
              <w:t>74</w:t>
            </w:r>
          </w:p>
        </w:tc>
        <w:tc>
          <w:tcPr>
            <w:tcW w:w="1658" w:type="pct"/>
            <w:tcBorders>
              <w:top w:val="nil"/>
              <w:left w:val="nil"/>
              <w:bottom w:val="single" w:color="auto" w:sz="4" w:space="0"/>
              <w:right w:val="single" w:color="auto" w:sz="4" w:space="0"/>
            </w:tcBorders>
            <w:noWrap/>
            <w:vAlign w:val="center"/>
          </w:tcPr>
          <w:p>
            <w:pPr>
              <w:pStyle w:val="43"/>
            </w:pPr>
            <w:r>
              <w:t>　</w:t>
            </w:r>
          </w:p>
        </w:tc>
      </w:tr>
      <w:tr>
        <w:tblPrEx>
          <w:tblCellMar>
            <w:top w:w="0" w:type="dxa"/>
            <w:left w:w="108" w:type="dxa"/>
            <w:bottom w:w="0" w:type="dxa"/>
            <w:right w:w="108" w:type="dxa"/>
          </w:tblCellMar>
        </w:tblPrEx>
        <w:trPr>
          <w:trHeight w:val="270" w:hRule="atLeast"/>
        </w:trPr>
        <w:tc>
          <w:tcPr>
            <w:tcW w:w="380" w:type="pct"/>
            <w:tcBorders>
              <w:top w:val="nil"/>
              <w:left w:val="single" w:color="auto" w:sz="4" w:space="0"/>
              <w:bottom w:val="single" w:color="auto" w:sz="4" w:space="0"/>
              <w:right w:val="single" w:color="auto" w:sz="4" w:space="0"/>
            </w:tcBorders>
            <w:noWrap/>
            <w:vAlign w:val="center"/>
          </w:tcPr>
          <w:p>
            <w:pPr>
              <w:pStyle w:val="43"/>
            </w:pPr>
            <w:r>
              <w:t>7</w:t>
            </w:r>
          </w:p>
        </w:tc>
        <w:tc>
          <w:tcPr>
            <w:tcW w:w="2160" w:type="pct"/>
            <w:gridSpan w:val="3"/>
            <w:tcBorders>
              <w:top w:val="single" w:color="auto" w:sz="4" w:space="0"/>
              <w:left w:val="nil"/>
              <w:bottom w:val="single" w:color="auto" w:sz="4" w:space="0"/>
              <w:right w:val="single" w:color="auto" w:sz="4" w:space="0"/>
            </w:tcBorders>
            <w:noWrap/>
            <w:vAlign w:val="center"/>
          </w:tcPr>
          <w:p>
            <w:pPr>
              <w:pStyle w:val="43"/>
            </w:pPr>
            <w:r>
              <w:t>多年平均雾日数</w:t>
            </w:r>
          </w:p>
        </w:tc>
        <w:tc>
          <w:tcPr>
            <w:tcW w:w="351" w:type="pct"/>
            <w:tcBorders>
              <w:top w:val="nil"/>
              <w:left w:val="nil"/>
              <w:bottom w:val="single" w:color="auto" w:sz="4" w:space="0"/>
              <w:right w:val="single" w:color="auto" w:sz="4" w:space="0"/>
            </w:tcBorders>
            <w:noWrap/>
            <w:vAlign w:val="center"/>
          </w:tcPr>
          <w:p>
            <w:pPr>
              <w:pStyle w:val="43"/>
            </w:pPr>
            <w:r>
              <w:t>d</w:t>
            </w:r>
          </w:p>
        </w:tc>
        <w:tc>
          <w:tcPr>
            <w:tcW w:w="450" w:type="pct"/>
            <w:tcBorders>
              <w:top w:val="nil"/>
              <w:left w:val="nil"/>
              <w:bottom w:val="single" w:color="auto" w:sz="4" w:space="0"/>
              <w:right w:val="single" w:color="auto" w:sz="4" w:space="0"/>
            </w:tcBorders>
            <w:noWrap/>
            <w:vAlign w:val="center"/>
          </w:tcPr>
          <w:p>
            <w:pPr>
              <w:pStyle w:val="43"/>
            </w:pPr>
            <w:r>
              <w:t>22</w:t>
            </w:r>
          </w:p>
        </w:tc>
        <w:tc>
          <w:tcPr>
            <w:tcW w:w="1658" w:type="pct"/>
            <w:tcBorders>
              <w:top w:val="nil"/>
              <w:left w:val="nil"/>
              <w:bottom w:val="single" w:color="auto" w:sz="4" w:space="0"/>
              <w:right w:val="single" w:color="auto" w:sz="4" w:space="0"/>
            </w:tcBorders>
            <w:noWrap/>
            <w:vAlign w:val="center"/>
          </w:tcPr>
          <w:p>
            <w:pPr>
              <w:pStyle w:val="43"/>
            </w:pPr>
            <w:r>
              <w:t>　</w:t>
            </w:r>
          </w:p>
        </w:tc>
      </w:tr>
      <w:tr>
        <w:tblPrEx>
          <w:tblCellMar>
            <w:top w:w="0" w:type="dxa"/>
            <w:left w:w="108" w:type="dxa"/>
            <w:bottom w:w="0" w:type="dxa"/>
            <w:right w:w="108" w:type="dxa"/>
          </w:tblCellMar>
        </w:tblPrEx>
        <w:trPr>
          <w:trHeight w:val="270" w:hRule="atLeast"/>
        </w:trPr>
        <w:tc>
          <w:tcPr>
            <w:tcW w:w="380" w:type="pct"/>
            <w:tcBorders>
              <w:top w:val="nil"/>
              <w:left w:val="single" w:color="auto" w:sz="4" w:space="0"/>
              <w:bottom w:val="single" w:color="auto" w:sz="4" w:space="0"/>
              <w:right w:val="single" w:color="auto" w:sz="4" w:space="0"/>
            </w:tcBorders>
            <w:noWrap/>
            <w:vAlign w:val="center"/>
          </w:tcPr>
          <w:p>
            <w:pPr>
              <w:pStyle w:val="43"/>
            </w:pPr>
            <w:r>
              <w:t>8</w:t>
            </w:r>
          </w:p>
        </w:tc>
        <w:tc>
          <w:tcPr>
            <w:tcW w:w="2160" w:type="pct"/>
            <w:gridSpan w:val="3"/>
            <w:tcBorders>
              <w:top w:val="single" w:color="auto" w:sz="4" w:space="0"/>
              <w:left w:val="nil"/>
              <w:bottom w:val="single" w:color="auto" w:sz="4" w:space="0"/>
              <w:right w:val="single" w:color="auto" w:sz="4" w:space="0"/>
            </w:tcBorders>
            <w:noWrap/>
            <w:vAlign w:val="center"/>
          </w:tcPr>
          <w:p>
            <w:pPr>
              <w:pStyle w:val="43"/>
            </w:pPr>
            <w:r>
              <w:t>多年平均雷暴日数</w:t>
            </w:r>
          </w:p>
        </w:tc>
        <w:tc>
          <w:tcPr>
            <w:tcW w:w="351" w:type="pct"/>
            <w:tcBorders>
              <w:top w:val="nil"/>
              <w:left w:val="nil"/>
              <w:bottom w:val="single" w:color="auto" w:sz="4" w:space="0"/>
              <w:right w:val="single" w:color="auto" w:sz="4" w:space="0"/>
            </w:tcBorders>
            <w:noWrap/>
            <w:vAlign w:val="center"/>
          </w:tcPr>
          <w:p>
            <w:pPr>
              <w:pStyle w:val="43"/>
            </w:pPr>
            <w:r>
              <w:t>d</w:t>
            </w:r>
          </w:p>
        </w:tc>
        <w:tc>
          <w:tcPr>
            <w:tcW w:w="450" w:type="pct"/>
            <w:tcBorders>
              <w:top w:val="nil"/>
              <w:left w:val="nil"/>
              <w:bottom w:val="single" w:color="auto" w:sz="4" w:space="0"/>
              <w:right w:val="single" w:color="auto" w:sz="4" w:space="0"/>
            </w:tcBorders>
            <w:noWrap/>
            <w:vAlign w:val="center"/>
          </w:tcPr>
          <w:p>
            <w:pPr>
              <w:pStyle w:val="43"/>
            </w:pPr>
            <w:r>
              <w:t>28</w:t>
            </w:r>
          </w:p>
        </w:tc>
        <w:tc>
          <w:tcPr>
            <w:tcW w:w="1658" w:type="pct"/>
            <w:tcBorders>
              <w:top w:val="nil"/>
              <w:left w:val="nil"/>
              <w:bottom w:val="single" w:color="auto" w:sz="4" w:space="0"/>
              <w:right w:val="single" w:color="auto" w:sz="4" w:space="0"/>
            </w:tcBorders>
            <w:noWrap/>
            <w:vAlign w:val="center"/>
          </w:tcPr>
          <w:p>
            <w:pPr>
              <w:pStyle w:val="43"/>
            </w:pPr>
            <w:r>
              <w:t>　</w:t>
            </w:r>
          </w:p>
        </w:tc>
      </w:tr>
      <w:tr>
        <w:tblPrEx>
          <w:tblCellMar>
            <w:top w:w="0" w:type="dxa"/>
            <w:left w:w="108" w:type="dxa"/>
            <w:bottom w:w="0" w:type="dxa"/>
            <w:right w:w="108" w:type="dxa"/>
          </w:tblCellMar>
        </w:tblPrEx>
        <w:trPr>
          <w:trHeight w:val="270" w:hRule="atLeast"/>
        </w:trPr>
        <w:tc>
          <w:tcPr>
            <w:tcW w:w="380" w:type="pct"/>
            <w:vMerge w:val="restart"/>
            <w:tcBorders>
              <w:top w:val="nil"/>
              <w:left w:val="single" w:color="auto" w:sz="4" w:space="0"/>
              <w:bottom w:val="single" w:color="auto" w:sz="4" w:space="0"/>
              <w:right w:val="single" w:color="auto" w:sz="4" w:space="0"/>
            </w:tcBorders>
            <w:noWrap/>
            <w:vAlign w:val="center"/>
          </w:tcPr>
          <w:p>
            <w:pPr>
              <w:pStyle w:val="43"/>
            </w:pPr>
            <w:r>
              <w:t>9</w:t>
            </w:r>
          </w:p>
        </w:tc>
        <w:tc>
          <w:tcPr>
            <w:tcW w:w="1394" w:type="pct"/>
            <w:gridSpan w:val="2"/>
            <w:vMerge w:val="restart"/>
            <w:tcBorders>
              <w:top w:val="nil"/>
              <w:left w:val="single" w:color="auto" w:sz="4" w:space="0"/>
              <w:bottom w:val="single" w:color="auto" w:sz="4" w:space="0"/>
              <w:right w:val="single" w:color="auto" w:sz="4" w:space="0"/>
            </w:tcBorders>
            <w:noWrap/>
            <w:vAlign w:val="center"/>
          </w:tcPr>
          <w:p>
            <w:pPr>
              <w:pStyle w:val="43"/>
            </w:pPr>
            <w:r>
              <w:t>日雨量级出现的平均天数</w:t>
            </w:r>
          </w:p>
        </w:tc>
        <w:tc>
          <w:tcPr>
            <w:tcW w:w="766" w:type="pct"/>
            <w:tcBorders>
              <w:top w:val="nil"/>
              <w:left w:val="nil"/>
              <w:bottom w:val="single" w:color="auto" w:sz="4" w:space="0"/>
              <w:right w:val="single" w:color="auto" w:sz="4" w:space="0"/>
            </w:tcBorders>
            <w:noWrap/>
            <w:vAlign w:val="center"/>
          </w:tcPr>
          <w:p>
            <w:pPr>
              <w:pStyle w:val="43"/>
            </w:pPr>
            <w:r>
              <w:t>≥0.1mm</w:t>
            </w:r>
          </w:p>
        </w:tc>
        <w:tc>
          <w:tcPr>
            <w:tcW w:w="351" w:type="pct"/>
            <w:tcBorders>
              <w:top w:val="nil"/>
              <w:left w:val="nil"/>
              <w:bottom w:val="single" w:color="auto" w:sz="4" w:space="0"/>
              <w:right w:val="single" w:color="auto" w:sz="4" w:space="0"/>
            </w:tcBorders>
            <w:noWrap/>
            <w:vAlign w:val="center"/>
          </w:tcPr>
          <w:p>
            <w:pPr>
              <w:pStyle w:val="43"/>
            </w:pPr>
            <w:r>
              <w:t>d</w:t>
            </w:r>
          </w:p>
        </w:tc>
        <w:tc>
          <w:tcPr>
            <w:tcW w:w="450" w:type="pct"/>
            <w:tcBorders>
              <w:top w:val="nil"/>
              <w:left w:val="nil"/>
              <w:bottom w:val="single" w:color="auto" w:sz="4" w:space="0"/>
              <w:right w:val="single" w:color="auto" w:sz="4" w:space="0"/>
            </w:tcBorders>
            <w:noWrap/>
            <w:vAlign w:val="center"/>
          </w:tcPr>
          <w:p>
            <w:pPr>
              <w:pStyle w:val="43"/>
            </w:pPr>
            <w:r>
              <w:t>95</w:t>
            </w:r>
          </w:p>
        </w:tc>
        <w:tc>
          <w:tcPr>
            <w:tcW w:w="1658" w:type="pct"/>
            <w:tcBorders>
              <w:top w:val="nil"/>
              <w:left w:val="nil"/>
              <w:bottom w:val="single" w:color="auto" w:sz="4" w:space="0"/>
              <w:right w:val="single" w:color="auto" w:sz="4" w:space="0"/>
            </w:tcBorders>
            <w:noWrap/>
            <w:vAlign w:val="center"/>
          </w:tcPr>
          <w:p>
            <w:pPr>
              <w:pStyle w:val="43"/>
            </w:pPr>
            <w:r>
              <w:t>　</w:t>
            </w:r>
          </w:p>
        </w:tc>
      </w:tr>
      <w:tr>
        <w:tblPrEx>
          <w:tblCellMar>
            <w:top w:w="0" w:type="dxa"/>
            <w:left w:w="108" w:type="dxa"/>
            <w:bottom w:w="0" w:type="dxa"/>
            <w:right w:w="108" w:type="dxa"/>
          </w:tblCellMar>
        </w:tblPrEx>
        <w:trPr>
          <w:trHeight w:val="270" w:hRule="atLeast"/>
        </w:trPr>
        <w:tc>
          <w:tcPr>
            <w:tcW w:w="380" w:type="pct"/>
            <w:vMerge w:val="continue"/>
            <w:tcBorders>
              <w:top w:val="nil"/>
              <w:left w:val="single" w:color="auto" w:sz="4" w:space="0"/>
              <w:bottom w:val="single" w:color="auto" w:sz="4" w:space="0"/>
              <w:right w:val="single" w:color="auto" w:sz="4" w:space="0"/>
            </w:tcBorders>
            <w:vAlign w:val="center"/>
          </w:tcPr>
          <w:p>
            <w:pPr>
              <w:pStyle w:val="43"/>
            </w:pPr>
          </w:p>
        </w:tc>
        <w:tc>
          <w:tcPr>
            <w:tcW w:w="1394" w:type="pct"/>
            <w:gridSpan w:val="2"/>
            <w:vMerge w:val="continue"/>
            <w:tcBorders>
              <w:top w:val="nil"/>
              <w:left w:val="single" w:color="auto" w:sz="4" w:space="0"/>
              <w:bottom w:val="single" w:color="auto" w:sz="4" w:space="0"/>
              <w:right w:val="single" w:color="auto" w:sz="4" w:space="0"/>
            </w:tcBorders>
            <w:vAlign w:val="center"/>
          </w:tcPr>
          <w:p>
            <w:pPr>
              <w:pStyle w:val="43"/>
            </w:pPr>
          </w:p>
        </w:tc>
        <w:tc>
          <w:tcPr>
            <w:tcW w:w="766" w:type="pct"/>
            <w:tcBorders>
              <w:top w:val="nil"/>
              <w:left w:val="nil"/>
              <w:bottom w:val="single" w:color="auto" w:sz="4" w:space="0"/>
              <w:right w:val="single" w:color="auto" w:sz="4" w:space="0"/>
            </w:tcBorders>
            <w:noWrap/>
            <w:vAlign w:val="center"/>
          </w:tcPr>
          <w:p>
            <w:pPr>
              <w:pStyle w:val="43"/>
            </w:pPr>
            <w:r>
              <w:t>≥10mm</w:t>
            </w:r>
          </w:p>
        </w:tc>
        <w:tc>
          <w:tcPr>
            <w:tcW w:w="351" w:type="pct"/>
            <w:tcBorders>
              <w:top w:val="nil"/>
              <w:left w:val="nil"/>
              <w:bottom w:val="single" w:color="auto" w:sz="4" w:space="0"/>
              <w:right w:val="single" w:color="auto" w:sz="4" w:space="0"/>
            </w:tcBorders>
            <w:noWrap/>
            <w:vAlign w:val="center"/>
          </w:tcPr>
          <w:p>
            <w:pPr>
              <w:pStyle w:val="43"/>
            </w:pPr>
            <w:r>
              <w:t>d</w:t>
            </w:r>
          </w:p>
        </w:tc>
        <w:tc>
          <w:tcPr>
            <w:tcW w:w="450" w:type="pct"/>
            <w:tcBorders>
              <w:top w:val="nil"/>
              <w:left w:val="nil"/>
              <w:bottom w:val="single" w:color="auto" w:sz="4" w:space="0"/>
              <w:right w:val="single" w:color="auto" w:sz="4" w:space="0"/>
            </w:tcBorders>
            <w:noWrap/>
            <w:vAlign w:val="center"/>
          </w:tcPr>
          <w:p>
            <w:pPr>
              <w:pStyle w:val="43"/>
            </w:pPr>
            <w:r>
              <w:t>18</w:t>
            </w:r>
          </w:p>
        </w:tc>
        <w:tc>
          <w:tcPr>
            <w:tcW w:w="1658" w:type="pct"/>
            <w:tcBorders>
              <w:top w:val="nil"/>
              <w:left w:val="nil"/>
              <w:bottom w:val="single" w:color="auto" w:sz="4" w:space="0"/>
              <w:right w:val="single" w:color="auto" w:sz="4" w:space="0"/>
            </w:tcBorders>
            <w:noWrap/>
            <w:vAlign w:val="center"/>
          </w:tcPr>
          <w:p>
            <w:pPr>
              <w:pStyle w:val="43"/>
            </w:pPr>
            <w:r>
              <w:t>　</w:t>
            </w:r>
          </w:p>
        </w:tc>
      </w:tr>
      <w:tr>
        <w:tblPrEx>
          <w:tblCellMar>
            <w:top w:w="0" w:type="dxa"/>
            <w:left w:w="108" w:type="dxa"/>
            <w:bottom w:w="0" w:type="dxa"/>
            <w:right w:w="108" w:type="dxa"/>
          </w:tblCellMar>
        </w:tblPrEx>
        <w:trPr>
          <w:trHeight w:val="270" w:hRule="atLeast"/>
        </w:trPr>
        <w:tc>
          <w:tcPr>
            <w:tcW w:w="380" w:type="pct"/>
            <w:vMerge w:val="continue"/>
            <w:tcBorders>
              <w:top w:val="nil"/>
              <w:left w:val="single" w:color="auto" w:sz="4" w:space="0"/>
              <w:bottom w:val="single" w:color="auto" w:sz="4" w:space="0"/>
              <w:right w:val="single" w:color="auto" w:sz="4" w:space="0"/>
            </w:tcBorders>
            <w:vAlign w:val="center"/>
          </w:tcPr>
          <w:p>
            <w:pPr>
              <w:pStyle w:val="43"/>
            </w:pPr>
          </w:p>
        </w:tc>
        <w:tc>
          <w:tcPr>
            <w:tcW w:w="1394" w:type="pct"/>
            <w:gridSpan w:val="2"/>
            <w:vMerge w:val="continue"/>
            <w:tcBorders>
              <w:top w:val="nil"/>
              <w:left w:val="single" w:color="auto" w:sz="4" w:space="0"/>
              <w:bottom w:val="single" w:color="auto" w:sz="4" w:space="0"/>
              <w:right w:val="single" w:color="auto" w:sz="4" w:space="0"/>
            </w:tcBorders>
            <w:vAlign w:val="center"/>
          </w:tcPr>
          <w:p>
            <w:pPr>
              <w:pStyle w:val="43"/>
            </w:pPr>
          </w:p>
        </w:tc>
        <w:tc>
          <w:tcPr>
            <w:tcW w:w="766" w:type="pct"/>
            <w:tcBorders>
              <w:top w:val="nil"/>
              <w:left w:val="nil"/>
              <w:bottom w:val="single" w:color="auto" w:sz="4" w:space="0"/>
              <w:right w:val="single" w:color="auto" w:sz="4" w:space="0"/>
            </w:tcBorders>
            <w:noWrap/>
            <w:vAlign w:val="center"/>
          </w:tcPr>
          <w:p>
            <w:pPr>
              <w:pStyle w:val="43"/>
            </w:pPr>
            <w:r>
              <w:t>≥25mm</w:t>
            </w:r>
          </w:p>
        </w:tc>
        <w:tc>
          <w:tcPr>
            <w:tcW w:w="351" w:type="pct"/>
            <w:tcBorders>
              <w:top w:val="nil"/>
              <w:left w:val="nil"/>
              <w:bottom w:val="single" w:color="auto" w:sz="4" w:space="0"/>
              <w:right w:val="single" w:color="auto" w:sz="4" w:space="0"/>
            </w:tcBorders>
            <w:noWrap/>
            <w:vAlign w:val="center"/>
          </w:tcPr>
          <w:p>
            <w:pPr>
              <w:pStyle w:val="43"/>
            </w:pPr>
            <w:r>
              <w:t>d</w:t>
            </w:r>
          </w:p>
        </w:tc>
        <w:tc>
          <w:tcPr>
            <w:tcW w:w="450" w:type="pct"/>
            <w:tcBorders>
              <w:top w:val="nil"/>
              <w:left w:val="nil"/>
              <w:bottom w:val="single" w:color="auto" w:sz="4" w:space="0"/>
              <w:right w:val="single" w:color="auto" w:sz="4" w:space="0"/>
            </w:tcBorders>
            <w:noWrap/>
            <w:vAlign w:val="center"/>
          </w:tcPr>
          <w:p>
            <w:pPr>
              <w:pStyle w:val="43"/>
            </w:pPr>
            <w:r>
              <w:t>9</w:t>
            </w:r>
          </w:p>
        </w:tc>
        <w:tc>
          <w:tcPr>
            <w:tcW w:w="1658" w:type="pct"/>
            <w:tcBorders>
              <w:top w:val="nil"/>
              <w:left w:val="nil"/>
              <w:bottom w:val="single" w:color="auto" w:sz="4" w:space="0"/>
              <w:right w:val="single" w:color="auto" w:sz="4" w:space="0"/>
            </w:tcBorders>
            <w:noWrap/>
            <w:vAlign w:val="center"/>
          </w:tcPr>
          <w:p>
            <w:pPr>
              <w:pStyle w:val="43"/>
            </w:pPr>
            <w:r>
              <w:t>　</w:t>
            </w:r>
          </w:p>
        </w:tc>
      </w:tr>
      <w:tr>
        <w:tblPrEx>
          <w:tblCellMar>
            <w:top w:w="0" w:type="dxa"/>
            <w:left w:w="108" w:type="dxa"/>
            <w:bottom w:w="0" w:type="dxa"/>
            <w:right w:w="108" w:type="dxa"/>
          </w:tblCellMar>
        </w:tblPrEx>
        <w:trPr>
          <w:trHeight w:val="270" w:hRule="atLeast"/>
        </w:trPr>
        <w:tc>
          <w:tcPr>
            <w:tcW w:w="380" w:type="pct"/>
            <w:vMerge w:val="continue"/>
            <w:tcBorders>
              <w:top w:val="nil"/>
              <w:left w:val="single" w:color="auto" w:sz="4" w:space="0"/>
              <w:bottom w:val="single" w:color="auto" w:sz="4" w:space="0"/>
              <w:right w:val="single" w:color="auto" w:sz="4" w:space="0"/>
            </w:tcBorders>
            <w:vAlign w:val="center"/>
          </w:tcPr>
          <w:p>
            <w:pPr>
              <w:pStyle w:val="43"/>
            </w:pPr>
          </w:p>
        </w:tc>
        <w:tc>
          <w:tcPr>
            <w:tcW w:w="1394" w:type="pct"/>
            <w:gridSpan w:val="2"/>
            <w:vMerge w:val="continue"/>
            <w:tcBorders>
              <w:top w:val="nil"/>
              <w:left w:val="single" w:color="auto" w:sz="4" w:space="0"/>
              <w:bottom w:val="single" w:color="auto" w:sz="4" w:space="0"/>
              <w:right w:val="single" w:color="auto" w:sz="4" w:space="0"/>
            </w:tcBorders>
            <w:vAlign w:val="center"/>
          </w:tcPr>
          <w:p>
            <w:pPr>
              <w:pStyle w:val="43"/>
            </w:pPr>
          </w:p>
        </w:tc>
        <w:tc>
          <w:tcPr>
            <w:tcW w:w="766" w:type="pct"/>
            <w:tcBorders>
              <w:top w:val="nil"/>
              <w:left w:val="nil"/>
              <w:bottom w:val="single" w:color="auto" w:sz="4" w:space="0"/>
              <w:right w:val="single" w:color="auto" w:sz="4" w:space="0"/>
            </w:tcBorders>
            <w:noWrap/>
            <w:vAlign w:val="center"/>
          </w:tcPr>
          <w:p>
            <w:pPr>
              <w:pStyle w:val="43"/>
            </w:pPr>
            <w:r>
              <w:t>≥50mm</w:t>
            </w:r>
          </w:p>
        </w:tc>
        <w:tc>
          <w:tcPr>
            <w:tcW w:w="351" w:type="pct"/>
            <w:tcBorders>
              <w:top w:val="nil"/>
              <w:left w:val="nil"/>
              <w:bottom w:val="single" w:color="auto" w:sz="4" w:space="0"/>
              <w:right w:val="single" w:color="auto" w:sz="4" w:space="0"/>
            </w:tcBorders>
            <w:noWrap/>
            <w:vAlign w:val="center"/>
          </w:tcPr>
          <w:p>
            <w:pPr>
              <w:pStyle w:val="43"/>
            </w:pPr>
            <w:r>
              <w:t>d</w:t>
            </w:r>
          </w:p>
        </w:tc>
        <w:tc>
          <w:tcPr>
            <w:tcW w:w="450" w:type="pct"/>
            <w:tcBorders>
              <w:top w:val="nil"/>
              <w:left w:val="nil"/>
              <w:bottom w:val="single" w:color="auto" w:sz="4" w:space="0"/>
              <w:right w:val="single" w:color="auto" w:sz="4" w:space="0"/>
            </w:tcBorders>
            <w:noWrap/>
            <w:vAlign w:val="center"/>
          </w:tcPr>
          <w:p>
            <w:pPr>
              <w:pStyle w:val="43"/>
            </w:pPr>
            <w:r>
              <w:t>5</w:t>
            </w:r>
          </w:p>
        </w:tc>
        <w:tc>
          <w:tcPr>
            <w:tcW w:w="1658" w:type="pct"/>
            <w:tcBorders>
              <w:top w:val="nil"/>
              <w:left w:val="nil"/>
              <w:bottom w:val="single" w:color="auto" w:sz="4" w:space="0"/>
              <w:right w:val="single" w:color="auto" w:sz="4" w:space="0"/>
            </w:tcBorders>
            <w:noWrap/>
            <w:vAlign w:val="center"/>
          </w:tcPr>
          <w:p>
            <w:pPr>
              <w:pStyle w:val="43"/>
            </w:pPr>
            <w:r>
              <w:t>　</w:t>
            </w:r>
          </w:p>
        </w:tc>
      </w:tr>
    </w:tbl>
    <w:p>
      <w:pPr>
        <w:ind w:firstLine="480"/>
      </w:pPr>
      <w:bookmarkStart w:id="15" w:name="_Toc80719364"/>
    </w:p>
    <w:p>
      <w:pPr>
        <w:ind w:firstLine="480"/>
      </w:pPr>
      <w:r>
        <w:rPr>
          <w:rFonts w:hint="eastAsia"/>
        </w:rPr>
        <w:t>（2）水文</w:t>
      </w:r>
    </w:p>
    <w:p>
      <w:pPr>
        <w:ind w:firstLine="480"/>
      </w:pPr>
      <w:r>
        <w:rPr>
          <w:rFonts w:hint="eastAsia"/>
        </w:rPr>
        <w:t>盐井河</w:t>
      </w:r>
      <w:r>
        <w:t>径流主要来自于降水，部分为融雪补给。</w:t>
      </w:r>
      <w:r>
        <w:rPr>
          <w:rFonts w:hint="eastAsia"/>
          <w:szCs w:val="24"/>
        </w:rPr>
        <w:t>流域中心位于米仓山暴雨带，年最大24小时的最大降雨可达300mm左右，流域形成的洪水具有典型的山区洪水特性，陡涨陡落，暴雨形成的洪峰在0.5~1个小时。</w:t>
      </w:r>
      <w:r>
        <w:t>据旺苍水文站实测资料统计，1959年～2015年（其中1999年～2015年经还原计算）多年平均流量22.7m</w:t>
      </w:r>
      <w:r>
        <w:rPr>
          <w:vertAlign w:val="superscript"/>
        </w:rPr>
        <w:t>3</w:t>
      </w:r>
      <w:r>
        <w:t>/s。年径流量主要集中在5～10月，占全年径流量的82.8%，枯水期12月～翌年3月，主要由地下水补给，径流量占年径流量的7.6%，每年4月以后径流随降雨的增大而逐渐增大，6、7、8三个月水量最丰，9月份次之，11月起由于降雨减少，径流开始以地下水补给为主，稳定退水至翌年4月。其中1～2月份为最枯，占年径流的2.72%。</w:t>
      </w:r>
    </w:p>
    <w:p>
      <w:pPr>
        <w:pStyle w:val="4"/>
        <w:ind w:left="240"/>
      </w:pPr>
      <w:bookmarkStart w:id="16" w:name="_Toc86049143"/>
      <w:r>
        <w:rPr>
          <w:rFonts w:hint="eastAsia"/>
        </w:rPr>
        <w:t>暴雨洪水</w:t>
      </w:r>
      <w:bookmarkEnd w:id="16"/>
    </w:p>
    <w:p>
      <w:pPr>
        <w:ind w:firstLine="480"/>
      </w:pPr>
      <w:r>
        <w:rPr>
          <w:rFonts w:hint="eastAsia"/>
        </w:rPr>
        <w:t>（1）</w:t>
      </w:r>
      <w:r>
        <w:t>暴雨成因</w:t>
      </w:r>
    </w:p>
    <w:p>
      <w:pPr>
        <w:ind w:firstLine="480"/>
      </w:pPr>
      <w:r>
        <w:rPr>
          <w:rFonts w:hint="eastAsia"/>
        </w:rPr>
        <w:t>盐井河</w:t>
      </w:r>
      <w:r>
        <w:t>流域上游山区是著名的米仓山暴雨区，夏季，随着副高的强弱和位置变化，流域内的多雨或少雨时段也随之变化。初夏（5～6月中旬），副高脊线在15°～20°N之间，其副高脊前的雨带主要影响流域南部、中部，降水量和降水日数明显增多，有一个降水量和降水日数的相对集中时段且多阴雨，夏旱不明显；6月下旬～7月中旬，副高脊线在20°～25°N之间，其副高脊</w:t>
      </w:r>
      <w:r>
        <w:rPr>
          <w:rFonts w:hint="eastAsia"/>
        </w:rPr>
        <w:t>线</w:t>
      </w:r>
      <w:r>
        <w:t>的雨带影响流域各地，雨水多，强度大，其降水总量可出现全年的最大峰值，易出现流域性洪涝天气。秋季，随着副高的减弱和南撤，西风带随之加强。但东河流域低层仍为气旋气流控制并盛行印度洋或南海夏季风，且常与西风带绕青藏高原并转向的偏北风在高原东侧形成切变线，造成连绵阴雨天气。</w:t>
      </w:r>
    </w:p>
    <w:p>
      <w:pPr>
        <w:ind w:firstLine="480"/>
      </w:pPr>
      <w:r>
        <w:t>据多年统计分析，影响</w:t>
      </w:r>
      <w:r>
        <w:rPr>
          <w:rFonts w:hint="eastAsia"/>
        </w:rPr>
        <w:t>盐井河</w:t>
      </w:r>
      <w:r>
        <w:t>流域汛期降水的大尺度天气系统主要有：西太平洋副热带高压；青藏高原低值系统；北方冷空气。</w:t>
      </w:r>
    </w:p>
    <w:p>
      <w:pPr>
        <w:ind w:firstLine="480"/>
      </w:pPr>
      <w:r>
        <w:t>一般来说，6月底西太平洋副热带高压西伸北抬，高压边缘为来自南海或印度洋的暖湿气流，水汽充沛，一旦遇上青藏高原西风波动气流或北方冷空气，两股来自不同方向或不同温度、湿度的气流相遇时，就会产生波动或涡旋，从而激发强降水。</w:t>
      </w:r>
    </w:p>
    <w:p>
      <w:pPr>
        <w:ind w:firstLine="480"/>
      </w:pPr>
      <w:r>
        <w:rPr>
          <w:rFonts w:hint="eastAsia"/>
        </w:rPr>
        <w:t>（2）</w:t>
      </w:r>
      <w:r>
        <w:t>暴雨特性</w:t>
      </w:r>
    </w:p>
    <w:p>
      <w:pPr>
        <w:ind w:firstLine="480"/>
      </w:pPr>
      <w:r>
        <w:t>1）暴雨发生季节与量级</w:t>
      </w:r>
    </w:p>
    <w:p>
      <w:pPr>
        <w:ind w:firstLine="480"/>
      </w:pPr>
      <w:r>
        <w:rPr>
          <w:rFonts w:hint="eastAsia"/>
        </w:rPr>
        <w:t>盐井河</w:t>
      </w:r>
      <w:r>
        <w:t>流域暴雨最早始于4月，5月至6月副高脊线在15°～20°N之间暴雨出现频率增多，7月副高脊线在20°～25°N之间为暴雨出现频率最大月份，暴雨最迟可到10月底。4、5、10月以最大24小时降水在50.0～99.9mm之间暴雨为主；最大24小时降水大于100.0mm的大暴雨和特大暴雨多出现在6～9月，其中以7月最为集中。</w:t>
      </w:r>
    </w:p>
    <w:p>
      <w:pPr>
        <w:ind w:firstLine="480"/>
      </w:pPr>
      <w:r>
        <w:t>2）暴雨分布</w:t>
      </w:r>
    </w:p>
    <w:p>
      <w:pPr>
        <w:ind w:firstLine="480"/>
      </w:pPr>
      <w:r>
        <w:rPr>
          <w:rFonts w:hint="eastAsia"/>
        </w:rPr>
        <w:t>盐井河</w:t>
      </w:r>
      <w:r>
        <w:t>流域洪水由暴雨形成。流域上游山区是著名的米仓山暴雨区，暴雨发生的时间多在6～9月，大暴雨一般在7～9月出现，雨量集中，强度大。旺苍气象站最大一日暴雨量为260.3mm（1965年9月4日），一次暴雨过程约24h，主雨峰历时在12h以内。</w:t>
      </w:r>
    </w:p>
    <w:p>
      <w:pPr>
        <w:ind w:firstLine="480"/>
      </w:pPr>
      <w:r>
        <w:t>从</w:t>
      </w:r>
      <w:r>
        <w:rPr>
          <w:rFonts w:hint="eastAsia"/>
        </w:rPr>
        <w:t>盐井河</w:t>
      </w:r>
      <w:r>
        <w:t>流域多年平均最大24h降水等值线分析，全流域多年平均最大24h降水均在80mm以上。流域上游河源河段为80～100mm；中游河段为120～140mm；下游河段为100～120mm。</w:t>
      </w:r>
    </w:p>
    <w:p>
      <w:pPr>
        <w:ind w:firstLine="480"/>
      </w:pPr>
      <w:r>
        <w:t>从</w:t>
      </w:r>
      <w:r>
        <w:rPr>
          <w:rFonts w:hint="eastAsia"/>
        </w:rPr>
        <w:t>盐井河</w:t>
      </w:r>
      <w:r>
        <w:t>流域多年平均最大3d降水等值线分析，全流域多年平均最大3d降水在130～180mm之间。流域上游河源河段为130～150mm；中游河段为150～180mm；下游河段为130～150mm。</w:t>
      </w:r>
    </w:p>
    <w:p>
      <w:pPr>
        <w:ind w:firstLine="480"/>
      </w:pPr>
      <w:r>
        <w:rPr>
          <w:rFonts w:hint="eastAsia"/>
        </w:rPr>
        <w:t>（3）</w:t>
      </w:r>
      <w:r>
        <w:t>洪水</w:t>
      </w:r>
    </w:p>
    <w:p>
      <w:pPr>
        <w:ind w:firstLine="480"/>
      </w:pPr>
      <w:r>
        <w:rPr>
          <w:rFonts w:hint="eastAsia"/>
        </w:rPr>
        <w:t>盐井河</w:t>
      </w:r>
      <w:r>
        <w:t>的洪水由暴雨形成。暴雨发生的时间多在6～9月，大暴雨一般在7～9月出现。流域雨洪关系密切，洪水发生的时间与暴雨相应。如1958年、1912年、1981年的大洪水，均由流域暴雨或局部暴雨形成。流域上游山区是著名的米仓山暴雨区，雨量集中，强度大，旺苍气象站最大一日暴雨量为260.3mm（1965年9月4日），一次暴雨过程约24h，主雨峰历时在12h以内。年最大洪水主要发生在5~10月，而又以7~9月最为集中，年最大洪峰流量出现在7～9月的次数占总数79%左右。旺苍站年最大洪峰流量在各月出现频次见</w:t>
      </w:r>
      <w:r>
        <w:fldChar w:fldCharType="begin"/>
      </w:r>
      <w:r>
        <w:instrText xml:space="preserve"> REF _Ref80716454 \h </w:instrText>
      </w:r>
      <w:r>
        <w:fldChar w:fldCharType="separate"/>
      </w:r>
      <w:r>
        <w:rPr>
          <w:rFonts w:hint="eastAsia"/>
        </w:rPr>
        <w:t>表</w:t>
      </w:r>
      <w:r>
        <w:t>1.1</w:t>
      </w:r>
      <w:r>
        <w:noBreakHyphen/>
      </w:r>
      <w:r>
        <w:t>2</w:t>
      </w:r>
      <w:r>
        <w:fldChar w:fldCharType="end"/>
      </w:r>
      <w:r>
        <w:t>。</w:t>
      </w:r>
    </w:p>
    <w:p>
      <w:pPr>
        <w:pStyle w:val="58"/>
        <w:rPr>
          <w:color w:val="auto"/>
        </w:rPr>
      </w:pPr>
      <w:bookmarkStart w:id="17" w:name="_Ref80716454"/>
      <w:bookmarkStart w:id="18" w:name="_Ref80713754"/>
      <w:r>
        <w:rPr>
          <w:rFonts w:hint="eastAsia"/>
          <w:color w:val="auto"/>
        </w:rPr>
        <w:t>表</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1.1</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2</w:t>
      </w:r>
      <w:r>
        <w:rPr>
          <w:color w:val="auto"/>
        </w:rPr>
        <w:fldChar w:fldCharType="end"/>
      </w:r>
      <w:bookmarkEnd w:id="17"/>
      <w:r>
        <w:rPr>
          <w:color w:val="auto"/>
        </w:rPr>
        <w:t>旺苍站年最大流量各月发生频次统计表</w:t>
      </w:r>
      <w:bookmarkEnd w:id="18"/>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8"/>
        <w:gridCol w:w="957"/>
        <w:gridCol w:w="957"/>
        <w:gridCol w:w="957"/>
        <w:gridCol w:w="959"/>
        <w:gridCol w:w="957"/>
        <w:gridCol w:w="957"/>
        <w:gridCol w:w="957"/>
        <w:gridCol w:w="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877" w:type="pct"/>
            <w:tcBorders>
              <w:top w:val="single" w:color="auto" w:sz="4" w:space="0"/>
              <w:left w:val="single" w:color="auto" w:sz="4" w:space="0"/>
              <w:bottom w:val="single" w:color="auto" w:sz="4" w:space="0"/>
              <w:right w:val="single" w:color="auto" w:sz="4" w:space="0"/>
              <w:tl2br w:val="single" w:color="auto" w:sz="4" w:space="0"/>
            </w:tcBorders>
            <w:vAlign w:val="center"/>
          </w:tcPr>
          <w:p>
            <w:pPr>
              <w:pStyle w:val="43"/>
            </w:pPr>
            <w:r>
              <w:t>月</w:t>
            </w:r>
          </w:p>
          <w:p>
            <w:pPr>
              <w:pStyle w:val="43"/>
            </w:pPr>
            <w:r>
              <w:t>项目</w:t>
            </w:r>
          </w:p>
        </w:tc>
        <w:tc>
          <w:tcPr>
            <w:tcW w:w="515" w:type="pct"/>
            <w:tcBorders>
              <w:top w:val="single" w:color="auto" w:sz="4" w:space="0"/>
              <w:left w:val="single" w:color="auto" w:sz="4" w:space="0"/>
              <w:bottom w:val="single" w:color="auto" w:sz="4" w:space="0"/>
              <w:right w:val="single" w:color="auto" w:sz="4" w:space="0"/>
            </w:tcBorders>
            <w:vAlign w:val="center"/>
          </w:tcPr>
          <w:p>
            <w:pPr>
              <w:pStyle w:val="43"/>
            </w:pPr>
            <w:r>
              <w:t>5</w:t>
            </w:r>
          </w:p>
        </w:tc>
        <w:tc>
          <w:tcPr>
            <w:tcW w:w="515" w:type="pct"/>
            <w:tcBorders>
              <w:top w:val="single" w:color="auto" w:sz="4" w:space="0"/>
              <w:left w:val="single" w:color="auto" w:sz="4" w:space="0"/>
              <w:bottom w:val="single" w:color="auto" w:sz="4" w:space="0"/>
              <w:right w:val="single" w:color="auto" w:sz="4" w:space="0"/>
            </w:tcBorders>
            <w:vAlign w:val="center"/>
          </w:tcPr>
          <w:p>
            <w:pPr>
              <w:pStyle w:val="43"/>
            </w:pPr>
            <w:r>
              <w:t>6</w:t>
            </w:r>
          </w:p>
        </w:tc>
        <w:tc>
          <w:tcPr>
            <w:tcW w:w="515" w:type="pct"/>
            <w:tcBorders>
              <w:top w:val="single" w:color="auto" w:sz="4" w:space="0"/>
              <w:left w:val="single" w:color="auto" w:sz="4" w:space="0"/>
              <w:bottom w:val="single" w:color="auto" w:sz="4" w:space="0"/>
              <w:right w:val="single" w:color="auto" w:sz="4" w:space="0"/>
            </w:tcBorders>
            <w:vAlign w:val="center"/>
          </w:tcPr>
          <w:p>
            <w:pPr>
              <w:pStyle w:val="43"/>
            </w:pPr>
            <w:r>
              <w:t>7</w:t>
            </w:r>
          </w:p>
        </w:tc>
        <w:tc>
          <w:tcPr>
            <w:tcW w:w="516" w:type="pct"/>
            <w:tcBorders>
              <w:top w:val="single" w:color="auto" w:sz="4" w:space="0"/>
              <w:left w:val="single" w:color="auto" w:sz="4" w:space="0"/>
              <w:bottom w:val="single" w:color="auto" w:sz="4" w:space="0"/>
              <w:right w:val="single" w:color="auto" w:sz="4" w:space="0"/>
            </w:tcBorders>
            <w:vAlign w:val="center"/>
          </w:tcPr>
          <w:p>
            <w:pPr>
              <w:pStyle w:val="43"/>
            </w:pPr>
            <w:r>
              <w:t>8</w:t>
            </w:r>
          </w:p>
        </w:tc>
        <w:tc>
          <w:tcPr>
            <w:tcW w:w="515" w:type="pct"/>
            <w:tcBorders>
              <w:top w:val="single" w:color="auto" w:sz="4" w:space="0"/>
              <w:left w:val="single" w:color="auto" w:sz="4" w:space="0"/>
              <w:bottom w:val="single" w:color="auto" w:sz="4" w:space="0"/>
              <w:right w:val="single" w:color="auto" w:sz="4" w:space="0"/>
            </w:tcBorders>
            <w:vAlign w:val="center"/>
          </w:tcPr>
          <w:p>
            <w:pPr>
              <w:pStyle w:val="43"/>
            </w:pPr>
            <w:r>
              <w:t>9</w:t>
            </w:r>
          </w:p>
        </w:tc>
        <w:tc>
          <w:tcPr>
            <w:tcW w:w="515" w:type="pct"/>
            <w:tcBorders>
              <w:top w:val="single" w:color="auto" w:sz="4" w:space="0"/>
              <w:left w:val="single" w:color="auto" w:sz="4" w:space="0"/>
              <w:bottom w:val="single" w:color="auto" w:sz="4" w:space="0"/>
              <w:right w:val="single" w:color="auto" w:sz="4" w:space="0"/>
            </w:tcBorders>
            <w:vAlign w:val="center"/>
          </w:tcPr>
          <w:p>
            <w:pPr>
              <w:pStyle w:val="43"/>
            </w:pPr>
            <w:r>
              <w:t>10</w:t>
            </w:r>
          </w:p>
        </w:tc>
        <w:tc>
          <w:tcPr>
            <w:tcW w:w="515" w:type="pct"/>
            <w:tcBorders>
              <w:top w:val="single" w:color="auto" w:sz="4" w:space="0"/>
              <w:left w:val="single" w:color="auto" w:sz="4" w:space="0"/>
              <w:bottom w:val="single" w:color="auto" w:sz="4" w:space="0"/>
              <w:right w:val="single" w:color="auto" w:sz="4" w:space="0"/>
            </w:tcBorders>
            <w:vAlign w:val="center"/>
          </w:tcPr>
          <w:p>
            <w:pPr>
              <w:pStyle w:val="43"/>
            </w:pPr>
            <w:r>
              <w:t>11</w:t>
            </w:r>
          </w:p>
        </w:tc>
        <w:tc>
          <w:tcPr>
            <w:tcW w:w="516" w:type="pct"/>
            <w:tcBorders>
              <w:top w:val="single" w:color="auto" w:sz="4" w:space="0"/>
              <w:left w:val="single" w:color="auto" w:sz="4" w:space="0"/>
              <w:bottom w:val="single" w:color="auto" w:sz="4" w:space="0"/>
              <w:right w:val="single" w:color="auto" w:sz="4" w:space="0"/>
            </w:tcBorders>
            <w:vAlign w:val="center"/>
          </w:tcPr>
          <w:p>
            <w:pPr>
              <w:pStyle w:val="43"/>
            </w:pPr>
            <w: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877" w:type="pct"/>
            <w:tcBorders>
              <w:top w:val="single" w:color="auto" w:sz="4" w:space="0"/>
              <w:left w:val="single" w:color="auto" w:sz="4" w:space="0"/>
              <w:bottom w:val="single" w:color="auto" w:sz="4" w:space="0"/>
              <w:right w:val="single" w:color="auto" w:sz="4" w:space="0"/>
            </w:tcBorders>
            <w:vAlign w:val="center"/>
          </w:tcPr>
          <w:p>
            <w:pPr>
              <w:pStyle w:val="43"/>
            </w:pPr>
            <w:r>
              <w:t>次数</w:t>
            </w:r>
          </w:p>
        </w:tc>
        <w:tc>
          <w:tcPr>
            <w:tcW w:w="515" w:type="pct"/>
            <w:tcBorders>
              <w:top w:val="single" w:color="auto" w:sz="4" w:space="0"/>
              <w:left w:val="single" w:color="auto" w:sz="4" w:space="0"/>
              <w:bottom w:val="single" w:color="auto" w:sz="4" w:space="0"/>
              <w:right w:val="single" w:color="auto" w:sz="4" w:space="0"/>
            </w:tcBorders>
            <w:vAlign w:val="center"/>
          </w:tcPr>
          <w:p>
            <w:pPr>
              <w:pStyle w:val="43"/>
            </w:pPr>
            <w:r>
              <w:t>2</w:t>
            </w:r>
          </w:p>
        </w:tc>
        <w:tc>
          <w:tcPr>
            <w:tcW w:w="515" w:type="pct"/>
            <w:tcBorders>
              <w:top w:val="single" w:color="auto" w:sz="4" w:space="0"/>
              <w:left w:val="single" w:color="auto" w:sz="4" w:space="0"/>
              <w:bottom w:val="single" w:color="auto" w:sz="4" w:space="0"/>
              <w:right w:val="single" w:color="auto" w:sz="4" w:space="0"/>
            </w:tcBorders>
            <w:vAlign w:val="center"/>
          </w:tcPr>
          <w:p>
            <w:pPr>
              <w:pStyle w:val="43"/>
            </w:pPr>
            <w:r>
              <w:t>4</w:t>
            </w:r>
          </w:p>
        </w:tc>
        <w:tc>
          <w:tcPr>
            <w:tcW w:w="515" w:type="pct"/>
            <w:tcBorders>
              <w:top w:val="single" w:color="auto" w:sz="4" w:space="0"/>
              <w:left w:val="single" w:color="auto" w:sz="4" w:space="0"/>
              <w:bottom w:val="single" w:color="auto" w:sz="4" w:space="0"/>
              <w:right w:val="single" w:color="auto" w:sz="4" w:space="0"/>
            </w:tcBorders>
            <w:vAlign w:val="center"/>
          </w:tcPr>
          <w:p>
            <w:pPr>
              <w:pStyle w:val="43"/>
            </w:pPr>
            <w:r>
              <w:t>21</w:t>
            </w:r>
          </w:p>
        </w:tc>
        <w:tc>
          <w:tcPr>
            <w:tcW w:w="516" w:type="pct"/>
            <w:tcBorders>
              <w:top w:val="single" w:color="auto" w:sz="4" w:space="0"/>
              <w:left w:val="single" w:color="auto" w:sz="4" w:space="0"/>
              <w:bottom w:val="single" w:color="auto" w:sz="4" w:space="0"/>
              <w:right w:val="single" w:color="auto" w:sz="4" w:space="0"/>
            </w:tcBorders>
            <w:vAlign w:val="center"/>
          </w:tcPr>
          <w:p>
            <w:pPr>
              <w:pStyle w:val="43"/>
            </w:pPr>
            <w:r>
              <w:t>9</w:t>
            </w:r>
          </w:p>
        </w:tc>
        <w:tc>
          <w:tcPr>
            <w:tcW w:w="515" w:type="pct"/>
            <w:tcBorders>
              <w:top w:val="single" w:color="auto" w:sz="4" w:space="0"/>
              <w:left w:val="single" w:color="auto" w:sz="4" w:space="0"/>
              <w:bottom w:val="single" w:color="auto" w:sz="4" w:space="0"/>
              <w:right w:val="single" w:color="auto" w:sz="4" w:space="0"/>
            </w:tcBorders>
            <w:vAlign w:val="center"/>
          </w:tcPr>
          <w:p>
            <w:pPr>
              <w:pStyle w:val="43"/>
            </w:pPr>
            <w:r>
              <w:t>17</w:t>
            </w:r>
          </w:p>
        </w:tc>
        <w:tc>
          <w:tcPr>
            <w:tcW w:w="515" w:type="pct"/>
            <w:tcBorders>
              <w:top w:val="single" w:color="auto" w:sz="4" w:space="0"/>
              <w:left w:val="single" w:color="auto" w:sz="4" w:space="0"/>
              <w:bottom w:val="single" w:color="auto" w:sz="4" w:space="0"/>
              <w:right w:val="single" w:color="auto" w:sz="4" w:space="0"/>
            </w:tcBorders>
            <w:vAlign w:val="center"/>
          </w:tcPr>
          <w:p>
            <w:pPr>
              <w:pStyle w:val="43"/>
            </w:pPr>
            <w:r>
              <w:t>3</w:t>
            </w:r>
          </w:p>
        </w:tc>
        <w:tc>
          <w:tcPr>
            <w:tcW w:w="515" w:type="pct"/>
            <w:tcBorders>
              <w:top w:val="single" w:color="auto" w:sz="4" w:space="0"/>
              <w:left w:val="single" w:color="auto" w:sz="4" w:space="0"/>
              <w:bottom w:val="single" w:color="auto" w:sz="4" w:space="0"/>
              <w:right w:val="single" w:color="auto" w:sz="4" w:space="0"/>
            </w:tcBorders>
            <w:vAlign w:val="center"/>
          </w:tcPr>
          <w:p>
            <w:pPr>
              <w:pStyle w:val="43"/>
            </w:pPr>
            <w:r>
              <w:t>1</w:t>
            </w:r>
          </w:p>
        </w:tc>
        <w:tc>
          <w:tcPr>
            <w:tcW w:w="516" w:type="pct"/>
            <w:tcBorders>
              <w:top w:val="single" w:color="auto" w:sz="4" w:space="0"/>
              <w:left w:val="single" w:color="auto" w:sz="4" w:space="0"/>
              <w:bottom w:val="single" w:color="auto" w:sz="4" w:space="0"/>
              <w:right w:val="single" w:color="auto" w:sz="4" w:space="0"/>
            </w:tcBorders>
            <w:vAlign w:val="center"/>
          </w:tcPr>
          <w:p>
            <w:pPr>
              <w:pStyle w:val="43"/>
            </w:pPr>
            <w:r>
              <w:t>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77" w:type="pct"/>
            <w:tcBorders>
              <w:top w:val="single" w:color="auto" w:sz="4" w:space="0"/>
              <w:left w:val="single" w:color="auto" w:sz="4" w:space="0"/>
              <w:bottom w:val="single" w:color="auto" w:sz="4" w:space="0"/>
              <w:right w:val="single" w:color="auto" w:sz="4" w:space="0"/>
            </w:tcBorders>
            <w:vAlign w:val="center"/>
          </w:tcPr>
          <w:p>
            <w:pPr>
              <w:pStyle w:val="43"/>
            </w:pPr>
            <w:r>
              <w:t>比例（%）</w:t>
            </w:r>
          </w:p>
        </w:tc>
        <w:tc>
          <w:tcPr>
            <w:tcW w:w="515" w:type="pct"/>
            <w:tcBorders>
              <w:top w:val="single" w:color="auto" w:sz="4" w:space="0"/>
              <w:left w:val="single" w:color="auto" w:sz="4" w:space="0"/>
              <w:bottom w:val="single" w:color="auto" w:sz="4" w:space="0"/>
              <w:right w:val="single" w:color="auto" w:sz="4" w:space="0"/>
            </w:tcBorders>
            <w:vAlign w:val="center"/>
          </w:tcPr>
          <w:p>
            <w:pPr>
              <w:pStyle w:val="43"/>
            </w:pPr>
            <w:r>
              <w:t>3.5</w:t>
            </w:r>
          </w:p>
        </w:tc>
        <w:tc>
          <w:tcPr>
            <w:tcW w:w="515" w:type="pct"/>
            <w:tcBorders>
              <w:top w:val="single" w:color="auto" w:sz="4" w:space="0"/>
              <w:left w:val="single" w:color="auto" w:sz="4" w:space="0"/>
              <w:bottom w:val="single" w:color="auto" w:sz="4" w:space="0"/>
              <w:right w:val="single" w:color="auto" w:sz="4" w:space="0"/>
            </w:tcBorders>
            <w:vAlign w:val="center"/>
          </w:tcPr>
          <w:p>
            <w:pPr>
              <w:pStyle w:val="43"/>
            </w:pPr>
            <w:r>
              <w:t>7.0</w:t>
            </w:r>
          </w:p>
        </w:tc>
        <w:tc>
          <w:tcPr>
            <w:tcW w:w="515" w:type="pct"/>
            <w:tcBorders>
              <w:top w:val="single" w:color="auto" w:sz="4" w:space="0"/>
              <w:left w:val="single" w:color="auto" w:sz="4" w:space="0"/>
              <w:bottom w:val="single" w:color="auto" w:sz="4" w:space="0"/>
              <w:right w:val="single" w:color="auto" w:sz="4" w:space="0"/>
            </w:tcBorders>
            <w:vAlign w:val="center"/>
          </w:tcPr>
          <w:p>
            <w:pPr>
              <w:pStyle w:val="43"/>
            </w:pPr>
            <w:r>
              <w:t>36.8</w:t>
            </w:r>
          </w:p>
        </w:tc>
        <w:tc>
          <w:tcPr>
            <w:tcW w:w="516" w:type="pct"/>
            <w:tcBorders>
              <w:top w:val="single" w:color="auto" w:sz="4" w:space="0"/>
              <w:left w:val="single" w:color="auto" w:sz="4" w:space="0"/>
              <w:bottom w:val="single" w:color="auto" w:sz="4" w:space="0"/>
              <w:right w:val="single" w:color="auto" w:sz="4" w:space="0"/>
            </w:tcBorders>
            <w:vAlign w:val="center"/>
          </w:tcPr>
          <w:p>
            <w:pPr>
              <w:pStyle w:val="43"/>
            </w:pPr>
            <w:r>
              <w:t>15.8</w:t>
            </w:r>
          </w:p>
        </w:tc>
        <w:tc>
          <w:tcPr>
            <w:tcW w:w="515" w:type="pct"/>
            <w:tcBorders>
              <w:top w:val="single" w:color="auto" w:sz="4" w:space="0"/>
              <w:left w:val="single" w:color="auto" w:sz="4" w:space="0"/>
              <w:bottom w:val="single" w:color="auto" w:sz="4" w:space="0"/>
              <w:right w:val="single" w:color="auto" w:sz="4" w:space="0"/>
            </w:tcBorders>
            <w:vAlign w:val="center"/>
          </w:tcPr>
          <w:p>
            <w:pPr>
              <w:pStyle w:val="43"/>
            </w:pPr>
            <w:r>
              <w:t>29.8</w:t>
            </w:r>
          </w:p>
        </w:tc>
        <w:tc>
          <w:tcPr>
            <w:tcW w:w="515" w:type="pct"/>
            <w:tcBorders>
              <w:top w:val="single" w:color="auto" w:sz="4" w:space="0"/>
              <w:left w:val="single" w:color="auto" w:sz="4" w:space="0"/>
              <w:bottom w:val="single" w:color="auto" w:sz="4" w:space="0"/>
              <w:right w:val="single" w:color="auto" w:sz="4" w:space="0"/>
            </w:tcBorders>
            <w:vAlign w:val="center"/>
          </w:tcPr>
          <w:p>
            <w:pPr>
              <w:pStyle w:val="43"/>
            </w:pPr>
            <w:r>
              <w:t>5.3</w:t>
            </w:r>
          </w:p>
        </w:tc>
        <w:tc>
          <w:tcPr>
            <w:tcW w:w="515" w:type="pct"/>
            <w:tcBorders>
              <w:top w:val="single" w:color="auto" w:sz="4" w:space="0"/>
              <w:left w:val="single" w:color="auto" w:sz="4" w:space="0"/>
              <w:bottom w:val="single" w:color="auto" w:sz="4" w:space="0"/>
              <w:right w:val="single" w:color="auto" w:sz="4" w:space="0"/>
            </w:tcBorders>
            <w:vAlign w:val="center"/>
          </w:tcPr>
          <w:p>
            <w:pPr>
              <w:pStyle w:val="43"/>
            </w:pPr>
            <w:r>
              <w:t>1.8</w:t>
            </w:r>
          </w:p>
        </w:tc>
        <w:tc>
          <w:tcPr>
            <w:tcW w:w="516" w:type="pct"/>
            <w:tcBorders>
              <w:top w:val="single" w:color="auto" w:sz="4" w:space="0"/>
              <w:left w:val="single" w:color="auto" w:sz="4" w:space="0"/>
              <w:bottom w:val="single" w:color="auto" w:sz="4" w:space="0"/>
              <w:right w:val="single" w:color="auto" w:sz="4" w:space="0"/>
            </w:tcBorders>
            <w:vAlign w:val="center"/>
          </w:tcPr>
          <w:p>
            <w:pPr>
              <w:pStyle w:val="43"/>
            </w:pPr>
            <w:r>
              <w:t>100</w:t>
            </w:r>
          </w:p>
        </w:tc>
      </w:tr>
    </w:tbl>
    <w:p>
      <w:pPr>
        <w:ind w:firstLine="480"/>
        <w:jc w:val="left"/>
        <w:rPr>
          <w:rFonts w:eastAsia="华文中宋"/>
          <w:szCs w:val="24"/>
        </w:rPr>
      </w:pPr>
    </w:p>
    <w:p>
      <w:pPr>
        <w:ind w:firstLine="480"/>
      </w:pPr>
      <w:r>
        <w:rPr>
          <w:rFonts w:hint="eastAsia"/>
        </w:rPr>
        <w:t>盐井河</w:t>
      </w:r>
      <w:r>
        <w:t>流域洪水过程具有涨落快，单峰为主的特点，一次洪水过程一般持续2～3d。根据旺苍站实测洪水过程分析：“81.8.15”洪水过程涨洪历时13h，峰顶持续时间0.5h；“98.8”洪水过程涨洪历时20h，峰顶持续时间1h；“2015.6.28”洪水过程涨洪历时19h，峰顶持续时间0.5h。</w:t>
      </w:r>
    </w:p>
    <w:bookmarkEnd w:id="15"/>
    <w:p>
      <w:pPr>
        <w:pStyle w:val="4"/>
        <w:ind w:left="240"/>
      </w:pPr>
      <w:bookmarkStart w:id="19" w:name="_Toc86049144"/>
      <w:r>
        <w:rPr>
          <w:rFonts w:hint="eastAsia"/>
        </w:rPr>
        <w:t>径流</w:t>
      </w:r>
      <w:bookmarkEnd w:id="19"/>
    </w:p>
    <w:p>
      <w:pPr>
        <w:ind w:firstLine="480"/>
      </w:pPr>
      <w:r>
        <w:t>旺苍县城区河段设有国家水文测站旺苍水文站，控制集水面积2701km</w:t>
      </w:r>
      <w:r>
        <w:rPr>
          <w:vertAlign w:val="superscript"/>
        </w:rPr>
        <w:t>2</w:t>
      </w:r>
      <w:r>
        <w:t>，具有较长的实测水文资料，其中水位、流量有1959年（1959年～1965年经插补、延长后）至</w:t>
      </w:r>
      <w:r>
        <w:rPr>
          <w:rFonts w:hint="eastAsia"/>
        </w:rPr>
        <w:t>2</w:t>
      </w:r>
      <w:r>
        <w:t>015</w:t>
      </w:r>
      <w:r>
        <w:rPr>
          <w:rFonts w:hint="eastAsia"/>
        </w:rPr>
        <w:t>年</w:t>
      </w:r>
      <w:r>
        <w:t>观测资料，泥沙有1966年至1967年和1973至2001年观测资料。</w:t>
      </w:r>
    </w:p>
    <w:p>
      <w:pPr>
        <w:ind w:firstLine="480"/>
      </w:pPr>
      <w:r>
        <w:rPr>
          <w:rFonts w:hint="eastAsia"/>
        </w:rPr>
        <w:t>（1）</w:t>
      </w:r>
      <w:r>
        <w:t>径流系列的一致性、代表性分析</w:t>
      </w:r>
    </w:p>
    <w:p>
      <w:pPr>
        <w:ind w:firstLine="480"/>
      </w:pPr>
      <w:r>
        <w:t>1）径流系列的插补延长</w:t>
      </w:r>
    </w:p>
    <w:p>
      <w:pPr>
        <w:ind w:firstLine="480"/>
        <w:rPr>
          <w:szCs w:val="24"/>
        </w:rPr>
      </w:pPr>
      <w:r>
        <w:rPr>
          <w:szCs w:val="24"/>
        </w:rPr>
        <w:t>旺苍站与罐子坝站相距12km，区间无大的支流加入，区间面积仅69km</w:t>
      </w:r>
      <w:r>
        <w:rPr>
          <w:szCs w:val="24"/>
          <w:vertAlign w:val="superscript"/>
        </w:rPr>
        <w:t>2</w:t>
      </w:r>
      <w:r>
        <w:rPr>
          <w:szCs w:val="24"/>
        </w:rPr>
        <w:t>，相差2.6%，为了使旺苍水文站水文资料更具代表性，将罐子坝站1959～1965年径流系列与旺苍站1966～2015年的径流系列合并使用，合并后的径流系列为1959～2015年，共57年（包括月、年最大流量系列，以下统称旺苍水文站资料系列）。</w:t>
      </w:r>
    </w:p>
    <w:p>
      <w:pPr>
        <w:ind w:firstLine="480"/>
        <w:rPr>
          <w:szCs w:val="24"/>
        </w:rPr>
      </w:pPr>
      <w:r>
        <w:rPr>
          <w:szCs w:val="24"/>
        </w:rPr>
        <w:t>罐子坝站1961年仅有水位资料，根据罐子坝站1960年和1962年的实测水位、流量资料绘制综合水位流量关系曲线（见</w:t>
      </w:r>
      <w:r>
        <w:rPr>
          <w:szCs w:val="24"/>
        </w:rPr>
        <w:fldChar w:fldCharType="begin"/>
      </w:r>
      <w:r>
        <w:rPr>
          <w:szCs w:val="24"/>
        </w:rPr>
        <w:instrText xml:space="preserve"> REF _Ref80776021 \h </w:instrText>
      </w:r>
      <w:r>
        <w:rPr>
          <w:szCs w:val="24"/>
        </w:rPr>
        <w:fldChar w:fldCharType="separate"/>
      </w:r>
      <w:r>
        <w:rPr>
          <w:rFonts w:hint="eastAsia"/>
        </w:rPr>
        <w:t>图</w:t>
      </w:r>
      <w:r>
        <w:t>1.1</w:t>
      </w:r>
      <w:r>
        <w:noBreakHyphen/>
      </w:r>
      <w:r>
        <w:t>1</w:t>
      </w:r>
      <w:r>
        <w:rPr>
          <w:szCs w:val="24"/>
        </w:rPr>
        <w:fldChar w:fldCharType="end"/>
      </w:r>
      <w:r>
        <w:rPr>
          <w:szCs w:val="24"/>
        </w:rPr>
        <w:t>）进行插补，由1961年罐子坝站日平均水位插补罐子坝站日平均流量，进而计算月、年平均流量（洪水流量也同时插补，由年、月最高水位插补年、月最大流量）。</w:t>
      </w:r>
    </w:p>
    <w:p>
      <w:pPr>
        <w:ind w:left="-283" w:leftChars="-118" w:firstLine="0" w:firstLineChars="0"/>
        <w:jc w:val="center"/>
        <w:rPr>
          <w:rFonts w:eastAsia="华文中宋"/>
          <w:szCs w:val="24"/>
        </w:rPr>
      </w:pPr>
      <w:r>
        <w:rPr>
          <w:rFonts w:eastAsia="华文中宋"/>
          <w:szCs w:val="24"/>
        </w:rPr>
        <w:drawing>
          <wp:inline distT="0" distB="0" distL="0" distR="0">
            <wp:extent cx="4168775" cy="3408680"/>
            <wp:effectExtent l="0" t="0" r="3175"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185740" cy="3422704"/>
                    </a:xfrm>
                    <a:prstGeom prst="rect">
                      <a:avLst/>
                    </a:prstGeom>
                    <a:noFill/>
                    <a:ln>
                      <a:noFill/>
                    </a:ln>
                  </pic:spPr>
                </pic:pic>
              </a:graphicData>
            </a:graphic>
          </wp:inline>
        </w:drawing>
      </w:r>
    </w:p>
    <w:p>
      <w:pPr>
        <w:pStyle w:val="57"/>
        <w:rPr>
          <w:rFonts w:eastAsia="华文中宋"/>
          <w:szCs w:val="24"/>
        </w:rPr>
      </w:pPr>
      <w:bookmarkStart w:id="20" w:name="_Ref80776021"/>
      <w:bookmarkStart w:id="21" w:name="_Ref80718186"/>
      <w:r>
        <w:rPr>
          <w:rFonts w:hint="eastAsia"/>
        </w:rPr>
        <w:t>图</w:t>
      </w:r>
      <w:r>
        <w:fldChar w:fldCharType="begin"/>
      </w:r>
      <w:r>
        <w:instrText xml:space="preserve"> </w:instrText>
      </w:r>
      <w:r>
        <w:rPr>
          <w:rFonts w:hint="eastAsia"/>
        </w:rPr>
        <w:instrText xml:space="preserve">STYLEREF 2 \s</w:instrText>
      </w:r>
      <w:r>
        <w:instrText xml:space="preserve"> </w:instrText>
      </w:r>
      <w:r>
        <w:fldChar w:fldCharType="separate"/>
      </w:r>
      <w:r>
        <w:t>1.1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t>1</w:t>
      </w:r>
      <w:r>
        <w:fldChar w:fldCharType="end"/>
      </w:r>
      <w:bookmarkEnd w:id="20"/>
      <w:r>
        <w:rPr>
          <w:szCs w:val="24"/>
        </w:rPr>
        <w:t>罐子坝站1960年和1962年综合水位流量关系曲线</w:t>
      </w:r>
      <w:bookmarkEnd w:id="21"/>
    </w:p>
    <w:p>
      <w:pPr>
        <w:ind w:firstLine="480"/>
      </w:pPr>
      <w:r>
        <w:t>2）径流系列的一致性及修正还原计算</w:t>
      </w:r>
    </w:p>
    <w:p>
      <w:pPr>
        <w:ind w:firstLine="480"/>
        <w:rPr>
          <w:szCs w:val="24"/>
        </w:rPr>
      </w:pPr>
      <w:r>
        <w:rPr>
          <w:szCs w:val="24"/>
        </w:rPr>
        <w:t>由于盐井河上游的陕西省宁强县境内</w:t>
      </w:r>
      <w:r>
        <w:rPr>
          <w:rFonts w:hint="eastAsia"/>
          <w:szCs w:val="24"/>
        </w:rPr>
        <w:t>于</w:t>
      </w:r>
      <w:r>
        <w:rPr>
          <w:szCs w:val="24"/>
        </w:rPr>
        <w:t>1999年建成了二郎坝引嘉（陵江）入汉（江）工程，将东河上游</w:t>
      </w:r>
      <w:r>
        <w:t>西源盐井河</w:t>
      </w:r>
      <w:r>
        <w:rPr>
          <w:szCs w:val="24"/>
        </w:rPr>
        <w:t>水引入了汉江水系，致使旺苍站1999年前后的径流系列缺乏一致性，为保持系列的一致性，需对旺苍站1999年以前的径流系列进行还原、修正计算。</w:t>
      </w:r>
    </w:p>
    <w:p>
      <w:pPr>
        <w:ind w:firstLine="480"/>
        <w:rPr>
          <w:szCs w:val="24"/>
        </w:rPr>
      </w:pPr>
      <w:r>
        <w:rPr>
          <w:szCs w:val="24"/>
        </w:rPr>
        <w:t>二郎坝引嘉（陵江）入汉（江）工程的天生桥水库的总库容7800万m</w:t>
      </w:r>
      <w:r>
        <w:rPr>
          <w:szCs w:val="24"/>
          <w:vertAlign w:val="superscript"/>
        </w:rPr>
        <w:t>3</w:t>
      </w:r>
      <w:r>
        <w:rPr>
          <w:szCs w:val="24"/>
        </w:rPr>
        <w:t>，调节库容5000万m</w:t>
      </w:r>
      <w:r>
        <w:rPr>
          <w:szCs w:val="24"/>
          <w:vertAlign w:val="superscript"/>
        </w:rPr>
        <w:t>3</w:t>
      </w:r>
      <w:r>
        <w:rPr>
          <w:szCs w:val="24"/>
        </w:rPr>
        <w:t>，引水流量16.72m</w:t>
      </w:r>
      <w:r>
        <w:rPr>
          <w:szCs w:val="24"/>
          <w:vertAlign w:val="superscript"/>
        </w:rPr>
        <w:t>3</w:t>
      </w:r>
      <w:r>
        <w:rPr>
          <w:szCs w:val="24"/>
        </w:rPr>
        <w:t>/s，集水面积401km</w:t>
      </w:r>
      <w:r>
        <w:rPr>
          <w:szCs w:val="24"/>
          <w:vertAlign w:val="superscript"/>
        </w:rPr>
        <w:t>2</w:t>
      </w:r>
      <w:r>
        <w:rPr>
          <w:szCs w:val="24"/>
        </w:rPr>
        <w:t>。</w:t>
      </w:r>
      <w:r>
        <w:rPr>
          <w:rFonts w:hint="eastAsia"/>
        </w:rPr>
        <w:t>由于该工程为梯级调水，</w:t>
      </w:r>
      <w:r>
        <w:rPr>
          <w:szCs w:val="24"/>
        </w:rPr>
        <w:t>致使天生桥水库坝址处小于</w:t>
      </w:r>
      <w:r>
        <w:rPr>
          <w:rFonts w:hint="eastAsia"/>
          <w:szCs w:val="24"/>
        </w:rPr>
        <w:t>设计</w:t>
      </w:r>
      <w:r>
        <w:rPr>
          <w:szCs w:val="24"/>
        </w:rPr>
        <w:t>洪水标准（P=2%）时</w:t>
      </w:r>
      <w:r>
        <w:rPr>
          <w:rFonts w:hint="eastAsia"/>
          <w:szCs w:val="24"/>
        </w:rPr>
        <w:t>除下泄生态流量外</w:t>
      </w:r>
      <w:r>
        <w:rPr>
          <w:szCs w:val="24"/>
        </w:rPr>
        <w:t>全部截流</w:t>
      </w:r>
      <w:r>
        <w:rPr>
          <w:rFonts w:hint="eastAsia"/>
          <w:szCs w:val="24"/>
        </w:rPr>
        <w:t>，</w:t>
      </w:r>
      <w:r>
        <w:t>也就是说洪水水量进入下游的旺苍境内河段属偶然事件</w:t>
      </w:r>
      <w:r>
        <w:rPr>
          <w:rFonts w:hint="eastAsia"/>
        </w:rPr>
        <w:t>，</w:t>
      </w:r>
      <w:r>
        <w:rPr>
          <w:szCs w:val="24"/>
        </w:rPr>
        <w:t>其余水量全部引入了汉江。根据旺苍站的1959-1998年实测径流系列资料按扣除天生桥水库集水面积后的2300km</w:t>
      </w:r>
      <w:r>
        <w:rPr>
          <w:szCs w:val="24"/>
          <w:vertAlign w:val="superscript"/>
        </w:rPr>
        <w:t>2</w:t>
      </w:r>
      <w:r>
        <w:rPr>
          <w:szCs w:val="24"/>
        </w:rPr>
        <w:t>进行修正，与1999-2015年径流资料保持一致性。流量修正按下式计算：</w:t>
      </w:r>
    </w:p>
    <w:p>
      <w:pPr>
        <w:ind w:firstLine="0" w:firstLineChars="0"/>
        <w:jc w:val="center"/>
        <w:rPr>
          <w:szCs w:val="24"/>
        </w:rPr>
      </w:pPr>
      <w:r>
        <w:rPr>
          <w:position w:val="-32"/>
          <w:szCs w:val="24"/>
        </w:rPr>
        <w:object>
          <v:shape id="_x0000_i1025" o:spt="75" type="#_x0000_t75" style="height:36pt;width:69.75pt;" o:ole="t" filled="f" o:preferrelative="t" stroked="f" coordsize="21600,21600">
            <v:path/>
            <v:fill on="f" focussize="0,0"/>
            <v:stroke on="f" joinstyle="miter"/>
            <v:imagedata r:id="rId16" o:title=""/>
            <o:lock v:ext="edit" aspectratio="f"/>
            <w10:wrap type="none"/>
            <w10:anchorlock/>
          </v:shape>
          <o:OLEObject Type="Embed" ProgID="Equation.DSMT4" ShapeID="_x0000_i1025" DrawAspect="Content" ObjectID="_1468075725" r:id="rId15">
            <o:LockedField>false</o:LockedField>
          </o:OLEObject>
        </w:object>
      </w:r>
    </w:p>
    <w:p>
      <w:pPr>
        <w:ind w:firstLine="480"/>
      </w:pPr>
      <w:r>
        <w:t>式中：</w:t>
      </w:r>
    </w:p>
    <w:p>
      <w:pPr>
        <w:ind w:firstLine="480"/>
      </w:pPr>
      <w:r>
        <w:t>Q</w:t>
      </w:r>
      <w:r>
        <w:rPr>
          <w:vertAlign w:val="subscript"/>
        </w:rPr>
        <w:t>现</w:t>
      </w:r>
      <w:r>
        <w:t>—旺苍站1959～1998年控制集水面积修正为2300km</w:t>
      </w:r>
      <w:r>
        <w:rPr>
          <w:vertAlign w:val="superscript"/>
        </w:rPr>
        <w:t>2</w:t>
      </w:r>
      <w:r>
        <w:t>的月平均流量；</w:t>
      </w:r>
    </w:p>
    <w:p>
      <w:pPr>
        <w:ind w:firstLine="480"/>
      </w:pPr>
      <w:r>
        <w:t>Q</w:t>
      </w:r>
      <w:r>
        <w:rPr>
          <w:vertAlign w:val="subscript"/>
        </w:rPr>
        <w:t>原</w:t>
      </w:r>
      <w:r>
        <w:t>—旺苍站1959～1998年控制集水面积2701km</w:t>
      </w:r>
      <w:r>
        <w:rPr>
          <w:vertAlign w:val="superscript"/>
        </w:rPr>
        <w:t>2</w:t>
      </w:r>
      <w:r>
        <w:t>的实测月平均流量；</w:t>
      </w:r>
    </w:p>
    <w:p>
      <w:pPr>
        <w:ind w:firstLine="480"/>
      </w:pPr>
      <w:r>
        <w:t>F</w:t>
      </w:r>
      <w:r>
        <w:rPr>
          <w:vertAlign w:val="subscript"/>
        </w:rPr>
        <w:t>现</w:t>
      </w:r>
      <w:r>
        <w:t>—旺苍站在天生桥水库建成后现在实际控制集水面积为2300km</w:t>
      </w:r>
      <w:r>
        <w:rPr>
          <w:vertAlign w:val="superscript"/>
        </w:rPr>
        <w:t>2</w:t>
      </w:r>
      <w:r>
        <w:t>；</w:t>
      </w:r>
    </w:p>
    <w:p>
      <w:pPr>
        <w:ind w:firstLine="480"/>
        <w:rPr>
          <w:szCs w:val="24"/>
        </w:rPr>
      </w:pPr>
      <w:r>
        <w:t>F</w:t>
      </w:r>
      <w:r>
        <w:rPr>
          <w:vertAlign w:val="subscript"/>
        </w:rPr>
        <w:t>原</w:t>
      </w:r>
      <w:r>
        <w:t>—旺苍站在天生桥水库建成前原控制集水面积为2701km</w:t>
      </w:r>
      <w:r>
        <w:rPr>
          <w:vertAlign w:val="superscript"/>
        </w:rPr>
        <w:t>2</w:t>
      </w:r>
      <w:r>
        <w:t>。</w:t>
      </w:r>
    </w:p>
    <w:p>
      <w:pPr>
        <w:ind w:firstLine="480"/>
      </w:pPr>
      <w:r>
        <w:t>3）径流系列的代表性分析</w:t>
      </w:r>
    </w:p>
    <w:p>
      <w:pPr>
        <w:ind w:firstLine="480"/>
        <w:rPr>
          <w:szCs w:val="24"/>
        </w:rPr>
      </w:pPr>
      <w:r>
        <w:rPr>
          <w:szCs w:val="24"/>
        </w:rPr>
        <w:t>将旺苍站修正后的1959-1998年径流系列，加上天生桥水库建成后旺苍站1999-2015年实测径流系列，组成旺苍站1959～2015年的年平均流量系列，绘制年平均流量过程线，逐年累进平均过程线和累进变差过程线见图2-3。</w:t>
      </w:r>
    </w:p>
    <w:p>
      <w:pPr>
        <w:ind w:firstLine="0" w:firstLineChars="0"/>
        <w:jc w:val="center"/>
        <w:rPr>
          <w:rFonts w:eastAsia="华文中宋"/>
          <w:szCs w:val="24"/>
        </w:rPr>
      </w:pPr>
      <w:r>
        <w:rPr>
          <w:rFonts w:eastAsia="华文中宋"/>
          <w:szCs w:val="24"/>
        </w:rPr>
        <w:drawing>
          <wp:inline distT="0" distB="0" distL="0" distR="0">
            <wp:extent cx="5220970" cy="353314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306640" cy="3591219"/>
                    </a:xfrm>
                    <a:prstGeom prst="rect">
                      <a:avLst/>
                    </a:prstGeom>
                    <a:noFill/>
                    <a:ln>
                      <a:noFill/>
                    </a:ln>
                  </pic:spPr>
                </pic:pic>
              </a:graphicData>
            </a:graphic>
          </wp:inline>
        </w:drawing>
      </w:r>
    </w:p>
    <w:p>
      <w:pPr>
        <w:pStyle w:val="57"/>
      </w:pPr>
      <w:bookmarkStart w:id="22" w:name="_Ref81813525"/>
      <w:bookmarkStart w:id="23" w:name="_Ref81813516"/>
      <w:r>
        <w:rPr>
          <w:rFonts w:hint="eastAsia"/>
        </w:rPr>
        <w:t>图</w:t>
      </w:r>
      <w:r>
        <w:fldChar w:fldCharType="begin"/>
      </w:r>
      <w:r>
        <w:instrText xml:space="preserve"> </w:instrText>
      </w:r>
      <w:r>
        <w:rPr>
          <w:rFonts w:hint="eastAsia"/>
        </w:rPr>
        <w:instrText xml:space="preserve">STYLEREF 2 \s</w:instrText>
      </w:r>
      <w:r>
        <w:instrText xml:space="preserve"> </w:instrText>
      </w:r>
      <w:r>
        <w:fldChar w:fldCharType="separate"/>
      </w:r>
      <w:r>
        <w:t>1.1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t>2</w:t>
      </w:r>
      <w:r>
        <w:fldChar w:fldCharType="end"/>
      </w:r>
      <w:bookmarkEnd w:id="22"/>
      <w:r>
        <w:t>旺苍水文站年径流系列逐年累进平均过程线和累进变差过程线</w:t>
      </w:r>
      <w:bookmarkEnd w:id="23"/>
    </w:p>
    <w:p>
      <w:pPr>
        <w:ind w:firstLine="480"/>
      </w:pPr>
      <w:r>
        <w:t>由</w:t>
      </w:r>
      <w:r>
        <w:fldChar w:fldCharType="begin"/>
      </w:r>
      <w:r>
        <w:instrText xml:space="preserve"> REF _Ref81813525 \h </w:instrText>
      </w:r>
      <w:r>
        <w:fldChar w:fldCharType="separate"/>
      </w:r>
      <w:r>
        <w:rPr>
          <w:rFonts w:hint="eastAsia"/>
        </w:rPr>
        <w:t>图</w:t>
      </w:r>
      <w:r>
        <w:t>1.1</w:t>
      </w:r>
      <w:r>
        <w:noBreakHyphen/>
      </w:r>
      <w:r>
        <w:t>2</w:t>
      </w:r>
      <w:r>
        <w:fldChar w:fldCharType="end"/>
      </w:r>
      <w:r>
        <w:t>可知：该径流系列呈周期性变化，丰枯水年（组）交替出现，大致经历了4个较为明显的丰枯水年组的变化过程，1961～1965年、1981～1984年、1988～1990年和2009～2011年为丰水年（组）；1968～1972年、1976～1979年、1992～1998年和2004～2007年为枯水年（组），丰枯水年组历时3～7年。系列在45年以上，多年平均流量和累积变差已趋于稳定，本次采用系列长达57年，具有较好的代表性。</w:t>
      </w:r>
    </w:p>
    <w:p>
      <w:pPr>
        <w:ind w:firstLine="480"/>
      </w:pPr>
      <w:r>
        <w:rPr>
          <w:rFonts w:hint="eastAsia"/>
        </w:rPr>
        <w:t>（2）</w:t>
      </w:r>
      <w:r>
        <w:t>旺苍水文站径流计算</w:t>
      </w:r>
    </w:p>
    <w:p>
      <w:pPr>
        <w:ind w:firstLine="480"/>
      </w:pPr>
      <w:r>
        <w:t>据旺苍站1959～2015年的径流系列（其中1959-1998年系修正后的径流系列），分别对日历年平均流量、水利年平均流量、汛前后过渡期4、11月、枯水段12～3月平均流量及最枯2月平均流量进行频率分析计算，按数学期望值公式P＝m/（n+1）×100%计算经验频率，用矩法估计统计参数初值，采用P–Ⅲ型曲线适线，确定旺苍站年径流、时段径流的统计参数和设计值。</w:t>
      </w:r>
    </w:p>
    <w:p>
      <w:pPr>
        <w:ind w:firstLine="480"/>
      </w:pPr>
      <w:r>
        <w:t>旺苍站径流频率计算成果见</w:t>
      </w:r>
      <w:r>
        <w:fldChar w:fldCharType="begin"/>
      </w:r>
      <w:r>
        <w:instrText xml:space="preserve"> REF _Ref80716496 \h </w:instrText>
      </w:r>
      <w:r>
        <w:fldChar w:fldCharType="separate"/>
      </w:r>
    </w:p>
    <w:p>
      <w:pPr>
        <w:ind w:firstLine="480"/>
      </w:pPr>
      <w:r>
        <w:rPr>
          <w:rFonts w:hint="eastAsia"/>
        </w:rPr>
        <w:t>表</w:t>
      </w:r>
      <w:r>
        <w:t>1.1</w:t>
      </w:r>
      <w:r>
        <w:noBreakHyphen/>
      </w:r>
      <w:r>
        <w:t>3</w:t>
      </w:r>
      <w:r>
        <w:fldChar w:fldCharType="end"/>
      </w:r>
      <w:r>
        <w:t>，年径流、时段径流频率曲线见图2–4、2–5、2–6。</w:t>
      </w:r>
      <w:bookmarkStart w:id="24" w:name="_Ref80716496"/>
    </w:p>
    <w:p>
      <w:pPr>
        <w:pStyle w:val="58"/>
        <w:rPr>
          <w:color w:val="auto"/>
        </w:rPr>
      </w:pPr>
      <w:r>
        <w:rPr>
          <w:rFonts w:hint="eastAsia"/>
          <w:color w:val="auto"/>
        </w:rPr>
        <w:t>表</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1.1</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3</w:t>
      </w:r>
      <w:r>
        <w:rPr>
          <w:color w:val="auto"/>
        </w:rPr>
        <w:fldChar w:fldCharType="end"/>
      </w:r>
      <w:bookmarkEnd w:id="24"/>
      <w:bookmarkStart w:id="25" w:name="_Ref80713896"/>
      <w:r>
        <w:rPr>
          <w:color w:val="auto"/>
        </w:rPr>
        <w:t>旺苍站设计径流成果表</w:t>
      </w:r>
      <w:bookmarkEnd w:id="25"/>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0"/>
        <w:gridCol w:w="602"/>
        <w:gridCol w:w="602"/>
        <w:gridCol w:w="763"/>
        <w:gridCol w:w="741"/>
        <w:gridCol w:w="851"/>
        <w:gridCol w:w="851"/>
        <w:gridCol w:w="851"/>
        <w:gridCol w:w="851"/>
        <w:gridCol w:w="851"/>
        <w:gridCol w:w="8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97" w:type="pct"/>
            <w:vMerge w:val="restart"/>
            <w:vAlign w:val="center"/>
          </w:tcPr>
          <w:p>
            <w:pPr>
              <w:pStyle w:val="43"/>
            </w:pPr>
            <w:r>
              <w:t>时段</w:t>
            </w:r>
          </w:p>
        </w:tc>
        <w:tc>
          <w:tcPr>
            <w:tcW w:w="324" w:type="pct"/>
            <w:vMerge w:val="restart"/>
            <w:vAlign w:val="center"/>
          </w:tcPr>
          <w:p>
            <w:pPr>
              <w:pStyle w:val="43"/>
            </w:pPr>
            <w:r>
              <w:t>均值</w:t>
            </w:r>
          </w:p>
        </w:tc>
        <w:tc>
          <w:tcPr>
            <w:tcW w:w="324" w:type="pct"/>
            <w:vMerge w:val="restart"/>
            <w:vAlign w:val="center"/>
          </w:tcPr>
          <w:p>
            <w:pPr>
              <w:pStyle w:val="43"/>
            </w:pPr>
            <w:r>
              <w:t>Cv</w:t>
            </w:r>
          </w:p>
        </w:tc>
        <w:tc>
          <w:tcPr>
            <w:tcW w:w="411" w:type="pct"/>
            <w:vMerge w:val="restart"/>
            <w:vAlign w:val="center"/>
          </w:tcPr>
          <w:p>
            <w:pPr>
              <w:pStyle w:val="43"/>
            </w:pPr>
            <w:r>
              <w:t>Cs/Cv</w:t>
            </w:r>
          </w:p>
        </w:tc>
        <w:tc>
          <w:tcPr>
            <w:tcW w:w="3144" w:type="pct"/>
            <w:gridSpan w:val="7"/>
            <w:vAlign w:val="center"/>
          </w:tcPr>
          <w:p>
            <w:pPr>
              <w:pStyle w:val="43"/>
            </w:pPr>
            <w:r>
              <w:t>各频率设计值Xp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97" w:type="pct"/>
            <w:vMerge w:val="continue"/>
            <w:vAlign w:val="center"/>
          </w:tcPr>
          <w:p>
            <w:pPr>
              <w:pStyle w:val="43"/>
            </w:pPr>
          </w:p>
        </w:tc>
        <w:tc>
          <w:tcPr>
            <w:tcW w:w="324" w:type="pct"/>
            <w:vMerge w:val="continue"/>
            <w:vAlign w:val="center"/>
          </w:tcPr>
          <w:p>
            <w:pPr>
              <w:pStyle w:val="43"/>
            </w:pPr>
          </w:p>
        </w:tc>
        <w:tc>
          <w:tcPr>
            <w:tcW w:w="324" w:type="pct"/>
            <w:vMerge w:val="continue"/>
            <w:vAlign w:val="center"/>
          </w:tcPr>
          <w:p>
            <w:pPr>
              <w:pStyle w:val="43"/>
            </w:pPr>
          </w:p>
        </w:tc>
        <w:tc>
          <w:tcPr>
            <w:tcW w:w="411" w:type="pct"/>
            <w:vMerge w:val="continue"/>
            <w:vAlign w:val="center"/>
          </w:tcPr>
          <w:p>
            <w:pPr>
              <w:pStyle w:val="43"/>
            </w:pPr>
          </w:p>
        </w:tc>
        <w:tc>
          <w:tcPr>
            <w:tcW w:w="399" w:type="pct"/>
            <w:vAlign w:val="center"/>
          </w:tcPr>
          <w:p>
            <w:pPr>
              <w:pStyle w:val="43"/>
            </w:pPr>
            <w:r>
              <w:t>p=5%</w:t>
            </w:r>
          </w:p>
        </w:tc>
        <w:tc>
          <w:tcPr>
            <w:tcW w:w="458" w:type="pct"/>
            <w:vAlign w:val="center"/>
          </w:tcPr>
          <w:p>
            <w:pPr>
              <w:pStyle w:val="43"/>
            </w:pPr>
            <w:r>
              <w:t>p=20%</w:t>
            </w:r>
          </w:p>
        </w:tc>
        <w:tc>
          <w:tcPr>
            <w:tcW w:w="458" w:type="pct"/>
            <w:vAlign w:val="center"/>
          </w:tcPr>
          <w:p>
            <w:pPr>
              <w:pStyle w:val="43"/>
            </w:pPr>
            <w:r>
              <w:t>p=30%</w:t>
            </w:r>
          </w:p>
        </w:tc>
        <w:tc>
          <w:tcPr>
            <w:tcW w:w="458" w:type="pct"/>
            <w:vAlign w:val="center"/>
          </w:tcPr>
          <w:p>
            <w:pPr>
              <w:pStyle w:val="43"/>
            </w:pPr>
            <w:r>
              <w:t>p=50%</w:t>
            </w:r>
          </w:p>
        </w:tc>
        <w:tc>
          <w:tcPr>
            <w:tcW w:w="458" w:type="pct"/>
            <w:vAlign w:val="center"/>
          </w:tcPr>
          <w:p>
            <w:pPr>
              <w:pStyle w:val="43"/>
            </w:pPr>
            <w:r>
              <w:t>p=70%</w:t>
            </w:r>
          </w:p>
        </w:tc>
        <w:tc>
          <w:tcPr>
            <w:tcW w:w="458" w:type="pct"/>
            <w:vAlign w:val="center"/>
          </w:tcPr>
          <w:p>
            <w:pPr>
              <w:pStyle w:val="43"/>
            </w:pPr>
            <w:r>
              <w:t>p=75%</w:t>
            </w:r>
          </w:p>
        </w:tc>
        <w:tc>
          <w:tcPr>
            <w:tcW w:w="456" w:type="pct"/>
            <w:vAlign w:val="center"/>
          </w:tcPr>
          <w:p>
            <w:pPr>
              <w:pStyle w:val="43"/>
            </w:pPr>
            <w:r>
              <w:t>p=95%</w:t>
            </w:r>
          </w:p>
        </w:tc>
      </w:tr>
      <w:tr>
        <w:tblPrEx>
          <w:tblCellMar>
            <w:top w:w="0" w:type="dxa"/>
            <w:left w:w="108" w:type="dxa"/>
            <w:bottom w:w="0" w:type="dxa"/>
            <w:right w:w="108" w:type="dxa"/>
          </w:tblCellMar>
        </w:tblPrEx>
        <w:trPr>
          <w:trHeight w:val="285" w:hRule="atLeast"/>
          <w:jc w:val="center"/>
        </w:trPr>
        <w:tc>
          <w:tcPr>
            <w:tcW w:w="797" w:type="pct"/>
            <w:vAlign w:val="center"/>
          </w:tcPr>
          <w:p>
            <w:pPr>
              <w:pStyle w:val="43"/>
            </w:pPr>
            <w:r>
              <w:t>日历年</w:t>
            </w:r>
          </w:p>
        </w:tc>
        <w:tc>
          <w:tcPr>
            <w:tcW w:w="324" w:type="pct"/>
            <w:vAlign w:val="center"/>
          </w:tcPr>
          <w:p>
            <w:pPr>
              <w:pStyle w:val="43"/>
            </w:pPr>
            <w:r>
              <w:t>52.1</w:t>
            </w:r>
          </w:p>
        </w:tc>
        <w:tc>
          <w:tcPr>
            <w:tcW w:w="324" w:type="pct"/>
            <w:vAlign w:val="center"/>
          </w:tcPr>
          <w:p>
            <w:pPr>
              <w:pStyle w:val="43"/>
            </w:pPr>
            <w:r>
              <w:t>0.43</w:t>
            </w:r>
          </w:p>
        </w:tc>
        <w:tc>
          <w:tcPr>
            <w:tcW w:w="411" w:type="pct"/>
            <w:vAlign w:val="center"/>
          </w:tcPr>
          <w:p>
            <w:pPr>
              <w:pStyle w:val="43"/>
            </w:pPr>
            <w:r>
              <w:t>3.00</w:t>
            </w:r>
          </w:p>
        </w:tc>
        <w:tc>
          <w:tcPr>
            <w:tcW w:w="399" w:type="pct"/>
            <w:vAlign w:val="center"/>
          </w:tcPr>
          <w:p>
            <w:pPr>
              <w:pStyle w:val="43"/>
            </w:pPr>
            <w:r>
              <w:t>95.2</w:t>
            </w:r>
          </w:p>
        </w:tc>
        <w:tc>
          <w:tcPr>
            <w:tcW w:w="458" w:type="pct"/>
            <w:vAlign w:val="center"/>
          </w:tcPr>
          <w:p>
            <w:pPr>
              <w:pStyle w:val="43"/>
            </w:pPr>
            <w:r>
              <w:t>68.2</w:t>
            </w:r>
          </w:p>
        </w:tc>
        <w:tc>
          <w:tcPr>
            <w:tcW w:w="458" w:type="pct"/>
            <w:vAlign w:val="center"/>
          </w:tcPr>
          <w:p>
            <w:pPr>
              <w:pStyle w:val="43"/>
            </w:pPr>
            <w:r>
              <w:t>59.5</w:t>
            </w:r>
          </w:p>
        </w:tc>
        <w:tc>
          <w:tcPr>
            <w:tcW w:w="458" w:type="pct"/>
            <w:vAlign w:val="center"/>
          </w:tcPr>
          <w:p>
            <w:pPr>
              <w:pStyle w:val="43"/>
            </w:pPr>
            <w:r>
              <w:t>47.4</w:t>
            </w:r>
          </w:p>
        </w:tc>
        <w:tc>
          <w:tcPr>
            <w:tcW w:w="458" w:type="pct"/>
            <w:vAlign w:val="center"/>
          </w:tcPr>
          <w:p>
            <w:pPr>
              <w:pStyle w:val="43"/>
            </w:pPr>
            <w:r>
              <w:t>37.9</w:t>
            </w:r>
          </w:p>
        </w:tc>
        <w:tc>
          <w:tcPr>
            <w:tcW w:w="458" w:type="pct"/>
            <w:vAlign w:val="center"/>
          </w:tcPr>
          <w:p>
            <w:pPr>
              <w:pStyle w:val="43"/>
            </w:pPr>
            <w:r>
              <w:t>35.6</w:t>
            </w:r>
          </w:p>
        </w:tc>
        <w:tc>
          <w:tcPr>
            <w:tcW w:w="456" w:type="pct"/>
            <w:vAlign w:val="center"/>
          </w:tcPr>
          <w:p>
            <w:pPr>
              <w:pStyle w:val="43"/>
            </w:pPr>
            <w: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97" w:type="pct"/>
            <w:vAlign w:val="center"/>
          </w:tcPr>
          <w:p>
            <w:pPr>
              <w:pStyle w:val="43"/>
            </w:pPr>
            <w:r>
              <w:t>水利年</w:t>
            </w:r>
          </w:p>
        </w:tc>
        <w:tc>
          <w:tcPr>
            <w:tcW w:w="324" w:type="pct"/>
            <w:vAlign w:val="center"/>
          </w:tcPr>
          <w:p>
            <w:pPr>
              <w:pStyle w:val="43"/>
            </w:pPr>
            <w:r>
              <w:t>52.3</w:t>
            </w:r>
          </w:p>
        </w:tc>
        <w:tc>
          <w:tcPr>
            <w:tcW w:w="324" w:type="pct"/>
            <w:vAlign w:val="center"/>
          </w:tcPr>
          <w:p>
            <w:pPr>
              <w:pStyle w:val="43"/>
            </w:pPr>
            <w:r>
              <w:t>0.45</w:t>
            </w:r>
          </w:p>
        </w:tc>
        <w:tc>
          <w:tcPr>
            <w:tcW w:w="411" w:type="pct"/>
            <w:vAlign w:val="center"/>
          </w:tcPr>
          <w:p>
            <w:pPr>
              <w:pStyle w:val="43"/>
            </w:pPr>
            <w:r>
              <w:t>3.00</w:t>
            </w:r>
          </w:p>
        </w:tc>
        <w:tc>
          <w:tcPr>
            <w:tcW w:w="399" w:type="pct"/>
            <w:vAlign w:val="center"/>
          </w:tcPr>
          <w:p>
            <w:pPr>
              <w:pStyle w:val="43"/>
            </w:pPr>
            <w:r>
              <w:t>97.8</w:t>
            </w:r>
          </w:p>
        </w:tc>
        <w:tc>
          <w:tcPr>
            <w:tcW w:w="458" w:type="pct"/>
            <w:vAlign w:val="center"/>
          </w:tcPr>
          <w:p>
            <w:pPr>
              <w:pStyle w:val="43"/>
            </w:pPr>
            <w:r>
              <w:t>69.1</w:t>
            </w:r>
          </w:p>
        </w:tc>
        <w:tc>
          <w:tcPr>
            <w:tcW w:w="458" w:type="pct"/>
            <w:vAlign w:val="center"/>
          </w:tcPr>
          <w:p>
            <w:pPr>
              <w:pStyle w:val="43"/>
            </w:pPr>
            <w:r>
              <w:t>59.9</w:t>
            </w:r>
          </w:p>
        </w:tc>
        <w:tc>
          <w:tcPr>
            <w:tcW w:w="458" w:type="pct"/>
            <w:vAlign w:val="center"/>
          </w:tcPr>
          <w:p>
            <w:pPr>
              <w:pStyle w:val="43"/>
            </w:pPr>
            <w:r>
              <w:t>47.2</w:t>
            </w:r>
          </w:p>
        </w:tc>
        <w:tc>
          <w:tcPr>
            <w:tcW w:w="458" w:type="pct"/>
            <w:vAlign w:val="center"/>
          </w:tcPr>
          <w:p>
            <w:pPr>
              <w:pStyle w:val="43"/>
            </w:pPr>
            <w:r>
              <w:t>37.3</w:t>
            </w:r>
          </w:p>
        </w:tc>
        <w:tc>
          <w:tcPr>
            <w:tcW w:w="458" w:type="pct"/>
            <w:vAlign w:val="center"/>
          </w:tcPr>
          <w:p>
            <w:pPr>
              <w:pStyle w:val="43"/>
            </w:pPr>
            <w:r>
              <w:t>35.0</w:t>
            </w:r>
          </w:p>
        </w:tc>
        <w:tc>
          <w:tcPr>
            <w:tcW w:w="456" w:type="pct"/>
            <w:vAlign w:val="center"/>
          </w:tcPr>
          <w:p>
            <w:pPr>
              <w:pStyle w:val="43"/>
            </w:pPr>
            <w:r>
              <w:t>24.4</w:t>
            </w:r>
          </w:p>
        </w:tc>
      </w:tr>
      <w:tr>
        <w:tblPrEx>
          <w:tblCellMar>
            <w:top w:w="0" w:type="dxa"/>
            <w:left w:w="108" w:type="dxa"/>
            <w:bottom w:w="0" w:type="dxa"/>
            <w:right w:w="108" w:type="dxa"/>
          </w:tblCellMar>
        </w:tblPrEx>
        <w:trPr>
          <w:trHeight w:val="285" w:hRule="atLeast"/>
          <w:jc w:val="center"/>
        </w:trPr>
        <w:tc>
          <w:tcPr>
            <w:tcW w:w="797" w:type="pct"/>
            <w:vAlign w:val="center"/>
          </w:tcPr>
          <w:p>
            <w:pPr>
              <w:pStyle w:val="43"/>
            </w:pPr>
            <w:r>
              <w:t>枯期12-3月</w:t>
            </w:r>
          </w:p>
        </w:tc>
        <w:tc>
          <w:tcPr>
            <w:tcW w:w="324" w:type="pct"/>
            <w:vAlign w:val="center"/>
          </w:tcPr>
          <w:p>
            <w:pPr>
              <w:pStyle w:val="43"/>
            </w:pPr>
            <w:r>
              <w:t>11.8</w:t>
            </w:r>
          </w:p>
        </w:tc>
        <w:tc>
          <w:tcPr>
            <w:tcW w:w="324" w:type="pct"/>
            <w:vAlign w:val="center"/>
          </w:tcPr>
          <w:p>
            <w:pPr>
              <w:pStyle w:val="43"/>
            </w:pPr>
            <w:r>
              <w:t>0.35</w:t>
            </w:r>
          </w:p>
        </w:tc>
        <w:tc>
          <w:tcPr>
            <w:tcW w:w="411" w:type="pct"/>
            <w:vAlign w:val="center"/>
          </w:tcPr>
          <w:p>
            <w:pPr>
              <w:pStyle w:val="43"/>
            </w:pPr>
            <w:r>
              <w:t>2.50</w:t>
            </w:r>
          </w:p>
        </w:tc>
        <w:tc>
          <w:tcPr>
            <w:tcW w:w="399" w:type="pct"/>
            <w:vAlign w:val="center"/>
          </w:tcPr>
          <w:p>
            <w:pPr>
              <w:pStyle w:val="43"/>
            </w:pPr>
            <w:r>
              <w:t>19.5</w:t>
            </w:r>
          </w:p>
        </w:tc>
        <w:tc>
          <w:tcPr>
            <w:tcW w:w="458" w:type="pct"/>
            <w:vAlign w:val="center"/>
          </w:tcPr>
          <w:p>
            <w:pPr>
              <w:pStyle w:val="43"/>
            </w:pPr>
            <w:r>
              <w:t>14.2</w:t>
            </w:r>
          </w:p>
        </w:tc>
        <w:tc>
          <w:tcPr>
            <w:tcW w:w="458" w:type="pct"/>
            <w:vAlign w:val="center"/>
          </w:tcPr>
          <w:p>
            <w:pPr>
              <w:pStyle w:val="43"/>
            </w:pPr>
            <w:r>
              <w:t>13.5</w:t>
            </w:r>
          </w:p>
        </w:tc>
        <w:tc>
          <w:tcPr>
            <w:tcW w:w="458" w:type="pct"/>
            <w:vAlign w:val="center"/>
          </w:tcPr>
          <w:p>
            <w:pPr>
              <w:pStyle w:val="43"/>
            </w:pPr>
            <w:r>
              <w:t>11.2</w:t>
            </w:r>
          </w:p>
        </w:tc>
        <w:tc>
          <w:tcPr>
            <w:tcW w:w="458" w:type="pct"/>
            <w:vAlign w:val="center"/>
          </w:tcPr>
          <w:p>
            <w:pPr>
              <w:pStyle w:val="43"/>
            </w:pPr>
            <w:r>
              <w:t>9.28</w:t>
            </w:r>
          </w:p>
        </w:tc>
        <w:tc>
          <w:tcPr>
            <w:tcW w:w="458" w:type="pct"/>
            <w:vAlign w:val="center"/>
          </w:tcPr>
          <w:p>
            <w:pPr>
              <w:pStyle w:val="43"/>
            </w:pPr>
            <w:r>
              <w:t>8.79</w:t>
            </w:r>
          </w:p>
        </w:tc>
        <w:tc>
          <w:tcPr>
            <w:tcW w:w="456" w:type="pct"/>
            <w:vAlign w:val="center"/>
          </w:tcPr>
          <w:p>
            <w:pPr>
              <w:pStyle w:val="43"/>
            </w:pPr>
            <w:r>
              <w:t>6.18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797" w:type="pct"/>
            <w:vAlign w:val="center"/>
          </w:tcPr>
          <w:p>
            <w:pPr>
              <w:pStyle w:val="43"/>
            </w:pPr>
            <w:r>
              <w:t>汛前过渡期</w:t>
            </w:r>
          </w:p>
          <w:p>
            <w:pPr>
              <w:pStyle w:val="43"/>
            </w:pPr>
            <w:r>
              <w:t>4月</w:t>
            </w:r>
          </w:p>
        </w:tc>
        <w:tc>
          <w:tcPr>
            <w:tcW w:w="324" w:type="pct"/>
            <w:vAlign w:val="center"/>
          </w:tcPr>
          <w:p>
            <w:pPr>
              <w:pStyle w:val="43"/>
            </w:pPr>
            <w:r>
              <w:t>34.0</w:t>
            </w:r>
          </w:p>
        </w:tc>
        <w:tc>
          <w:tcPr>
            <w:tcW w:w="324" w:type="pct"/>
            <w:vAlign w:val="center"/>
          </w:tcPr>
          <w:p>
            <w:pPr>
              <w:pStyle w:val="43"/>
            </w:pPr>
            <w:r>
              <w:t>0.60</w:t>
            </w:r>
          </w:p>
        </w:tc>
        <w:tc>
          <w:tcPr>
            <w:tcW w:w="411" w:type="pct"/>
            <w:vAlign w:val="center"/>
          </w:tcPr>
          <w:p>
            <w:pPr>
              <w:pStyle w:val="43"/>
            </w:pPr>
            <w:r>
              <w:t>2.00</w:t>
            </w:r>
          </w:p>
        </w:tc>
        <w:tc>
          <w:tcPr>
            <w:tcW w:w="399" w:type="pct"/>
            <w:vAlign w:val="center"/>
          </w:tcPr>
          <w:p>
            <w:pPr>
              <w:pStyle w:val="43"/>
            </w:pPr>
            <w:r>
              <w:t>73.0</w:t>
            </w:r>
          </w:p>
        </w:tc>
        <w:tc>
          <w:tcPr>
            <w:tcW w:w="458" w:type="pct"/>
            <w:vAlign w:val="center"/>
          </w:tcPr>
          <w:p>
            <w:pPr>
              <w:pStyle w:val="43"/>
            </w:pPr>
            <w:r>
              <w:t>44.7</w:t>
            </w:r>
          </w:p>
        </w:tc>
        <w:tc>
          <w:tcPr>
            <w:tcW w:w="458" w:type="pct"/>
            <w:vAlign w:val="center"/>
          </w:tcPr>
          <w:p>
            <w:pPr>
              <w:pStyle w:val="43"/>
            </w:pPr>
            <w:r>
              <w:t>41.1</w:t>
            </w:r>
          </w:p>
        </w:tc>
        <w:tc>
          <w:tcPr>
            <w:tcW w:w="458" w:type="pct"/>
            <w:vAlign w:val="center"/>
          </w:tcPr>
          <w:p>
            <w:pPr>
              <w:pStyle w:val="43"/>
            </w:pPr>
            <w:r>
              <w:t>30.0</w:t>
            </w:r>
          </w:p>
        </w:tc>
        <w:tc>
          <w:tcPr>
            <w:tcW w:w="458" w:type="pct"/>
            <w:vAlign w:val="center"/>
          </w:tcPr>
          <w:p>
            <w:pPr>
              <w:pStyle w:val="43"/>
            </w:pPr>
            <w:r>
              <w:t>21.2</w:t>
            </w:r>
          </w:p>
        </w:tc>
        <w:tc>
          <w:tcPr>
            <w:tcW w:w="458" w:type="pct"/>
            <w:vAlign w:val="center"/>
          </w:tcPr>
          <w:p>
            <w:pPr>
              <w:pStyle w:val="43"/>
            </w:pPr>
            <w:r>
              <w:t>19.0</w:t>
            </w:r>
          </w:p>
        </w:tc>
        <w:tc>
          <w:tcPr>
            <w:tcW w:w="456" w:type="pct"/>
            <w:vAlign w:val="center"/>
          </w:tcPr>
          <w:p>
            <w:pPr>
              <w:pStyle w:val="43"/>
            </w:pPr>
            <w:r>
              <w:t>8.64</w:t>
            </w:r>
          </w:p>
        </w:tc>
      </w:tr>
      <w:tr>
        <w:tblPrEx>
          <w:tblCellMar>
            <w:top w:w="0" w:type="dxa"/>
            <w:left w:w="108" w:type="dxa"/>
            <w:bottom w:w="0" w:type="dxa"/>
            <w:right w:w="108" w:type="dxa"/>
          </w:tblCellMar>
        </w:tblPrEx>
        <w:trPr>
          <w:trHeight w:val="171" w:hRule="atLeast"/>
          <w:jc w:val="center"/>
        </w:trPr>
        <w:tc>
          <w:tcPr>
            <w:tcW w:w="797" w:type="pct"/>
            <w:vAlign w:val="center"/>
          </w:tcPr>
          <w:p>
            <w:pPr>
              <w:pStyle w:val="43"/>
            </w:pPr>
            <w:r>
              <w:t>汛后过渡期11月</w:t>
            </w:r>
          </w:p>
        </w:tc>
        <w:tc>
          <w:tcPr>
            <w:tcW w:w="324" w:type="pct"/>
            <w:vAlign w:val="center"/>
          </w:tcPr>
          <w:p>
            <w:pPr>
              <w:pStyle w:val="43"/>
            </w:pPr>
            <w:r>
              <w:t>27.1</w:t>
            </w:r>
          </w:p>
        </w:tc>
        <w:tc>
          <w:tcPr>
            <w:tcW w:w="324" w:type="pct"/>
            <w:vAlign w:val="center"/>
          </w:tcPr>
          <w:p>
            <w:pPr>
              <w:pStyle w:val="43"/>
            </w:pPr>
            <w:r>
              <w:t>0.70</w:t>
            </w:r>
          </w:p>
        </w:tc>
        <w:tc>
          <w:tcPr>
            <w:tcW w:w="411" w:type="pct"/>
            <w:vAlign w:val="center"/>
          </w:tcPr>
          <w:p>
            <w:pPr>
              <w:pStyle w:val="43"/>
            </w:pPr>
            <w:r>
              <w:t>3.00</w:t>
            </w:r>
          </w:p>
        </w:tc>
        <w:tc>
          <w:tcPr>
            <w:tcW w:w="399" w:type="pct"/>
            <w:vAlign w:val="center"/>
          </w:tcPr>
          <w:p>
            <w:pPr>
              <w:pStyle w:val="43"/>
            </w:pPr>
            <w:r>
              <w:t>65.1</w:t>
            </w:r>
          </w:p>
        </w:tc>
        <w:tc>
          <w:tcPr>
            <w:tcW w:w="458" w:type="pct"/>
            <w:vAlign w:val="center"/>
          </w:tcPr>
          <w:p>
            <w:pPr>
              <w:pStyle w:val="43"/>
            </w:pPr>
            <w:r>
              <w:t>34.1</w:t>
            </w:r>
          </w:p>
        </w:tc>
        <w:tc>
          <w:tcPr>
            <w:tcW w:w="458" w:type="pct"/>
            <w:vAlign w:val="center"/>
          </w:tcPr>
          <w:p>
            <w:pPr>
              <w:pStyle w:val="43"/>
            </w:pPr>
            <w:r>
              <w:t>30.6</w:t>
            </w:r>
          </w:p>
        </w:tc>
        <w:tc>
          <w:tcPr>
            <w:tcW w:w="458" w:type="pct"/>
            <w:vAlign w:val="center"/>
          </w:tcPr>
          <w:p>
            <w:pPr>
              <w:pStyle w:val="43"/>
            </w:pPr>
            <w:r>
              <w:t>21.1</w:t>
            </w:r>
          </w:p>
        </w:tc>
        <w:tc>
          <w:tcPr>
            <w:tcW w:w="458" w:type="pct"/>
            <w:vAlign w:val="center"/>
          </w:tcPr>
          <w:p>
            <w:pPr>
              <w:pStyle w:val="43"/>
            </w:pPr>
            <w:r>
              <w:t>14.9</w:t>
            </w:r>
          </w:p>
        </w:tc>
        <w:tc>
          <w:tcPr>
            <w:tcW w:w="458" w:type="pct"/>
            <w:vAlign w:val="center"/>
          </w:tcPr>
          <w:p>
            <w:pPr>
              <w:pStyle w:val="43"/>
            </w:pPr>
            <w:r>
              <w:t>13.7</w:t>
            </w:r>
          </w:p>
        </w:tc>
        <w:tc>
          <w:tcPr>
            <w:tcW w:w="456" w:type="pct"/>
            <w:vAlign w:val="center"/>
          </w:tcPr>
          <w:p>
            <w:pPr>
              <w:pStyle w:val="43"/>
            </w:pPr>
            <w:r>
              <w:t>9.75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97" w:type="pct"/>
            <w:vAlign w:val="center"/>
          </w:tcPr>
          <w:p>
            <w:pPr>
              <w:pStyle w:val="43"/>
            </w:pPr>
            <w:r>
              <w:t>最枯期2月</w:t>
            </w:r>
          </w:p>
        </w:tc>
        <w:tc>
          <w:tcPr>
            <w:tcW w:w="324" w:type="pct"/>
            <w:vAlign w:val="center"/>
          </w:tcPr>
          <w:p>
            <w:pPr>
              <w:pStyle w:val="43"/>
            </w:pPr>
            <w:r>
              <w:t>8.89</w:t>
            </w:r>
          </w:p>
        </w:tc>
        <w:tc>
          <w:tcPr>
            <w:tcW w:w="324" w:type="pct"/>
            <w:vAlign w:val="center"/>
          </w:tcPr>
          <w:p>
            <w:pPr>
              <w:pStyle w:val="43"/>
            </w:pPr>
            <w:r>
              <w:t>0.35</w:t>
            </w:r>
          </w:p>
        </w:tc>
        <w:tc>
          <w:tcPr>
            <w:tcW w:w="411" w:type="pct"/>
            <w:vAlign w:val="center"/>
          </w:tcPr>
          <w:p>
            <w:pPr>
              <w:pStyle w:val="43"/>
            </w:pPr>
            <w:r>
              <w:t>2.50</w:t>
            </w:r>
          </w:p>
        </w:tc>
        <w:tc>
          <w:tcPr>
            <w:tcW w:w="399" w:type="pct"/>
            <w:vAlign w:val="center"/>
          </w:tcPr>
          <w:p>
            <w:pPr>
              <w:pStyle w:val="43"/>
            </w:pPr>
            <w:r>
              <w:t>14.7</w:t>
            </w:r>
          </w:p>
        </w:tc>
        <w:tc>
          <w:tcPr>
            <w:tcW w:w="458" w:type="pct"/>
            <w:vAlign w:val="center"/>
          </w:tcPr>
          <w:p>
            <w:pPr>
              <w:pStyle w:val="43"/>
            </w:pPr>
            <w:r>
              <w:t>10.7</w:t>
            </w:r>
          </w:p>
        </w:tc>
        <w:tc>
          <w:tcPr>
            <w:tcW w:w="458" w:type="pct"/>
            <w:vAlign w:val="center"/>
          </w:tcPr>
          <w:p>
            <w:pPr>
              <w:pStyle w:val="43"/>
            </w:pPr>
            <w:r>
              <w:t>10.1</w:t>
            </w:r>
          </w:p>
        </w:tc>
        <w:tc>
          <w:tcPr>
            <w:tcW w:w="458" w:type="pct"/>
            <w:vAlign w:val="center"/>
          </w:tcPr>
          <w:p>
            <w:pPr>
              <w:pStyle w:val="43"/>
            </w:pPr>
            <w:r>
              <w:t>8.44</w:t>
            </w:r>
          </w:p>
        </w:tc>
        <w:tc>
          <w:tcPr>
            <w:tcW w:w="458" w:type="pct"/>
            <w:vAlign w:val="center"/>
          </w:tcPr>
          <w:p>
            <w:pPr>
              <w:pStyle w:val="43"/>
            </w:pPr>
            <w:r>
              <w:t>6.99</w:t>
            </w:r>
          </w:p>
        </w:tc>
        <w:tc>
          <w:tcPr>
            <w:tcW w:w="458" w:type="pct"/>
            <w:vAlign w:val="center"/>
          </w:tcPr>
          <w:p>
            <w:pPr>
              <w:pStyle w:val="43"/>
            </w:pPr>
            <w:r>
              <w:t>6.62</w:t>
            </w:r>
          </w:p>
        </w:tc>
        <w:tc>
          <w:tcPr>
            <w:tcW w:w="456" w:type="pct"/>
            <w:vAlign w:val="center"/>
          </w:tcPr>
          <w:p>
            <w:pPr>
              <w:pStyle w:val="43"/>
            </w:pPr>
            <w:r>
              <w:t>4.65</w:t>
            </w:r>
          </w:p>
        </w:tc>
      </w:tr>
    </w:tbl>
    <w:p>
      <w:pPr>
        <w:ind w:firstLine="480"/>
      </w:pPr>
      <w:r>
        <w:t>旺苍站与下游清泉站比较（</w:t>
      </w:r>
      <w:r>
        <w:rPr>
          <w:rFonts w:hint="eastAsia"/>
        </w:rPr>
        <w:t>见</w:t>
      </w:r>
      <w:r>
        <w:fldChar w:fldCharType="begin"/>
      </w:r>
      <w:r>
        <w:instrText xml:space="preserve"> </w:instrText>
      </w:r>
      <w:r>
        <w:rPr>
          <w:rFonts w:hint="eastAsia"/>
        </w:rPr>
        <w:instrText xml:space="preserve">REF _Ref80716521 \h</w:instrText>
      </w:r>
      <w:r>
        <w:instrText xml:space="preserve"> </w:instrText>
      </w:r>
      <w:r>
        <w:fldChar w:fldCharType="separate"/>
      </w:r>
      <w:r>
        <w:rPr>
          <w:rFonts w:hint="eastAsia"/>
        </w:rPr>
        <w:t>表</w:t>
      </w:r>
      <w:r>
        <w:t>1.1</w:t>
      </w:r>
      <w:r>
        <w:noBreakHyphen/>
      </w:r>
      <w:r>
        <w:t>4</w:t>
      </w:r>
      <w:r>
        <w:fldChar w:fldCharType="end"/>
      </w:r>
      <w:r>
        <w:t>），多年平均年径流深从上游向下游递减，符合一般规律。</w:t>
      </w:r>
    </w:p>
    <w:p>
      <w:pPr>
        <w:pStyle w:val="58"/>
        <w:rPr>
          <w:color w:val="auto"/>
        </w:rPr>
      </w:pPr>
      <w:bookmarkStart w:id="26" w:name="_Ref80716521"/>
      <w:bookmarkStart w:id="27" w:name="_Ref80713939"/>
      <w:r>
        <w:rPr>
          <w:rFonts w:hint="eastAsia"/>
          <w:color w:val="auto"/>
        </w:rPr>
        <w:t>表</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1.1</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4</w:t>
      </w:r>
      <w:r>
        <w:rPr>
          <w:color w:val="auto"/>
        </w:rPr>
        <w:fldChar w:fldCharType="end"/>
      </w:r>
      <w:bookmarkEnd w:id="26"/>
      <w:r>
        <w:rPr>
          <w:color w:val="auto"/>
        </w:rPr>
        <w:t>邻近水文站及邻近工程年径流频率计算成果表</w:t>
      </w:r>
      <w:bookmarkEnd w:id="27"/>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1"/>
        <w:gridCol w:w="875"/>
        <w:gridCol w:w="1016"/>
        <w:gridCol w:w="1018"/>
        <w:gridCol w:w="1003"/>
        <w:gridCol w:w="598"/>
        <w:gridCol w:w="871"/>
        <w:gridCol w:w="2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4" w:type="pct"/>
            <w:vMerge w:val="restart"/>
            <w:vAlign w:val="center"/>
          </w:tcPr>
          <w:p>
            <w:pPr>
              <w:pStyle w:val="43"/>
            </w:pPr>
            <w:r>
              <w:t>河名</w:t>
            </w:r>
          </w:p>
        </w:tc>
        <w:tc>
          <w:tcPr>
            <w:tcW w:w="471" w:type="pct"/>
            <w:vMerge w:val="restart"/>
            <w:vAlign w:val="center"/>
          </w:tcPr>
          <w:p>
            <w:pPr>
              <w:pStyle w:val="43"/>
            </w:pPr>
            <w:r>
              <w:t>站名</w:t>
            </w:r>
          </w:p>
        </w:tc>
        <w:tc>
          <w:tcPr>
            <w:tcW w:w="547" w:type="pct"/>
            <w:vMerge w:val="restart"/>
            <w:vAlign w:val="center"/>
          </w:tcPr>
          <w:p>
            <w:pPr>
              <w:pStyle w:val="43"/>
            </w:pPr>
            <w:r>
              <w:t>流域面积(km</w:t>
            </w:r>
            <w:r>
              <w:rPr>
                <w:vertAlign w:val="superscript"/>
              </w:rPr>
              <w:t>2</w:t>
            </w:r>
            <w:r>
              <w:t>)</w:t>
            </w:r>
          </w:p>
        </w:tc>
        <w:tc>
          <w:tcPr>
            <w:tcW w:w="1088" w:type="pct"/>
            <w:gridSpan w:val="2"/>
            <w:vAlign w:val="center"/>
          </w:tcPr>
          <w:p>
            <w:pPr>
              <w:pStyle w:val="43"/>
            </w:pPr>
            <w:r>
              <w:t>均值</w:t>
            </w:r>
          </w:p>
        </w:tc>
        <w:tc>
          <w:tcPr>
            <w:tcW w:w="322" w:type="pct"/>
            <w:vMerge w:val="restart"/>
            <w:vAlign w:val="center"/>
          </w:tcPr>
          <w:p>
            <w:pPr>
              <w:pStyle w:val="43"/>
            </w:pPr>
            <w:r>
              <w:t>CV</w:t>
            </w:r>
          </w:p>
        </w:tc>
        <w:tc>
          <w:tcPr>
            <w:tcW w:w="469" w:type="pct"/>
            <w:vMerge w:val="restart"/>
            <w:vAlign w:val="center"/>
          </w:tcPr>
          <w:p>
            <w:pPr>
              <w:pStyle w:val="43"/>
            </w:pPr>
            <w:r>
              <w:t>CS/CV</w:t>
            </w:r>
          </w:p>
        </w:tc>
        <w:tc>
          <w:tcPr>
            <w:tcW w:w="1559" w:type="pct"/>
            <w:vMerge w:val="restart"/>
            <w:vAlign w:val="center"/>
          </w:tcPr>
          <w:p>
            <w:pPr>
              <w:pStyle w:val="43"/>
            </w:pPr>
            <w:r>
              <w:t>附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4" w:type="pct"/>
            <w:vMerge w:val="continue"/>
            <w:vAlign w:val="center"/>
          </w:tcPr>
          <w:p>
            <w:pPr>
              <w:pStyle w:val="43"/>
            </w:pPr>
          </w:p>
        </w:tc>
        <w:tc>
          <w:tcPr>
            <w:tcW w:w="471" w:type="pct"/>
            <w:vMerge w:val="continue"/>
            <w:vAlign w:val="center"/>
          </w:tcPr>
          <w:p>
            <w:pPr>
              <w:pStyle w:val="43"/>
            </w:pPr>
          </w:p>
        </w:tc>
        <w:tc>
          <w:tcPr>
            <w:tcW w:w="547" w:type="pct"/>
            <w:vMerge w:val="continue"/>
            <w:vAlign w:val="center"/>
          </w:tcPr>
          <w:p>
            <w:pPr>
              <w:pStyle w:val="43"/>
            </w:pPr>
          </w:p>
        </w:tc>
        <w:tc>
          <w:tcPr>
            <w:tcW w:w="548" w:type="pct"/>
            <w:vAlign w:val="center"/>
          </w:tcPr>
          <w:p>
            <w:pPr>
              <w:pStyle w:val="43"/>
            </w:pPr>
            <w:r>
              <w:t>流量(m</w:t>
            </w:r>
            <w:r>
              <w:rPr>
                <w:vertAlign w:val="superscript"/>
              </w:rPr>
              <w:t>3</w:t>
            </w:r>
            <w:r>
              <w:t>/s)</w:t>
            </w:r>
          </w:p>
        </w:tc>
        <w:tc>
          <w:tcPr>
            <w:tcW w:w="540" w:type="pct"/>
            <w:vAlign w:val="center"/>
          </w:tcPr>
          <w:p>
            <w:pPr>
              <w:pStyle w:val="43"/>
            </w:pPr>
            <w:r>
              <w:t>径流深(mm)</w:t>
            </w:r>
          </w:p>
        </w:tc>
        <w:tc>
          <w:tcPr>
            <w:tcW w:w="322" w:type="pct"/>
            <w:vMerge w:val="continue"/>
            <w:vAlign w:val="center"/>
          </w:tcPr>
          <w:p>
            <w:pPr>
              <w:pStyle w:val="43"/>
            </w:pPr>
          </w:p>
        </w:tc>
        <w:tc>
          <w:tcPr>
            <w:tcW w:w="469" w:type="pct"/>
            <w:vMerge w:val="continue"/>
            <w:vAlign w:val="center"/>
          </w:tcPr>
          <w:p>
            <w:pPr>
              <w:pStyle w:val="43"/>
            </w:pPr>
          </w:p>
        </w:tc>
        <w:tc>
          <w:tcPr>
            <w:tcW w:w="1559" w:type="pct"/>
            <w:vMerge w:val="continue"/>
            <w:vAlign w:val="center"/>
          </w:tcPr>
          <w:p>
            <w:pPr>
              <w:pStyle w:val="4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4" w:type="pct"/>
            <w:vAlign w:val="center"/>
          </w:tcPr>
          <w:p>
            <w:pPr>
              <w:pStyle w:val="43"/>
            </w:pPr>
            <w:r>
              <w:t>东河</w:t>
            </w:r>
          </w:p>
        </w:tc>
        <w:tc>
          <w:tcPr>
            <w:tcW w:w="471" w:type="pct"/>
            <w:vAlign w:val="center"/>
          </w:tcPr>
          <w:p>
            <w:pPr>
              <w:pStyle w:val="43"/>
            </w:pPr>
            <w:r>
              <w:t>清泉</w:t>
            </w:r>
          </w:p>
        </w:tc>
        <w:tc>
          <w:tcPr>
            <w:tcW w:w="547" w:type="pct"/>
            <w:vAlign w:val="center"/>
          </w:tcPr>
          <w:p>
            <w:pPr>
              <w:pStyle w:val="43"/>
            </w:pPr>
            <w:r>
              <w:t>5011</w:t>
            </w:r>
          </w:p>
        </w:tc>
        <w:tc>
          <w:tcPr>
            <w:tcW w:w="548" w:type="pct"/>
            <w:vAlign w:val="center"/>
          </w:tcPr>
          <w:p>
            <w:pPr>
              <w:pStyle w:val="43"/>
            </w:pPr>
            <w:r>
              <w:t>105</w:t>
            </w:r>
          </w:p>
        </w:tc>
        <w:tc>
          <w:tcPr>
            <w:tcW w:w="540" w:type="pct"/>
            <w:vAlign w:val="center"/>
          </w:tcPr>
          <w:p>
            <w:pPr>
              <w:pStyle w:val="43"/>
            </w:pPr>
            <w:r>
              <w:t>661.0</w:t>
            </w:r>
          </w:p>
        </w:tc>
        <w:tc>
          <w:tcPr>
            <w:tcW w:w="322" w:type="pct"/>
            <w:vAlign w:val="center"/>
          </w:tcPr>
          <w:p>
            <w:pPr>
              <w:pStyle w:val="43"/>
            </w:pPr>
            <w:r>
              <w:t>0.48</w:t>
            </w:r>
          </w:p>
        </w:tc>
        <w:tc>
          <w:tcPr>
            <w:tcW w:w="469" w:type="pct"/>
            <w:vAlign w:val="center"/>
          </w:tcPr>
          <w:p>
            <w:pPr>
              <w:pStyle w:val="43"/>
            </w:pPr>
            <w:r>
              <w:t>3.0</w:t>
            </w:r>
          </w:p>
        </w:tc>
        <w:tc>
          <w:tcPr>
            <w:tcW w:w="1559" w:type="pct"/>
            <w:vAlign w:val="center"/>
          </w:tcPr>
          <w:p>
            <w:pPr>
              <w:pStyle w:val="43"/>
            </w:pPr>
            <w:r>
              <w:t>1959～1989日历年系列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4" w:type="pct"/>
            <w:vAlign w:val="center"/>
          </w:tcPr>
          <w:p>
            <w:pPr>
              <w:pStyle w:val="43"/>
            </w:pPr>
            <w:r>
              <w:t>南江河</w:t>
            </w:r>
          </w:p>
        </w:tc>
        <w:tc>
          <w:tcPr>
            <w:tcW w:w="471" w:type="pct"/>
            <w:vAlign w:val="center"/>
          </w:tcPr>
          <w:p>
            <w:pPr>
              <w:pStyle w:val="43"/>
            </w:pPr>
            <w:r>
              <w:t>巴中</w:t>
            </w:r>
          </w:p>
        </w:tc>
        <w:tc>
          <w:tcPr>
            <w:tcW w:w="547" w:type="pct"/>
            <w:vAlign w:val="center"/>
          </w:tcPr>
          <w:p>
            <w:pPr>
              <w:pStyle w:val="43"/>
            </w:pPr>
            <w:r>
              <w:t>2732</w:t>
            </w:r>
          </w:p>
        </w:tc>
        <w:tc>
          <w:tcPr>
            <w:tcW w:w="548" w:type="pct"/>
            <w:vAlign w:val="center"/>
          </w:tcPr>
          <w:p>
            <w:pPr>
              <w:pStyle w:val="43"/>
            </w:pPr>
            <w:r>
              <w:t>64.1</w:t>
            </w:r>
          </w:p>
        </w:tc>
        <w:tc>
          <w:tcPr>
            <w:tcW w:w="540" w:type="pct"/>
            <w:vAlign w:val="center"/>
          </w:tcPr>
          <w:p>
            <w:pPr>
              <w:pStyle w:val="43"/>
            </w:pPr>
            <w:r>
              <w:t>740.1</w:t>
            </w:r>
          </w:p>
        </w:tc>
        <w:tc>
          <w:tcPr>
            <w:tcW w:w="322" w:type="pct"/>
            <w:vAlign w:val="center"/>
          </w:tcPr>
          <w:p>
            <w:pPr>
              <w:pStyle w:val="43"/>
            </w:pPr>
            <w:r>
              <w:t>0.42</w:t>
            </w:r>
          </w:p>
        </w:tc>
        <w:tc>
          <w:tcPr>
            <w:tcW w:w="469" w:type="pct"/>
            <w:vAlign w:val="center"/>
          </w:tcPr>
          <w:p>
            <w:pPr>
              <w:pStyle w:val="43"/>
            </w:pPr>
            <w:r>
              <w:t>2.5</w:t>
            </w:r>
          </w:p>
        </w:tc>
        <w:tc>
          <w:tcPr>
            <w:tcW w:w="1559" w:type="pct"/>
            <w:vAlign w:val="center"/>
          </w:tcPr>
          <w:p>
            <w:pPr>
              <w:pStyle w:val="43"/>
            </w:pPr>
            <w:r>
              <w:t>1959～1989日历年系列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4" w:type="pct"/>
            <w:vAlign w:val="center"/>
          </w:tcPr>
          <w:p>
            <w:pPr>
              <w:pStyle w:val="43"/>
            </w:pPr>
            <w:r>
              <w:t>神泫河</w:t>
            </w:r>
          </w:p>
        </w:tc>
        <w:tc>
          <w:tcPr>
            <w:tcW w:w="471" w:type="pct"/>
            <w:vAlign w:val="center"/>
          </w:tcPr>
          <w:p>
            <w:pPr>
              <w:pStyle w:val="43"/>
            </w:pPr>
            <w:r>
              <w:t>赶场</w:t>
            </w:r>
          </w:p>
        </w:tc>
        <w:tc>
          <w:tcPr>
            <w:tcW w:w="547" w:type="pct"/>
            <w:vAlign w:val="center"/>
          </w:tcPr>
          <w:p>
            <w:pPr>
              <w:pStyle w:val="43"/>
            </w:pPr>
            <w:r>
              <w:t>273</w:t>
            </w:r>
          </w:p>
        </w:tc>
        <w:tc>
          <w:tcPr>
            <w:tcW w:w="548" w:type="pct"/>
            <w:vAlign w:val="center"/>
          </w:tcPr>
          <w:p>
            <w:pPr>
              <w:pStyle w:val="43"/>
            </w:pPr>
            <w:r>
              <w:t>7.57</w:t>
            </w:r>
          </w:p>
        </w:tc>
        <w:tc>
          <w:tcPr>
            <w:tcW w:w="540" w:type="pct"/>
            <w:vAlign w:val="center"/>
          </w:tcPr>
          <w:p>
            <w:pPr>
              <w:pStyle w:val="43"/>
            </w:pPr>
            <w:r>
              <w:t>874.7</w:t>
            </w:r>
          </w:p>
        </w:tc>
        <w:tc>
          <w:tcPr>
            <w:tcW w:w="322" w:type="pct"/>
            <w:vAlign w:val="center"/>
          </w:tcPr>
          <w:p>
            <w:pPr>
              <w:pStyle w:val="43"/>
            </w:pPr>
            <w:r>
              <w:t>0.42</w:t>
            </w:r>
          </w:p>
        </w:tc>
        <w:tc>
          <w:tcPr>
            <w:tcW w:w="469" w:type="pct"/>
            <w:vAlign w:val="center"/>
          </w:tcPr>
          <w:p>
            <w:pPr>
              <w:pStyle w:val="43"/>
            </w:pPr>
            <w:r>
              <w:t>2.5</w:t>
            </w:r>
          </w:p>
        </w:tc>
        <w:tc>
          <w:tcPr>
            <w:tcW w:w="1559" w:type="pct"/>
            <w:vAlign w:val="center"/>
          </w:tcPr>
          <w:p>
            <w:pPr>
              <w:pStyle w:val="43"/>
            </w:pPr>
            <w:r>
              <w:t>1959～1989日历年系列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4" w:type="pct"/>
            <w:vAlign w:val="center"/>
          </w:tcPr>
          <w:p>
            <w:pPr>
              <w:pStyle w:val="43"/>
            </w:pPr>
            <w:r>
              <w:t>东河</w:t>
            </w:r>
          </w:p>
        </w:tc>
        <w:tc>
          <w:tcPr>
            <w:tcW w:w="471" w:type="pct"/>
            <w:vAlign w:val="center"/>
          </w:tcPr>
          <w:p>
            <w:pPr>
              <w:pStyle w:val="43"/>
            </w:pPr>
            <w:r>
              <w:t>旺苍</w:t>
            </w:r>
          </w:p>
        </w:tc>
        <w:tc>
          <w:tcPr>
            <w:tcW w:w="547" w:type="pct"/>
            <w:vAlign w:val="center"/>
          </w:tcPr>
          <w:p>
            <w:pPr>
              <w:pStyle w:val="43"/>
            </w:pPr>
            <w:r>
              <w:t>2300</w:t>
            </w:r>
          </w:p>
        </w:tc>
        <w:tc>
          <w:tcPr>
            <w:tcW w:w="548" w:type="pct"/>
            <w:vAlign w:val="center"/>
          </w:tcPr>
          <w:p>
            <w:pPr>
              <w:pStyle w:val="43"/>
            </w:pPr>
            <w:r>
              <w:t>52.3</w:t>
            </w:r>
          </w:p>
        </w:tc>
        <w:tc>
          <w:tcPr>
            <w:tcW w:w="540" w:type="pct"/>
            <w:vAlign w:val="center"/>
          </w:tcPr>
          <w:p>
            <w:pPr>
              <w:pStyle w:val="43"/>
            </w:pPr>
            <w:r>
              <w:t>717.1</w:t>
            </w:r>
          </w:p>
        </w:tc>
        <w:tc>
          <w:tcPr>
            <w:tcW w:w="322" w:type="pct"/>
            <w:vAlign w:val="center"/>
          </w:tcPr>
          <w:p>
            <w:pPr>
              <w:pStyle w:val="43"/>
            </w:pPr>
            <w:r>
              <w:t>0.4</w:t>
            </w:r>
            <w:r>
              <w:rPr>
                <w:rFonts w:hint="eastAsia"/>
              </w:rPr>
              <w:t>5</w:t>
            </w:r>
          </w:p>
        </w:tc>
        <w:tc>
          <w:tcPr>
            <w:tcW w:w="469" w:type="pct"/>
            <w:vAlign w:val="center"/>
          </w:tcPr>
          <w:p>
            <w:pPr>
              <w:pStyle w:val="43"/>
            </w:pPr>
            <w:r>
              <w:t>3.</w:t>
            </w:r>
            <w:r>
              <w:rPr>
                <w:rFonts w:hint="eastAsia"/>
              </w:rPr>
              <w:t>0</w:t>
            </w:r>
          </w:p>
        </w:tc>
        <w:tc>
          <w:tcPr>
            <w:tcW w:w="1559" w:type="pct"/>
            <w:vAlign w:val="center"/>
          </w:tcPr>
          <w:p>
            <w:pPr>
              <w:pStyle w:val="43"/>
            </w:pPr>
            <w:r>
              <w:t>1959～2015水利年(本设计)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4" w:type="pct"/>
            <w:vAlign w:val="center"/>
          </w:tcPr>
          <w:p>
            <w:pPr>
              <w:pStyle w:val="43"/>
            </w:pPr>
            <w:r>
              <w:t>东河</w:t>
            </w:r>
          </w:p>
        </w:tc>
        <w:tc>
          <w:tcPr>
            <w:tcW w:w="471" w:type="pct"/>
            <w:vAlign w:val="center"/>
          </w:tcPr>
          <w:p>
            <w:pPr>
              <w:pStyle w:val="43"/>
            </w:pPr>
            <w:r>
              <w:t>旺苍</w:t>
            </w:r>
          </w:p>
        </w:tc>
        <w:tc>
          <w:tcPr>
            <w:tcW w:w="547" w:type="pct"/>
            <w:vAlign w:val="center"/>
          </w:tcPr>
          <w:p>
            <w:pPr>
              <w:pStyle w:val="43"/>
            </w:pPr>
            <w:r>
              <w:t>2701</w:t>
            </w:r>
          </w:p>
        </w:tc>
        <w:tc>
          <w:tcPr>
            <w:tcW w:w="548" w:type="pct"/>
            <w:vAlign w:val="center"/>
          </w:tcPr>
          <w:p>
            <w:pPr>
              <w:pStyle w:val="43"/>
            </w:pPr>
            <w:r>
              <w:t>67.8</w:t>
            </w:r>
          </w:p>
        </w:tc>
        <w:tc>
          <w:tcPr>
            <w:tcW w:w="540" w:type="pct"/>
            <w:vAlign w:val="center"/>
          </w:tcPr>
          <w:p>
            <w:pPr>
              <w:pStyle w:val="43"/>
            </w:pPr>
            <w:r>
              <w:t>792.0</w:t>
            </w:r>
          </w:p>
        </w:tc>
        <w:tc>
          <w:tcPr>
            <w:tcW w:w="322" w:type="pct"/>
            <w:vAlign w:val="center"/>
          </w:tcPr>
          <w:p>
            <w:pPr>
              <w:pStyle w:val="43"/>
            </w:pPr>
            <w:r>
              <w:t>0.48</w:t>
            </w:r>
          </w:p>
        </w:tc>
        <w:tc>
          <w:tcPr>
            <w:tcW w:w="469" w:type="pct"/>
            <w:vAlign w:val="center"/>
          </w:tcPr>
          <w:p>
            <w:pPr>
              <w:pStyle w:val="43"/>
            </w:pPr>
            <w:r>
              <w:t>3.0</w:t>
            </w:r>
          </w:p>
        </w:tc>
        <w:tc>
          <w:tcPr>
            <w:tcW w:w="1559" w:type="pct"/>
            <w:vAlign w:val="center"/>
          </w:tcPr>
          <w:p>
            <w:pPr>
              <w:pStyle w:val="43"/>
            </w:pPr>
            <w:r>
              <w:t>1959～1982年日历年(东河电站设计)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4" w:type="pct"/>
            <w:vAlign w:val="center"/>
          </w:tcPr>
          <w:p>
            <w:pPr>
              <w:pStyle w:val="43"/>
            </w:pPr>
            <w:r>
              <w:t>东河</w:t>
            </w:r>
          </w:p>
        </w:tc>
        <w:tc>
          <w:tcPr>
            <w:tcW w:w="471" w:type="pct"/>
            <w:vAlign w:val="center"/>
          </w:tcPr>
          <w:p>
            <w:pPr>
              <w:pStyle w:val="43"/>
            </w:pPr>
            <w:r>
              <w:t>旺苍</w:t>
            </w:r>
          </w:p>
        </w:tc>
        <w:tc>
          <w:tcPr>
            <w:tcW w:w="547" w:type="pct"/>
            <w:vAlign w:val="center"/>
          </w:tcPr>
          <w:p>
            <w:pPr>
              <w:pStyle w:val="43"/>
            </w:pPr>
            <w:r>
              <w:t>2701</w:t>
            </w:r>
          </w:p>
        </w:tc>
        <w:tc>
          <w:tcPr>
            <w:tcW w:w="548" w:type="pct"/>
            <w:vAlign w:val="center"/>
          </w:tcPr>
          <w:p>
            <w:pPr>
              <w:pStyle w:val="43"/>
            </w:pPr>
            <w:r>
              <w:t>69.5</w:t>
            </w:r>
          </w:p>
        </w:tc>
        <w:tc>
          <w:tcPr>
            <w:tcW w:w="540" w:type="pct"/>
            <w:vAlign w:val="center"/>
          </w:tcPr>
          <w:p>
            <w:pPr>
              <w:pStyle w:val="43"/>
            </w:pPr>
            <w:r>
              <w:t>811.7</w:t>
            </w:r>
          </w:p>
        </w:tc>
        <w:tc>
          <w:tcPr>
            <w:tcW w:w="322" w:type="pct"/>
            <w:vAlign w:val="center"/>
          </w:tcPr>
          <w:p>
            <w:pPr>
              <w:pStyle w:val="43"/>
            </w:pPr>
            <w:r>
              <w:t>0.50</w:t>
            </w:r>
          </w:p>
        </w:tc>
        <w:tc>
          <w:tcPr>
            <w:tcW w:w="469" w:type="pct"/>
            <w:vAlign w:val="center"/>
          </w:tcPr>
          <w:p>
            <w:pPr>
              <w:pStyle w:val="43"/>
            </w:pPr>
            <w:r>
              <w:t>3.0</w:t>
            </w:r>
          </w:p>
        </w:tc>
        <w:tc>
          <w:tcPr>
            <w:tcW w:w="1559" w:type="pct"/>
            <w:vAlign w:val="center"/>
          </w:tcPr>
          <w:p>
            <w:pPr>
              <w:pStyle w:val="43"/>
            </w:pPr>
            <w:r>
              <w:t>1959～1989水利年(双汇电站设计)</w:t>
            </w:r>
          </w:p>
        </w:tc>
      </w:tr>
    </w:tbl>
    <w:p>
      <w:pPr>
        <w:spacing w:line="240" w:lineRule="exact"/>
        <w:ind w:firstLine="0" w:firstLineChars="0"/>
        <w:jc w:val="center"/>
      </w:pPr>
    </w:p>
    <w:p>
      <w:pPr>
        <w:ind w:firstLine="480"/>
      </w:pPr>
      <w:r>
        <w:rPr>
          <w:rFonts w:hint="eastAsia"/>
        </w:rPr>
        <w:t>（3）盐井河径流计算</w:t>
      </w:r>
    </w:p>
    <w:p>
      <w:pPr>
        <w:ind w:firstLine="480"/>
      </w:pPr>
      <w:r>
        <w:rPr>
          <w:rFonts w:hint="eastAsia"/>
        </w:rPr>
        <w:t>盐井河是东河右岸一级支流，流域产汇流条件与东河流域基本一致，故直接采用水文比拟法将旺苍站设计径流移用至盐井河，计算方式如下：</w:t>
      </w:r>
    </w:p>
    <w:p>
      <w:pPr>
        <w:ind w:firstLine="480"/>
      </w:pPr>
      <m:oMathPara>
        <m:oMath>
          <m:sSub>
            <m:sSubPr>
              <m:ctrlPr>
                <w:rPr>
                  <w:rFonts w:ascii="Cambria Math" w:hAnsi="Cambria Math"/>
                </w:rPr>
              </m:ctrlPr>
            </m:sSubPr>
            <m:e>
              <m:r>
                <w:rPr>
                  <w:rFonts w:hint="eastAsia" w:ascii="Cambria Math" w:hAnsi="Cambria Math"/>
                </w:rPr>
                <m:t>Q</m:t>
              </m:r>
              <m:ctrlPr>
                <w:rPr>
                  <w:rFonts w:ascii="Cambria Math" w:hAnsi="Cambria Math"/>
                </w:rPr>
              </m:ctrlPr>
            </m:e>
            <m:sub>
              <m:r>
                <w:rPr>
                  <w:rFonts w:hint="eastAsia" w:ascii="Cambria Math" w:hAnsi="Cambria Math"/>
                </w:rPr>
                <m:t>设</m:t>
              </m:r>
              <m:ctrlPr>
                <w:rPr>
                  <w:rFonts w:ascii="Cambria Math" w:hAnsi="Cambria Math"/>
                </w:rPr>
              </m:ctrlPr>
            </m:sub>
          </m:sSub>
          <m:r>
            <m:rPr>
              <m:sty m:val="p"/>
            </m:rPr>
            <w:rPr>
              <w:rFonts w:hint="eastAsia" w:ascii="Cambria Math" w:hAnsi="Cambria Math"/>
            </w:rPr>
            <m:t>=</m:t>
          </m:r>
          <m:sSub>
            <m:sSubPr>
              <m:ctrlPr>
                <w:rPr>
                  <w:rFonts w:ascii="Cambria Math" w:hAnsi="Cambria Math"/>
                </w:rPr>
              </m:ctrlPr>
            </m:sSubPr>
            <m:e>
              <m:r>
                <w:rPr>
                  <w:rFonts w:hint="eastAsia" w:ascii="Cambria Math" w:hAnsi="Cambria Math"/>
                </w:rPr>
                <m:t>Q</m:t>
              </m:r>
              <m:ctrlPr>
                <w:rPr>
                  <w:rFonts w:ascii="Cambria Math" w:hAnsi="Cambria Math"/>
                </w:rPr>
              </m:ctrlPr>
            </m:e>
            <m:sub>
              <m:r>
                <w:rPr>
                  <w:rFonts w:hint="eastAsia" w:ascii="Cambria Math" w:hAnsi="Cambria Math"/>
                </w:rPr>
                <m:t>参</m:t>
              </m:r>
              <m:ctrlPr>
                <w:rPr>
                  <w:rFonts w:ascii="Cambria Math" w:hAnsi="Cambria Math"/>
                </w:rPr>
              </m:ctrlPr>
            </m:sub>
          </m:sSub>
          <m:r>
            <m:rPr>
              <m:sty m:val="p"/>
            </m:rPr>
            <w:rPr>
              <w:rFonts w:hint="eastAsia" w:ascii="微软雅黑" w:hAnsi="微软雅黑" w:eastAsia="微软雅黑" w:cs="微软雅黑"/>
            </w:rPr>
            <m:t>•</m:t>
          </m:r>
          <m:f>
            <m:fPr>
              <m:ctrlPr>
                <w:rPr>
                  <w:rFonts w:ascii="Cambria Math" w:hAnsi="Cambria Math" w:eastAsia="微软雅黑" w:cs="微软雅黑"/>
                </w:rPr>
              </m:ctrlPr>
            </m:fPr>
            <m:num>
              <m:sSub>
                <m:sSubPr>
                  <m:ctrlPr>
                    <w:rPr>
                      <w:rFonts w:ascii="Cambria Math" w:hAnsi="Cambria Math" w:eastAsia="微软雅黑" w:cs="微软雅黑"/>
                      <w:i/>
                    </w:rPr>
                  </m:ctrlPr>
                </m:sSubPr>
                <m:e>
                  <m:r>
                    <w:rPr>
                      <w:rFonts w:hint="eastAsia" w:ascii="Cambria Math" w:hAnsi="Cambria Math" w:eastAsia="微软雅黑" w:cs="微软雅黑"/>
                    </w:rPr>
                    <m:t>F</m:t>
                  </m:r>
                  <m:ctrlPr>
                    <w:rPr>
                      <w:rFonts w:ascii="Cambria Math" w:hAnsi="Cambria Math" w:eastAsia="微软雅黑" w:cs="微软雅黑"/>
                      <w:i/>
                    </w:rPr>
                  </m:ctrlPr>
                </m:e>
                <m:sub>
                  <m:r>
                    <w:rPr>
                      <w:rFonts w:hint="eastAsia" w:ascii="Cambria Math" w:hAnsi="Cambria Math" w:eastAsia="微软雅黑" w:cs="微软雅黑"/>
                    </w:rPr>
                    <m:t>设</m:t>
                  </m:r>
                  <m:ctrlPr>
                    <w:rPr>
                      <w:rFonts w:ascii="Cambria Math" w:hAnsi="Cambria Math" w:eastAsia="微软雅黑" w:cs="微软雅黑"/>
                      <w:i/>
                    </w:rPr>
                  </m:ctrlPr>
                </m:sub>
              </m:sSub>
              <m:ctrlPr>
                <w:rPr>
                  <w:rFonts w:ascii="Cambria Math" w:hAnsi="Cambria Math" w:eastAsia="微软雅黑" w:cs="微软雅黑"/>
                </w:rPr>
              </m:ctrlPr>
            </m:num>
            <m:den>
              <m:sSub>
                <m:sSubPr>
                  <m:ctrlPr>
                    <w:rPr>
                      <w:rFonts w:ascii="Cambria Math" w:hAnsi="Cambria Math" w:eastAsia="微软雅黑" w:cs="微软雅黑"/>
                      <w:i/>
                    </w:rPr>
                  </m:ctrlPr>
                </m:sSubPr>
                <m:e>
                  <m:r>
                    <w:rPr>
                      <w:rFonts w:hint="eastAsia" w:ascii="Cambria Math" w:hAnsi="Cambria Math" w:eastAsia="微软雅黑" w:cs="微软雅黑"/>
                    </w:rPr>
                    <m:t>F</m:t>
                  </m:r>
                  <m:ctrlPr>
                    <w:rPr>
                      <w:rFonts w:ascii="Cambria Math" w:hAnsi="Cambria Math" w:eastAsia="微软雅黑" w:cs="微软雅黑"/>
                      <w:i/>
                    </w:rPr>
                  </m:ctrlPr>
                </m:e>
                <m:sub>
                  <m:r>
                    <w:rPr>
                      <w:rFonts w:hint="eastAsia" w:ascii="Cambria Math" w:hAnsi="Cambria Math" w:eastAsia="微软雅黑" w:cs="微软雅黑"/>
                    </w:rPr>
                    <m:t>参</m:t>
                  </m:r>
                  <m:ctrlPr>
                    <w:rPr>
                      <w:rFonts w:ascii="Cambria Math" w:hAnsi="Cambria Math" w:eastAsia="微软雅黑" w:cs="微软雅黑"/>
                      <w:i/>
                    </w:rPr>
                  </m:ctrlPr>
                </m:sub>
              </m:sSub>
              <m:ctrlPr>
                <w:rPr>
                  <w:rFonts w:ascii="Cambria Math" w:hAnsi="Cambria Math" w:eastAsia="微软雅黑" w:cs="微软雅黑"/>
                </w:rPr>
              </m:ctrlPr>
            </m:den>
          </m:f>
        </m:oMath>
      </m:oMathPara>
    </w:p>
    <w:p>
      <w:pPr>
        <w:ind w:firstLine="480"/>
      </w:pPr>
      <w:r>
        <w:rPr>
          <w:rFonts w:hint="eastAsia"/>
        </w:rPr>
        <w:t>式中：</w:t>
      </w:r>
    </w:p>
    <w:p>
      <w:pPr>
        <w:ind w:firstLine="480"/>
      </w:pPr>
      <w:r>
        <w:rPr>
          <w:rFonts w:hint="eastAsia"/>
        </w:rPr>
        <w:t>Q</w:t>
      </w:r>
      <w:r>
        <w:rPr>
          <w:rFonts w:hint="eastAsia"/>
          <w:vertAlign w:val="subscript"/>
        </w:rPr>
        <w:t>设</w:t>
      </w:r>
      <w:r>
        <w:rPr>
          <w:rFonts w:hint="eastAsia"/>
        </w:rPr>
        <w:t>—盐井河设计径流。</w:t>
      </w:r>
    </w:p>
    <w:p>
      <w:pPr>
        <w:ind w:firstLine="480"/>
      </w:pPr>
      <w:r>
        <w:rPr>
          <w:rFonts w:hint="eastAsia"/>
        </w:rPr>
        <w:t>Q</w:t>
      </w:r>
      <w:r>
        <w:rPr>
          <w:rFonts w:hint="eastAsia"/>
          <w:vertAlign w:val="subscript"/>
        </w:rPr>
        <w:t>参</w:t>
      </w:r>
      <w:r>
        <w:rPr>
          <w:rFonts w:hint="eastAsia"/>
        </w:rPr>
        <w:t>—旺苍站设计径流。</w:t>
      </w:r>
    </w:p>
    <w:p>
      <w:pPr>
        <w:ind w:firstLine="480"/>
      </w:pPr>
      <w:r>
        <w:rPr>
          <w:rFonts w:hint="eastAsia"/>
        </w:rPr>
        <w:t>F</w:t>
      </w:r>
      <w:r>
        <w:rPr>
          <w:rFonts w:hint="eastAsia"/>
          <w:vertAlign w:val="subscript"/>
        </w:rPr>
        <w:t>设</w:t>
      </w:r>
      <w:r>
        <w:rPr>
          <w:rFonts w:hint="eastAsia"/>
        </w:rPr>
        <w:t>—盐井河流域扣除天生桥水库后集雨面积，1</w:t>
      </w:r>
      <w:r>
        <w:t>000</w:t>
      </w:r>
      <w:r>
        <w:rPr>
          <w:rFonts w:hint="eastAsia"/>
        </w:rPr>
        <w:t>km</w:t>
      </w:r>
      <w:r>
        <w:rPr>
          <w:vertAlign w:val="superscript"/>
        </w:rPr>
        <w:t>2</w:t>
      </w:r>
      <w:r>
        <w:rPr>
          <w:rFonts w:hint="eastAsia"/>
        </w:rPr>
        <w:t>。</w:t>
      </w:r>
    </w:p>
    <w:p>
      <w:pPr>
        <w:ind w:firstLine="480"/>
      </w:pPr>
      <w:r>
        <w:rPr>
          <w:rFonts w:hint="eastAsia"/>
        </w:rPr>
        <w:t>F</w:t>
      </w:r>
      <w:r>
        <w:rPr>
          <w:rFonts w:hint="eastAsia"/>
          <w:vertAlign w:val="subscript"/>
        </w:rPr>
        <w:t>参</w:t>
      </w:r>
      <w:r>
        <w:rPr>
          <w:rFonts w:hint="eastAsia"/>
        </w:rPr>
        <w:t>—旺苍站流域扣除天生桥水库后集雨面积，</w:t>
      </w:r>
      <w:r>
        <w:t>2300</w:t>
      </w:r>
      <w:r>
        <w:rPr>
          <w:rFonts w:hint="eastAsia"/>
        </w:rPr>
        <w:t>km</w:t>
      </w:r>
      <w:r>
        <w:rPr>
          <w:vertAlign w:val="superscript"/>
        </w:rPr>
        <w:t>2</w:t>
      </w:r>
      <w:r>
        <w:rPr>
          <w:rFonts w:hint="eastAsia"/>
        </w:rPr>
        <w:t>。</w:t>
      </w:r>
    </w:p>
    <w:p>
      <w:pPr>
        <w:ind w:firstLine="480"/>
      </w:pPr>
      <w:r>
        <w:rPr>
          <w:rFonts w:hint="eastAsia"/>
        </w:rPr>
        <w:t>盐井河设计径流计算见</w:t>
      </w:r>
      <w:r>
        <w:fldChar w:fldCharType="begin"/>
      </w:r>
      <w:r>
        <w:instrText xml:space="preserve"> </w:instrText>
      </w:r>
      <w:r>
        <w:rPr>
          <w:rFonts w:hint="eastAsia"/>
        </w:rPr>
        <w:instrText xml:space="preserve">REF _Ref81815854 \h</w:instrText>
      </w:r>
      <w:r>
        <w:instrText xml:space="preserve"> </w:instrText>
      </w:r>
      <w:r>
        <w:fldChar w:fldCharType="separate"/>
      </w:r>
      <w:r>
        <w:rPr>
          <w:rFonts w:hint="eastAsia"/>
        </w:rPr>
        <w:t>表</w:t>
      </w:r>
      <w:r>
        <w:t>1.1</w:t>
      </w:r>
      <w:r>
        <w:noBreakHyphen/>
      </w:r>
      <w:r>
        <w:t>5</w:t>
      </w:r>
      <w:r>
        <w:fldChar w:fldCharType="end"/>
      </w:r>
      <w:r>
        <w:rPr>
          <w:rFonts w:hint="eastAsia"/>
        </w:rPr>
        <w:t>。</w:t>
      </w:r>
    </w:p>
    <w:p>
      <w:pPr>
        <w:pStyle w:val="58"/>
        <w:rPr>
          <w:color w:val="auto"/>
        </w:rPr>
      </w:pPr>
      <w:bookmarkStart w:id="28" w:name="_Ref81815854"/>
      <w:r>
        <w:rPr>
          <w:rFonts w:hint="eastAsia"/>
          <w:color w:val="auto"/>
        </w:rPr>
        <w:t>表</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1.1</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5</w:t>
      </w:r>
      <w:r>
        <w:rPr>
          <w:color w:val="auto"/>
        </w:rPr>
        <w:fldChar w:fldCharType="end"/>
      </w:r>
      <w:bookmarkEnd w:id="28"/>
      <w:r>
        <w:rPr>
          <w:rFonts w:hint="eastAsia"/>
          <w:color w:val="auto"/>
        </w:rPr>
        <w:t>盐井河设计径流计算成果表</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732"/>
        <w:gridCol w:w="1014"/>
        <w:gridCol w:w="1016"/>
        <w:gridCol w:w="1016"/>
        <w:gridCol w:w="1016"/>
        <w:gridCol w:w="1016"/>
        <w:gridCol w:w="1016"/>
        <w:gridCol w:w="10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76" w:type="pct"/>
            <w:vMerge w:val="restart"/>
            <w:shd w:val="clear" w:color="auto" w:fill="auto"/>
            <w:vAlign w:val="center"/>
          </w:tcPr>
          <w:p>
            <w:pPr>
              <w:pStyle w:val="43"/>
            </w:pPr>
            <w:r>
              <w:rPr>
                <w:rFonts w:hint="eastAsia"/>
              </w:rPr>
              <w:t>时段</w:t>
            </w:r>
          </w:p>
        </w:tc>
        <w:tc>
          <w:tcPr>
            <w:tcW w:w="394" w:type="pct"/>
            <w:vMerge w:val="restart"/>
            <w:shd w:val="clear" w:color="auto" w:fill="auto"/>
            <w:vAlign w:val="center"/>
          </w:tcPr>
          <w:p>
            <w:pPr>
              <w:pStyle w:val="43"/>
            </w:pPr>
            <w:r>
              <w:rPr>
                <w:rFonts w:hint="eastAsia"/>
              </w:rPr>
              <w:t>均值</w:t>
            </w:r>
          </w:p>
        </w:tc>
        <w:tc>
          <w:tcPr>
            <w:tcW w:w="3830" w:type="pct"/>
            <w:gridSpan w:val="7"/>
            <w:shd w:val="clear" w:color="auto" w:fill="auto"/>
            <w:vAlign w:val="center"/>
          </w:tcPr>
          <w:p>
            <w:pPr>
              <w:pStyle w:val="43"/>
            </w:pPr>
            <w:r>
              <w:rPr>
                <w:rFonts w:hint="eastAsia"/>
              </w:rPr>
              <w:t>各频率设计值</w:t>
            </w:r>
            <w:r>
              <w:t>Xp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76" w:type="pct"/>
            <w:vMerge w:val="continue"/>
            <w:vAlign w:val="center"/>
          </w:tcPr>
          <w:p>
            <w:pPr>
              <w:pStyle w:val="43"/>
            </w:pPr>
          </w:p>
        </w:tc>
        <w:tc>
          <w:tcPr>
            <w:tcW w:w="394" w:type="pct"/>
            <w:vMerge w:val="continue"/>
            <w:vAlign w:val="center"/>
          </w:tcPr>
          <w:p>
            <w:pPr>
              <w:pStyle w:val="43"/>
            </w:pPr>
          </w:p>
        </w:tc>
        <w:tc>
          <w:tcPr>
            <w:tcW w:w="546" w:type="pct"/>
            <w:shd w:val="clear" w:color="auto" w:fill="auto"/>
            <w:vAlign w:val="center"/>
          </w:tcPr>
          <w:p>
            <w:pPr>
              <w:pStyle w:val="43"/>
              <w:rPr>
                <w:rFonts w:eastAsia="等线"/>
              </w:rPr>
            </w:pPr>
            <w:r>
              <w:rPr>
                <w:rFonts w:eastAsia="等线"/>
              </w:rPr>
              <w:t>p=5%</w:t>
            </w:r>
          </w:p>
        </w:tc>
        <w:tc>
          <w:tcPr>
            <w:tcW w:w="547" w:type="pct"/>
            <w:shd w:val="clear" w:color="auto" w:fill="auto"/>
            <w:vAlign w:val="center"/>
          </w:tcPr>
          <w:p>
            <w:pPr>
              <w:pStyle w:val="43"/>
              <w:rPr>
                <w:rFonts w:eastAsia="等线"/>
              </w:rPr>
            </w:pPr>
            <w:r>
              <w:rPr>
                <w:rFonts w:eastAsia="等线"/>
              </w:rPr>
              <w:t>p=20%</w:t>
            </w:r>
          </w:p>
        </w:tc>
        <w:tc>
          <w:tcPr>
            <w:tcW w:w="547" w:type="pct"/>
            <w:shd w:val="clear" w:color="auto" w:fill="auto"/>
            <w:vAlign w:val="center"/>
          </w:tcPr>
          <w:p>
            <w:pPr>
              <w:pStyle w:val="43"/>
              <w:rPr>
                <w:rFonts w:eastAsia="等线"/>
              </w:rPr>
            </w:pPr>
            <w:r>
              <w:rPr>
                <w:rFonts w:eastAsia="等线"/>
              </w:rPr>
              <w:t>p=30%</w:t>
            </w:r>
          </w:p>
        </w:tc>
        <w:tc>
          <w:tcPr>
            <w:tcW w:w="547" w:type="pct"/>
            <w:shd w:val="clear" w:color="auto" w:fill="auto"/>
            <w:vAlign w:val="center"/>
          </w:tcPr>
          <w:p>
            <w:pPr>
              <w:pStyle w:val="43"/>
              <w:rPr>
                <w:rFonts w:eastAsia="等线"/>
              </w:rPr>
            </w:pPr>
            <w:r>
              <w:rPr>
                <w:rFonts w:eastAsia="等线"/>
              </w:rPr>
              <w:t>p=50%</w:t>
            </w:r>
          </w:p>
        </w:tc>
        <w:tc>
          <w:tcPr>
            <w:tcW w:w="547" w:type="pct"/>
            <w:shd w:val="clear" w:color="auto" w:fill="auto"/>
            <w:vAlign w:val="center"/>
          </w:tcPr>
          <w:p>
            <w:pPr>
              <w:pStyle w:val="43"/>
              <w:rPr>
                <w:rFonts w:eastAsia="等线"/>
              </w:rPr>
            </w:pPr>
            <w:r>
              <w:rPr>
                <w:rFonts w:eastAsia="等线"/>
              </w:rPr>
              <w:t>p=70%</w:t>
            </w:r>
          </w:p>
        </w:tc>
        <w:tc>
          <w:tcPr>
            <w:tcW w:w="547" w:type="pct"/>
            <w:shd w:val="clear" w:color="auto" w:fill="auto"/>
            <w:vAlign w:val="center"/>
          </w:tcPr>
          <w:p>
            <w:pPr>
              <w:pStyle w:val="43"/>
              <w:rPr>
                <w:rFonts w:eastAsia="等线"/>
              </w:rPr>
            </w:pPr>
            <w:r>
              <w:rPr>
                <w:rFonts w:eastAsia="等线"/>
              </w:rPr>
              <w:t>p=75%</w:t>
            </w:r>
          </w:p>
        </w:tc>
        <w:tc>
          <w:tcPr>
            <w:tcW w:w="549" w:type="pct"/>
            <w:shd w:val="clear" w:color="auto" w:fill="auto"/>
            <w:vAlign w:val="center"/>
          </w:tcPr>
          <w:p>
            <w:pPr>
              <w:pStyle w:val="43"/>
              <w:rPr>
                <w:rFonts w:eastAsia="等线"/>
              </w:rPr>
            </w:pPr>
            <w:r>
              <w:rPr>
                <w:rFonts w:eastAsia="等线"/>
              </w:rPr>
              <w:t>p=95%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76" w:type="pct"/>
            <w:shd w:val="clear" w:color="auto" w:fill="auto"/>
            <w:vAlign w:val="center"/>
          </w:tcPr>
          <w:p>
            <w:pPr>
              <w:pStyle w:val="43"/>
            </w:pPr>
            <w:r>
              <w:rPr>
                <w:rFonts w:hint="eastAsia"/>
              </w:rPr>
              <w:t>水利年</w:t>
            </w:r>
          </w:p>
        </w:tc>
        <w:tc>
          <w:tcPr>
            <w:tcW w:w="394" w:type="pct"/>
            <w:shd w:val="clear" w:color="auto" w:fill="auto"/>
            <w:vAlign w:val="center"/>
          </w:tcPr>
          <w:p>
            <w:pPr>
              <w:pStyle w:val="43"/>
              <w:rPr>
                <w:rFonts w:eastAsia="等线"/>
              </w:rPr>
            </w:pPr>
            <w:r>
              <w:rPr>
                <w:rFonts w:eastAsia="等线"/>
              </w:rPr>
              <w:t>22.7</w:t>
            </w:r>
          </w:p>
        </w:tc>
        <w:tc>
          <w:tcPr>
            <w:tcW w:w="546" w:type="pct"/>
            <w:shd w:val="clear" w:color="auto" w:fill="auto"/>
            <w:vAlign w:val="center"/>
          </w:tcPr>
          <w:p>
            <w:pPr>
              <w:pStyle w:val="43"/>
              <w:rPr>
                <w:rFonts w:eastAsia="等线"/>
              </w:rPr>
            </w:pPr>
            <w:r>
              <w:rPr>
                <w:rFonts w:eastAsia="等线"/>
              </w:rPr>
              <w:t>42.5</w:t>
            </w:r>
          </w:p>
        </w:tc>
        <w:tc>
          <w:tcPr>
            <w:tcW w:w="547" w:type="pct"/>
            <w:shd w:val="clear" w:color="auto" w:fill="auto"/>
            <w:vAlign w:val="center"/>
          </w:tcPr>
          <w:p>
            <w:pPr>
              <w:pStyle w:val="43"/>
              <w:rPr>
                <w:rFonts w:eastAsia="等线"/>
              </w:rPr>
            </w:pPr>
            <w:r>
              <w:rPr>
                <w:rFonts w:eastAsia="等线"/>
              </w:rPr>
              <w:t>30.0</w:t>
            </w:r>
          </w:p>
        </w:tc>
        <w:tc>
          <w:tcPr>
            <w:tcW w:w="547" w:type="pct"/>
            <w:shd w:val="clear" w:color="auto" w:fill="auto"/>
            <w:vAlign w:val="center"/>
          </w:tcPr>
          <w:p>
            <w:pPr>
              <w:pStyle w:val="43"/>
              <w:rPr>
                <w:rFonts w:eastAsia="等线"/>
              </w:rPr>
            </w:pPr>
            <w:r>
              <w:rPr>
                <w:rFonts w:eastAsia="等线"/>
              </w:rPr>
              <w:t>26.0</w:t>
            </w:r>
          </w:p>
        </w:tc>
        <w:tc>
          <w:tcPr>
            <w:tcW w:w="547" w:type="pct"/>
            <w:shd w:val="clear" w:color="auto" w:fill="auto"/>
            <w:vAlign w:val="center"/>
          </w:tcPr>
          <w:p>
            <w:pPr>
              <w:pStyle w:val="43"/>
              <w:rPr>
                <w:rFonts w:eastAsia="等线"/>
              </w:rPr>
            </w:pPr>
            <w:r>
              <w:rPr>
                <w:rFonts w:eastAsia="等线"/>
              </w:rPr>
              <w:t>20.5</w:t>
            </w:r>
          </w:p>
        </w:tc>
        <w:tc>
          <w:tcPr>
            <w:tcW w:w="547" w:type="pct"/>
            <w:shd w:val="clear" w:color="auto" w:fill="auto"/>
            <w:vAlign w:val="center"/>
          </w:tcPr>
          <w:p>
            <w:pPr>
              <w:pStyle w:val="43"/>
              <w:rPr>
                <w:rFonts w:eastAsia="等线"/>
              </w:rPr>
            </w:pPr>
            <w:r>
              <w:rPr>
                <w:rFonts w:eastAsia="等线"/>
              </w:rPr>
              <w:t>16.2</w:t>
            </w:r>
          </w:p>
        </w:tc>
        <w:tc>
          <w:tcPr>
            <w:tcW w:w="547" w:type="pct"/>
            <w:shd w:val="clear" w:color="auto" w:fill="auto"/>
            <w:vAlign w:val="center"/>
          </w:tcPr>
          <w:p>
            <w:pPr>
              <w:pStyle w:val="43"/>
              <w:rPr>
                <w:rFonts w:eastAsia="等线"/>
              </w:rPr>
            </w:pPr>
            <w:r>
              <w:rPr>
                <w:rFonts w:eastAsia="等线"/>
              </w:rPr>
              <w:t>15.2</w:t>
            </w:r>
          </w:p>
        </w:tc>
        <w:tc>
          <w:tcPr>
            <w:tcW w:w="549" w:type="pct"/>
            <w:shd w:val="clear" w:color="auto" w:fill="auto"/>
            <w:vAlign w:val="center"/>
          </w:tcPr>
          <w:p>
            <w:pPr>
              <w:pStyle w:val="43"/>
              <w:rPr>
                <w:rFonts w:eastAsia="等线"/>
              </w:rPr>
            </w:pPr>
            <w:r>
              <w:rPr>
                <w:rFonts w:eastAsia="等线"/>
              </w:rPr>
              <w:t>10.61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776" w:type="pct"/>
            <w:shd w:val="clear" w:color="auto" w:fill="auto"/>
            <w:vAlign w:val="center"/>
          </w:tcPr>
          <w:p>
            <w:pPr>
              <w:pStyle w:val="43"/>
            </w:pPr>
            <w:r>
              <w:rPr>
                <w:rFonts w:hint="eastAsia"/>
              </w:rPr>
              <w:t>枯期</w:t>
            </w:r>
            <w:r>
              <w:t>12-3</w:t>
            </w:r>
            <w:r>
              <w:rPr>
                <w:rFonts w:hint="eastAsia"/>
              </w:rPr>
              <w:t>月</w:t>
            </w:r>
          </w:p>
        </w:tc>
        <w:tc>
          <w:tcPr>
            <w:tcW w:w="394" w:type="pct"/>
            <w:shd w:val="clear" w:color="auto" w:fill="auto"/>
            <w:vAlign w:val="center"/>
          </w:tcPr>
          <w:p>
            <w:pPr>
              <w:pStyle w:val="43"/>
              <w:rPr>
                <w:rFonts w:eastAsia="等线"/>
              </w:rPr>
            </w:pPr>
            <w:r>
              <w:rPr>
                <w:rFonts w:eastAsia="等线"/>
              </w:rPr>
              <w:t>5.13</w:t>
            </w:r>
          </w:p>
        </w:tc>
        <w:tc>
          <w:tcPr>
            <w:tcW w:w="546" w:type="pct"/>
            <w:shd w:val="clear" w:color="auto" w:fill="auto"/>
            <w:vAlign w:val="center"/>
          </w:tcPr>
          <w:p>
            <w:pPr>
              <w:pStyle w:val="43"/>
              <w:rPr>
                <w:rFonts w:eastAsia="等线"/>
              </w:rPr>
            </w:pPr>
            <w:r>
              <w:rPr>
                <w:rFonts w:eastAsia="等线"/>
              </w:rPr>
              <w:t>8.48</w:t>
            </w:r>
          </w:p>
        </w:tc>
        <w:tc>
          <w:tcPr>
            <w:tcW w:w="547" w:type="pct"/>
            <w:shd w:val="clear" w:color="auto" w:fill="auto"/>
            <w:vAlign w:val="center"/>
          </w:tcPr>
          <w:p>
            <w:pPr>
              <w:pStyle w:val="43"/>
              <w:rPr>
                <w:rFonts w:eastAsia="等线"/>
              </w:rPr>
            </w:pPr>
            <w:r>
              <w:rPr>
                <w:rFonts w:eastAsia="等线"/>
              </w:rPr>
              <w:t>6.17</w:t>
            </w:r>
          </w:p>
        </w:tc>
        <w:tc>
          <w:tcPr>
            <w:tcW w:w="547" w:type="pct"/>
            <w:shd w:val="clear" w:color="auto" w:fill="auto"/>
            <w:vAlign w:val="center"/>
          </w:tcPr>
          <w:p>
            <w:pPr>
              <w:pStyle w:val="43"/>
              <w:rPr>
                <w:rFonts w:eastAsia="等线"/>
              </w:rPr>
            </w:pPr>
            <w:r>
              <w:rPr>
                <w:rFonts w:eastAsia="等线"/>
              </w:rPr>
              <w:t>5.87</w:t>
            </w:r>
          </w:p>
        </w:tc>
        <w:tc>
          <w:tcPr>
            <w:tcW w:w="547" w:type="pct"/>
            <w:shd w:val="clear" w:color="auto" w:fill="auto"/>
            <w:vAlign w:val="center"/>
          </w:tcPr>
          <w:p>
            <w:pPr>
              <w:pStyle w:val="43"/>
              <w:rPr>
                <w:rFonts w:eastAsia="等线"/>
              </w:rPr>
            </w:pPr>
            <w:r>
              <w:rPr>
                <w:rFonts w:eastAsia="等线"/>
              </w:rPr>
              <w:t>4.87</w:t>
            </w:r>
          </w:p>
        </w:tc>
        <w:tc>
          <w:tcPr>
            <w:tcW w:w="547" w:type="pct"/>
            <w:shd w:val="clear" w:color="auto" w:fill="auto"/>
            <w:vAlign w:val="center"/>
          </w:tcPr>
          <w:p>
            <w:pPr>
              <w:pStyle w:val="43"/>
              <w:rPr>
                <w:rFonts w:eastAsia="等线"/>
              </w:rPr>
            </w:pPr>
            <w:r>
              <w:rPr>
                <w:rFonts w:eastAsia="等线"/>
              </w:rPr>
              <w:t>4.03</w:t>
            </w:r>
          </w:p>
        </w:tc>
        <w:tc>
          <w:tcPr>
            <w:tcW w:w="547" w:type="pct"/>
            <w:shd w:val="clear" w:color="auto" w:fill="auto"/>
            <w:vAlign w:val="center"/>
          </w:tcPr>
          <w:p>
            <w:pPr>
              <w:pStyle w:val="43"/>
              <w:rPr>
                <w:rFonts w:eastAsia="等线"/>
              </w:rPr>
            </w:pPr>
            <w:r>
              <w:rPr>
                <w:rFonts w:eastAsia="等线"/>
              </w:rPr>
              <w:t>3.82</w:t>
            </w:r>
          </w:p>
        </w:tc>
        <w:tc>
          <w:tcPr>
            <w:tcW w:w="549" w:type="pct"/>
            <w:shd w:val="clear" w:color="auto" w:fill="auto"/>
            <w:vAlign w:val="center"/>
          </w:tcPr>
          <w:p>
            <w:pPr>
              <w:pStyle w:val="43"/>
              <w:rPr>
                <w:rFonts w:eastAsia="等线"/>
              </w:rPr>
            </w:pPr>
            <w:r>
              <w:rPr>
                <w:rFonts w:eastAsia="等线"/>
              </w:rPr>
              <w:t>2.69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776" w:type="pct"/>
            <w:shd w:val="clear" w:color="auto" w:fill="auto"/>
            <w:vAlign w:val="center"/>
          </w:tcPr>
          <w:p>
            <w:pPr>
              <w:pStyle w:val="43"/>
            </w:pPr>
            <w:r>
              <w:rPr>
                <w:rFonts w:hint="eastAsia"/>
              </w:rPr>
              <w:t>汛前过渡期</w:t>
            </w:r>
            <w:r>
              <w:t>4</w:t>
            </w:r>
            <w:r>
              <w:rPr>
                <w:rFonts w:hint="eastAsia"/>
              </w:rPr>
              <w:t>月</w:t>
            </w:r>
          </w:p>
        </w:tc>
        <w:tc>
          <w:tcPr>
            <w:tcW w:w="394" w:type="pct"/>
            <w:shd w:val="clear" w:color="auto" w:fill="auto"/>
            <w:vAlign w:val="center"/>
          </w:tcPr>
          <w:p>
            <w:pPr>
              <w:pStyle w:val="43"/>
              <w:rPr>
                <w:rFonts w:eastAsia="等线"/>
              </w:rPr>
            </w:pPr>
            <w:r>
              <w:rPr>
                <w:rFonts w:eastAsia="等线"/>
              </w:rPr>
              <w:t>14.8</w:t>
            </w:r>
          </w:p>
        </w:tc>
        <w:tc>
          <w:tcPr>
            <w:tcW w:w="546" w:type="pct"/>
            <w:shd w:val="clear" w:color="auto" w:fill="auto"/>
            <w:vAlign w:val="center"/>
          </w:tcPr>
          <w:p>
            <w:pPr>
              <w:pStyle w:val="43"/>
              <w:rPr>
                <w:rFonts w:eastAsia="等线"/>
              </w:rPr>
            </w:pPr>
            <w:r>
              <w:rPr>
                <w:rFonts w:eastAsia="等线"/>
              </w:rPr>
              <w:t>31.7</w:t>
            </w:r>
          </w:p>
        </w:tc>
        <w:tc>
          <w:tcPr>
            <w:tcW w:w="547" w:type="pct"/>
            <w:shd w:val="clear" w:color="auto" w:fill="auto"/>
            <w:vAlign w:val="center"/>
          </w:tcPr>
          <w:p>
            <w:pPr>
              <w:pStyle w:val="43"/>
              <w:rPr>
                <w:rFonts w:eastAsia="等线"/>
              </w:rPr>
            </w:pPr>
            <w:r>
              <w:rPr>
                <w:rFonts w:eastAsia="等线"/>
              </w:rPr>
              <w:t>19.4</w:t>
            </w:r>
          </w:p>
        </w:tc>
        <w:tc>
          <w:tcPr>
            <w:tcW w:w="547" w:type="pct"/>
            <w:shd w:val="clear" w:color="auto" w:fill="auto"/>
            <w:vAlign w:val="center"/>
          </w:tcPr>
          <w:p>
            <w:pPr>
              <w:pStyle w:val="43"/>
              <w:rPr>
                <w:rFonts w:eastAsia="等线"/>
              </w:rPr>
            </w:pPr>
            <w:r>
              <w:rPr>
                <w:rFonts w:eastAsia="等线"/>
              </w:rPr>
              <w:t>17.9</w:t>
            </w:r>
          </w:p>
        </w:tc>
        <w:tc>
          <w:tcPr>
            <w:tcW w:w="547" w:type="pct"/>
            <w:shd w:val="clear" w:color="auto" w:fill="auto"/>
            <w:vAlign w:val="center"/>
          </w:tcPr>
          <w:p>
            <w:pPr>
              <w:pStyle w:val="43"/>
              <w:rPr>
                <w:rFonts w:eastAsia="等线"/>
              </w:rPr>
            </w:pPr>
            <w:r>
              <w:rPr>
                <w:rFonts w:eastAsia="等线"/>
              </w:rPr>
              <w:t>13.0</w:t>
            </w:r>
          </w:p>
        </w:tc>
        <w:tc>
          <w:tcPr>
            <w:tcW w:w="547" w:type="pct"/>
            <w:shd w:val="clear" w:color="auto" w:fill="auto"/>
            <w:vAlign w:val="center"/>
          </w:tcPr>
          <w:p>
            <w:pPr>
              <w:pStyle w:val="43"/>
              <w:rPr>
                <w:rFonts w:eastAsia="等线"/>
              </w:rPr>
            </w:pPr>
            <w:r>
              <w:rPr>
                <w:rFonts w:eastAsia="等线"/>
              </w:rPr>
              <w:t>9.2</w:t>
            </w:r>
          </w:p>
        </w:tc>
        <w:tc>
          <w:tcPr>
            <w:tcW w:w="547" w:type="pct"/>
            <w:shd w:val="clear" w:color="auto" w:fill="auto"/>
            <w:vAlign w:val="center"/>
          </w:tcPr>
          <w:p>
            <w:pPr>
              <w:pStyle w:val="43"/>
              <w:rPr>
                <w:rFonts w:eastAsia="等线"/>
              </w:rPr>
            </w:pPr>
            <w:r>
              <w:rPr>
                <w:rFonts w:eastAsia="等线"/>
              </w:rPr>
              <w:t>8.3</w:t>
            </w:r>
          </w:p>
        </w:tc>
        <w:tc>
          <w:tcPr>
            <w:tcW w:w="549" w:type="pct"/>
            <w:shd w:val="clear" w:color="auto" w:fill="auto"/>
            <w:vAlign w:val="center"/>
          </w:tcPr>
          <w:p>
            <w:pPr>
              <w:pStyle w:val="43"/>
              <w:rPr>
                <w:rFonts w:eastAsia="等线"/>
              </w:rPr>
            </w:pPr>
            <w:r>
              <w:rPr>
                <w:rFonts w:eastAsia="等线"/>
              </w:rPr>
              <w:t>3.76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776" w:type="pct"/>
            <w:shd w:val="clear" w:color="auto" w:fill="auto"/>
            <w:vAlign w:val="center"/>
          </w:tcPr>
          <w:p>
            <w:pPr>
              <w:pStyle w:val="43"/>
            </w:pPr>
            <w:r>
              <w:rPr>
                <w:rFonts w:hint="eastAsia"/>
              </w:rPr>
              <w:t>汛后过渡期</w:t>
            </w:r>
            <w:r>
              <w:t>11</w:t>
            </w:r>
            <w:r>
              <w:rPr>
                <w:rFonts w:hint="eastAsia"/>
              </w:rPr>
              <w:t>月</w:t>
            </w:r>
          </w:p>
        </w:tc>
        <w:tc>
          <w:tcPr>
            <w:tcW w:w="394" w:type="pct"/>
            <w:shd w:val="clear" w:color="auto" w:fill="auto"/>
            <w:vAlign w:val="center"/>
          </w:tcPr>
          <w:p>
            <w:pPr>
              <w:pStyle w:val="43"/>
              <w:rPr>
                <w:rFonts w:eastAsia="等线"/>
              </w:rPr>
            </w:pPr>
            <w:r>
              <w:rPr>
                <w:rFonts w:eastAsia="等线"/>
              </w:rPr>
              <w:t>11.8</w:t>
            </w:r>
          </w:p>
        </w:tc>
        <w:tc>
          <w:tcPr>
            <w:tcW w:w="546" w:type="pct"/>
            <w:shd w:val="clear" w:color="auto" w:fill="auto"/>
            <w:vAlign w:val="center"/>
          </w:tcPr>
          <w:p>
            <w:pPr>
              <w:pStyle w:val="43"/>
              <w:rPr>
                <w:rFonts w:eastAsia="等线"/>
              </w:rPr>
            </w:pPr>
            <w:r>
              <w:rPr>
                <w:rFonts w:eastAsia="等线"/>
              </w:rPr>
              <w:t>28.3</w:t>
            </w:r>
          </w:p>
        </w:tc>
        <w:tc>
          <w:tcPr>
            <w:tcW w:w="547" w:type="pct"/>
            <w:shd w:val="clear" w:color="auto" w:fill="auto"/>
            <w:vAlign w:val="center"/>
          </w:tcPr>
          <w:p>
            <w:pPr>
              <w:pStyle w:val="43"/>
              <w:rPr>
                <w:rFonts w:eastAsia="等线"/>
              </w:rPr>
            </w:pPr>
            <w:r>
              <w:rPr>
                <w:rFonts w:eastAsia="等线"/>
              </w:rPr>
              <w:t>14.8</w:t>
            </w:r>
          </w:p>
        </w:tc>
        <w:tc>
          <w:tcPr>
            <w:tcW w:w="547" w:type="pct"/>
            <w:shd w:val="clear" w:color="auto" w:fill="auto"/>
            <w:vAlign w:val="center"/>
          </w:tcPr>
          <w:p>
            <w:pPr>
              <w:pStyle w:val="43"/>
              <w:rPr>
                <w:rFonts w:eastAsia="等线"/>
              </w:rPr>
            </w:pPr>
            <w:r>
              <w:rPr>
                <w:rFonts w:eastAsia="等线"/>
              </w:rPr>
              <w:t>13.3</w:t>
            </w:r>
          </w:p>
        </w:tc>
        <w:tc>
          <w:tcPr>
            <w:tcW w:w="547" w:type="pct"/>
            <w:shd w:val="clear" w:color="auto" w:fill="auto"/>
            <w:vAlign w:val="center"/>
          </w:tcPr>
          <w:p>
            <w:pPr>
              <w:pStyle w:val="43"/>
              <w:rPr>
                <w:rFonts w:eastAsia="等线"/>
              </w:rPr>
            </w:pPr>
            <w:r>
              <w:rPr>
                <w:rFonts w:eastAsia="等线"/>
              </w:rPr>
              <w:t>9.2</w:t>
            </w:r>
          </w:p>
        </w:tc>
        <w:tc>
          <w:tcPr>
            <w:tcW w:w="547" w:type="pct"/>
            <w:shd w:val="clear" w:color="auto" w:fill="auto"/>
            <w:vAlign w:val="center"/>
          </w:tcPr>
          <w:p>
            <w:pPr>
              <w:pStyle w:val="43"/>
              <w:rPr>
                <w:rFonts w:eastAsia="等线"/>
              </w:rPr>
            </w:pPr>
            <w:r>
              <w:rPr>
                <w:rFonts w:eastAsia="等线"/>
              </w:rPr>
              <w:t>6.5</w:t>
            </w:r>
          </w:p>
        </w:tc>
        <w:tc>
          <w:tcPr>
            <w:tcW w:w="547" w:type="pct"/>
            <w:shd w:val="clear" w:color="auto" w:fill="auto"/>
            <w:vAlign w:val="center"/>
          </w:tcPr>
          <w:p>
            <w:pPr>
              <w:pStyle w:val="43"/>
              <w:rPr>
                <w:rFonts w:eastAsia="等线"/>
              </w:rPr>
            </w:pPr>
            <w:r>
              <w:rPr>
                <w:rFonts w:eastAsia="等线"/>
              </w:rPr>
              <w:t>6.0</w:t>
            </w:r>
          </w:p>
        </w:tc>
        <w:tc>
          <w:tcPr>
            <w:tcW w:w="549" w:type="pct"/>
            <w:shd w:val="clear" w:color="auto" w:fill="auto"/>
            <w:vAlign w:val="center"/>
          </w:tcPr>
          <w:p>
            <w:pPr>
              <w:pStyle w:val="43"/>
              <w:rPr>
                <w:rFonts w:eastAsia="等线"/>
              </w:rPr>
            </w:pPr>
            <w:r>
              <w:rPr>
                <w:rFonts w:eastAsia="等线"/>
              </w:rPr>
              <w:t>4.24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76" w:type="pct"/>
            <w:shd w:val="clear" w:color="auto" w:fill="auto"/>
            <w:vAlign w:val="center"/>
          </w:tcPr>
          <w:p>
            <w:pPr>
              <w:pStyle w:val="43"/>
            </w:pPr>
            <w:r>
              <w:rPr>
                <w:rFonts w:hint="eastAsia"/>
              </w:rPr>
              <w:t>最枯期</w:t>
            </w:r>
            <w:r>
              <w:t>2</w:t>
            </w:r>
            <w:r>
              <w:rPr>
                <w:rFonts w:hint="eastAsia"/>
              </w:rPr>
              <w:t>月</w:t>
            </w:r>
          </w:p>
        </w:tc>
        <w:tc>
          <w:tcPr>
            <w:tcW w:w="394" w:type="pct"/>
            <w:shd w:val="clear" w:color="auto" w:fill="auto"/>
            <w:vAlign w:val="center"/>
          </w:tcPr>
          <w:p>
            <w:pPr>
              <w:pStyle w:val="43"/>
              <w:rPr>
                <w:rFonts w:eastAsia="等线"/>
              </w:rPr>
            </w:pPr>
            <w:r>
              <w:rPr>
                <w:rFonts w:eastAsia="等线"/>
              </w:rPr>
              <w:t>3.87</w:t>
            </w:r>
          </w:p>
        </w:tc>
        <w:tc>
          <w:tcPr>
            <w:tcW w:w="546" w:type="pct"/>
            <w:shd w:val="clear" w:color="auto" w:fill="auto"/>
            <w:vAlign w:val="center"/>
          </w:tcPr>
          <w:p>
            <w:pPr>
              <w:pStyle w:val="43"/>
              <w:rPr>
                <w:rFonts w:eastAsia="等线"/>
              </w:rPr>
            </w:pPr>
            <w:r>
              <w:rPr>
                <w:rFonts w:eastAsia="等线"/>
              </w:rPr>
              <w:t>6.39</w:t>
            </w:r>
          </w:p>
        </w:tc>
        <w:tc>
          <w:tcPr>
            <w:tcW w:w="547" w:type="pct"/>
            <w:shd w:val="clear" w:color="auto" w:fill="auto"/>
            <w:vAlign w:val="center"/>
          </w:tcPr>
          <w:p>
            <w:pPr>
              <w:pStyle w:val="43"/>
              <w:rPr>
                <w:rFonts w:eastAsia="等线"/>
              </w:rPr>
            </w:pPr>
            <w:r>
              <w:rPr>
                <w:rFonts w:eastAsia="等线"/>
              </w:rPr>
              <w:t>4.65</w:t>
            </w:r>
          </w:p>
        </w:tc>
        <w:tc>
          <w:tcPr>
            <w:tcW w:w="547" w:type="pct"/>
            <w:shd w:val="clear" w:color="auto" w:fill="auto"/>
            <w:vAlign w:val="center"/>
          </w:tcPr>
          <w:p>
            <w:pPr>
              <w:pStyle w:val="43"/>
              <w:rPr>
                <w:rFonts w:eastAsia="等线"/>
              </w:rPr>
            </w:pPr>
            <w:r>
              <w:rPr>
                <w:rFonts w:eastAsia="等线"/>
              </w:rPr>
              <w:t>4.39</w:t>
            </w:r>
          </w:p>
        </w:tc>
        <w:tc>
          <w:tcPr>
            <w:tcW w:w="547" w:type="pct"/>
            <w:shd w:val="clear" w:color="auto" w:fill="auto"/>
            <w:vAlign w:val="center"/>
          </w:tcPr>
          <w:p>
            <w:pPr>
              <w:pStyle w:val="43"/>
              <w:rPr>
                <w:rFonts w:eastAsia="等线"/>
              </w:rPr>
            </w:pPr>
            <w:r>
              <w:rPr>
                <w:rFonts w:eastAsia="等线"/>
              </w:rPr>
              <w:t>3.67</w:t>
            </w:r>
          </w:p>
        </w:tc>
        <w:tc>
          <w:tcPr>
            <w:tcW w:w="547" w:type="pct"/>
            <w:shd w:val="clear" w:color="auto" w:fill="auto"/>
            <w:vAlign w:val="center"/>
          </w:tcPr>
          <w:p>
            <w:pPr>
              <w:pStyle w:val="43"/>
              <w:rPr>
                <w:rFonts w:eastAsia="等线"/>
              </w:rPr>
            </w:pPr>
            <w:r>
              <w:rPr>
                <w:rFonts w:eastAsia="等线"/>
              </w:rPr>
              <w:t>3.04</w:t>
            </w:r>
          </w:p>
        </w:tc>
        <w:tc>
          <w:tcPr>
            <w:tcW w:w="547" w:type="pct"/>
            <w:shd w:val="clear" w:color="auto" w:fill="auto"/>
            <w:vAlign w:val="center"/>
          </w:tcPr>
          <w:p>
            <w:pPr>
              <w:pStyle w:val="43"/>
              <w:rPr>
                <w:rFonts w:eastAsia="等线"/>
              </w:rPr>
            </w:pPr>
            <w:r>
              <w:rPr>
                <w:rFonts w:eastAsia="等线"/>
              </w:rPr>
              <w:t>2.88</w:t>
            </w:r>
          </w:p>
        </w:tc>
        <w:tc>
          <w:tcPr>
            <w:tcW w:w="549" w:type="pct"/>
            <w:shd w:val="clear" w:color="auto" w:fill="auto"/>
            <w:vAlign w:val="center"/>
          </w:tcPr>
          <w:p>
            <w:pPr>
              <w:pStyle w:val="43"/>
              <w:rPr>
                <w:rFonts w:eastAsia="等线"/>
              </w:rPr>
            </w:pPr>
            <w:r>
              <w:rPr>
                <w:rFonts w:eastAsia="等线"/>
              </w:rPr>
              <w:t>2.02</w:t>
            </w:r>
          </w:p>
        </w:tc>
      </w:tr>
    </w:tbl>
    <w:p>
      <w:pPr>
        <w:ind w:firstLine="480"/>
      </w:pPr>
      <w:bookmarkStart w:id="29" w:name="_Toc80719365"/>
    </w:p>
    <w:p>
      <w:pPr>
        <w:pStyle w:val="4"/>
        <w:ind w:left="240"/>
      </w:pPr>
      <w:bookmarkStart w:id="30" w:name="_Toc86049145"/>
      <w:r>
        <w:rPr>
          <w:rFonts w:hint="eastAsia"/>
        </w:rPr>
        <w:t>泥沙</w:t>
      </w:r>
      <w:bookmarkEnd w:id="30"/>
    </w:p>
    <w:p>
      <w:pPr>
        <w:ind w:firstLine="480"/>
      </w:pPr>
      <w:r>
        <w:rPr>
          <w:rFonts w:hint="eastAsia"/>
        </w:rPr>
        <w:t>（1）泥沙来源及特性</w:t>
      </w:r>
    </w:p>
    <w:p>
      <w:pPr>
        <w:ind w:firstLine="480"/>
      </w:pPr>
      <w:r>
        <w:rPr>
          <w:rFonts w:hint="eastAsia"/>
        </w:rPr>
        <w:t>盐井河</w:t>
      </w:r>
      <w:r>
        <w:t>发源于</w:t>
      </w:r>
      <w:r>
        <w:rPr>
          <w:rFonts w:hint="eastAsia"/>
        </w:rPr>
        <w:t>陕西宁强县黎坪场</w:t>
      </w:r>
      <w:r>
        <w:t>，上游</w:t>
      </w:r>
      <w:r>
        <w:rPr>
          <w:rFonts w:hint="eastAsia"/>
        </w:rPr>
        <w:t>宁强县境内</w:t>
      </w:r>
      <w:r>
        <w:t>多为中低山地形，海拔一般1000～1500m，</w:t>
      </w:r>
      <w:r>
        <w:rPr>
          <w:rFonts w:hint="eastAsia"/>
        </w:rPr>
        <w:t>河谷两岸阶地发育</w:t>
      </w:r>
      <w:r>
        <w:t>，</w:t>
      </w:r>
      <w:r>
        <w:rPr>
          <w:rFonts w:hint="eastAsia"/>
        </w:rPr>
        <w:t>多开垦为梯田种植庄稼，河床</w:t>
      </w:r>
      <w:r>
        <w:t>岩石以石英石、沙岩为主，岩石破碎，河流纵比降大，植被较差，加之又处于米仓山暴雨区边缘，夏季常发生暴雨，水土流失较为严重。</w:t>
      </w:r>
      <w:r>
        <w:rPr>
          <w:rFonts w:hint="eastAsia"/>
        </w:rPr>
        <w:t>旺苍县境内河段两岸切割较深，多为峡谷，植被覆盖度较高，达4</w:t>
      </w:r>
      <w:r>
        <w:t>5</w:t>
      </w:r>
      <w:r>
        <w:rPr>
          <w:rFonts w:hint="eastAsia"/>
        </w:rPr>
        <w:t>%，河岸开垦程度低于宁强县河段，水土流失程度较低。</w:t>
      </w:r>
    </w:p>
    <w:p>
      <w:pPr>
        <w:ind w:firstLine="480"/>
      </w:pPr>
      <w:r>
        <w:rPr>
          <w:rFonts w:hint="eastAsia"/>
        </w:rPr>
        <w:t>（2）悬移质泥沙</w:t>
      </w:r>
    </w:p>
    <w:p>
      <w:pPr>
        <w:ind w:firstLine="480"/>
      </w:pPr>
      <w:r>
        <w:t>旺苍水文站以上流域面积2701km</w:t>
      </w:r>
      <w:r>
        <w:rPr>
          <w:vertAlign w:val="superscript"/>
        </w:rPr>
        <w:t>2</w:t>
      </w:r>
      <w:r>
        <w:t>，占东河流域的52%，平均侵蚀模数达504t/km</w:t>
      </w:r>
      <w:r>
        <w:rPr>
          <w:vertAlign w:val="superscript"/>
        </w:rPr>
        <w:t>2</w:t>
      </w:r>
      <w:r>
        <w:t>，是东河流域的主要产沙区。根据旺苍水文站站1966～1967年、1973～2001年泥沙资料统计分析，多年平均含沙量0.563kg/m</w:t>
      </w:r>
      <w:r>
        <w:rPr>
          <w:rFonts w:cs="Times New Roman"/>
          <w:vertAlign w:val="superscript"/>
        </w:rPr>
        <w:t>３</w:t>
      </w:r>
      <w:r>
        <w:t>，多年平均年悬移质输沙量92.7万t，多年平均输沙率29.4kg/s。旺苍水文站泥沙成果</w:t>
      </w:r>
      <w:r>
        <w:rPr>
          <w:rFonts w:hint="eastAsia"/>
        </w:rPr>
        <w:t>见</w:t>
      </w:r>
      <w:r>
        <w:fldChar w:fldCharType="begin"/>
      </w:r>
      <w:r>
        <w:instrText xml:space="preserve"> </w:instrText>
      </w:r>
      <w:r>
        <w:rPr>
          <w:rFonts w:hint="eastAsia"/>
        </w:rPr>
        <w:instrText xml:space="preserve">REF _Ref85706825 \h</w:instrText>
      </w:r>
      <w:r>
        <w:instrText xml:space="preserve">  \* MERGEFORMAT </w:instrText>
      </w:r>
      <w:r>
        <w:fldChar w:fldCharType="separate"/>
      </w:r>
      <w:r>
        <w:rPr>
          <w:rFonts w:hint="eastAsia"/>
        </w:rPr>
        <w:t>表</w:t>
      </w:r>
      <w:r>
        <w:t>1.1</w:t>
      </w:r>
      <w:r>
        <w:noBreakHyphen/>
      </w:r>
      <w:r>
        <w:t>6</w:t>
      </w:r>
      <w:r>
        <w:fldChar w:fldCharType="end"/>
      </w:r>
      <w:r>
        <w:t>。</w:t>
      </w:r>
      <w:bookmarkStart w:id="31" w:name="_Ref85706825"/>
    </w:p>
    <w:p>
      <w:pPr>
        <w:ind w:firstLine="0" w:firstLineChars="0"/>
        <w:jc w:val="center"/>
        <w:rPr>
          <w:b/>
        </w:rPr>
      </w:pPr>
      <w:r>
        <w:rPr>
          <w:rFonts w:hint="eastAsia"/>
          <w:b/>
        </w:rPr>
        <w:t>表</w:t>
      </w:r>
      <w:r>
        <w:rPr>
          <w:b/>
        </w:rPr>
        <w:fldChar w:fldCharType="begin"/>
      </w:r>
      <w:r>
        <w:rPr>
          <w:b/>
        </w:rPr>
        <w:instrText xml:space="preserve"> </w:instrText>
      </w:r>
      <w:r>
        <w:rPr>
          <w:rFonts w:hint="eastAsia"/>
          <w:b/>
        </w:rPr>
        <w:instrText xml:space="preserve">STYLEREF 2 \s</w:instrText>
      </w:r>
      <w:r>
        <w:rPr>
          <w:b/>
        </w:rPr>
        <w:instrText xml:space="preserve"> </w:instrText>
      </w:r>
      <w:r>
        <w:rPr>
          <w:b/>
        </w:rPr>
        <w:fldChar w:fldCharType="separate"/>
      </w:r>
      <w:r>
        <w:rPr>
          <w:b/>
        </w:rPr>
        <w:t>1.1</w:t>
      </w:r>
      <w:r>
        <w:rPr>
          <w:b/>
        </w:rPr>
        <w:fldChar w:fldCharType="end"/>
      </w:r>
      <w:r>
        <w:rPr>
          <w:b/>
        </w:rPr>
        <w:noBreakHyphen/>
      </w:r>
      <w:r>
        <w:rPr>
          <w:b/>
        </w:rPr>
        <w:fldChar w:fldCharType="begin"/>
      </w:r>
      <w:r>
        <w:rPr>
          <w:b/>
        </w:rPr>
        <w:instrText xml:space="preserve"> </w:instrText>
      </w:r>
      <w:r>
        <w:rPr>
          <w:rFonts w:hint="eastAsia"/>
          <w:b/>
        </w:rPr>
        <w:instrText xml:space="preserve">SEQ 表 \* ARABIC \s 2</w:instrText>
      </w:r>
      <w:r>
        <w:rPr>
          <w:b/>
        </w:rPr>
        <w:instrText xml:space="preserve"> </w:instrText>
      </w:r>
      <w:r>
        <w:rPr>
          <w:b/>
        </w:rPr>
        <w:fldChar w:fldCharType="separate"/>
      </w:r>
      <w:r>
        <w:rPr>
          <w:b/>
        </w:rPr>
        <w:t>6</w:t>
      </w:r>
      <w:r>
        <w:rPr>
          <w:b/>
        </w:rPr>
        <w:fldChar w:fldCharType="end"/>
      </w:r>
      <w:bookmarkEnd w:id="31"/>
      <w:r>
        <w:rPr>
          <w:b/>
        </w:rPr>
        <w:t>旺苍水文站水沙特征值统计表</w:t>
      </w:r>
    </w:p>
    <w:tbl>
      <w:tblPr>
        <w:tblStyle w:val="24"/>
        <w:tblW w:w="8731" w:type="dxa"/>
        <w:jc w:val="center"/>
        <w:tblLayout w:type="fixed"/>
        <w:tblCellMar>
          <w:top w:w="0" w:type="dxa"/>
          <w:left w:w="108" w:type="dxa"/>
          <w:bottom w:w="0" w:type="dxa"/>
          <w:right w:w="108" w:type="dxa"/>
        </w:tblCellMar>
      </w:tblPr>
      <w:tblGrid>
        <w:gridCol w:w="2808"/>
        <w:gridCol w:w="1859"/>
        <w:gridCol w:w="1685"/>
        <w:gridCol w:w="2379"/>
      </w:tblGrid>
      <w:tr>
        <w:tblPrEx>
          <w:tblCellMar>
            <w:top w:w="0" w:type="dxa"/>
            <w:left w:w="108" w:type="dxa"/>
            <w:bottom w:w="0" w:type="dxa"/>
            <w:right w:w="108" w:type="dxa"/>
          </w:tblCellMar>
        </w:tblPrEx>
        <w:trPr>
          <w:trHeight w:val="270" w:hRule="atLeast"/>
          <w:tblHeader/>
          <w:jc w:val="center"/>
        </w:trPr>
        <w:tc>
          <w:tcPr>
            <w:tcW w:w="2808" w:type="dxa"/>
            <w:tcBorders>
              <w:top w:val="single" w:color="auto" w:sz="4" w:space="0"/>
              <w:left w:val="single" w:color="auto" w:sz="4" w:space="0"/>
              <w:bottom w:val="single" w:color="auto" w:sz="4" w:space="0"/>
              <w:right w:val="single" w:color="auto" w:sz="4" w:space="0"/>
            </w:tcBorders>
            <w:vAlign w:val="center"/>
          </w:tcPr>
          <w:p>
            <w:pPr>
              <w:pStyle w:val="43"/>
            </w:pPr>
            <w:r>
              <w:t>项目</w:t>
            </w:r>
          </w:p>
        </w:tc>
        <w:tc>
          <w:tcPr>
            <w:tcW w:w="1859" w:type="dxa"/>
            <w:tcBorders>
              <w:top w:val="single" w:color="auto" w:sz="4" w:space="0"/>
              <w:left w:val="nil"/>
              <w:bottom w:val="single" w:color="auto" w:sz="4" w:space="0"/>
              <w:right w:val="single" w:color="auto" w:sz="4" w:space="0"/>
            </w:tcBorders>
            <w:vAlign w:val="center"/>
          </w:tcPr>
          <w:p>
            <w:pPr>
              <w:pStyle w:val="43"/>
            </w:pPr>
            <w:r>
              <w:t>特征值</w:t>
            </w:r>
          </w:p>
        </w:tc>
        <w:tc>
          <w:tcPr>
            <w:tcW w:w="1685" w:type="dxa"/>
            <w:tcBorders>
              <w:top w:val="single" w:color="auto" w:sz="4" w:space="0"/>
              <w:left w:val="nil"/>
              <w:bottom w:val="single" w:color="auto" w:sz="4" w:space="0"/>
              <w:right w:val="single" w:color="auto" w:sz="4" w:space="0"/>
            </w:tcBorders>
            <w:vAlign w:val="center"/>
          </w:tcPr>
          <w:p>
            <w:pPr>
              <w:pStyle w:val="43"/>
            </w:pPr>
            <w:r>
              <w:t>单位</w:t>
            </w:r>
          </w:p>
        </w:tc>
        <w:tc>
          <w:tcPr>
            <w:tcW w:w="2379" w:type="dxa"/>
            <w:tcBorders>
              <w:top w:val="single" w:color="auto" w:sz="4" w:space="0"/>
              <w:left w:val="nil"/>
              <w:bottom w:val="single" w:color="auto" w:sz="4" w:space="0"/>
              <w:right w:val="single" w:color="auto" w:sz="4" w:space="0"/>
            </w:tcBorders>
            <w:vAlign w:val="center"/>
          </w:tcPr>
          <w:p>
            <w:pPr>
              <w:pStyle w:val="43"/>
            </w:pPr>
            <w:r>
              <w:t>备注</w:t>
            </w:r>
          </w:p>
        </w:tc>
      </w:tr>
      <w:tr>
        <w:tblPrEx>
          <w:tblCellMar>
            <w:top w:w="0" w:type="dxa"/>
            <w:left w:w="108" w:type="dxa"/>
            <w:bottom w:w="0" w:type="dxa"/>
            <w:right w:w="108" w:type="dxa"/>
          </w:tblCellMar>
        </w:tblPrEx>
        <w:trPr>
          <w:trHeight w:val="270" w:hRule="atLeast"/>
          <w:jc w:val="center"/>
        </w:trPr>
        <w:tc>
          <w:tcPr>
            <w:tcW w:w="2808" w:type="dxa"/>
            <w:tcBorders>
              <w:top w:val="nil"/>
              <w:left w:val="single" w:color="auto" w:sz="4" w:space="0"/>
              <w:bottom w:val="single" w:color="auto" w:sz="4" w:space="0"/>
              <w:right w:val="single" w:color="auto" w:sz="4" w:space="0"/>
            </w:tcBorders>
            <w:vAlign w:val="center"/>
          </w:tcPr>
          <w:p>
            <w:pPr>
              <w:pStyle w:val="43"/>
            </w:pPr>
            <w:r>
              <w:t>多年平均流量（水利年）</w:t>
            </w:r>
          </w:p>
        </w:tc>
        <w:tc>
          <w:tcPr>
            <w:tcW w:w="1859" w:type="dxa"/>
            <w:tcBorders>
              <w:top w:val="nil"/>
              <w:left w:val="nil"/>
              <w:bottom w:val="single" w:color="auto" w:sz="4" w:space="0"/>
              <w:right w:val="single" w:color="auto" w:sz="4" w:space="0"/>
            </w:tcBorders>
          </w:tcPr>
          <w:p>
            <w:pPr>
              <w:pStyle w:val="43"/>
            </w:pPr>
            <w:r>
              <w:t>52.3</w:t>
            </w:r>
          </w:p>
        </w:tc>
        <w:tc>
          <w:tcPr>
            <w:tcW w:w="1685" w:type="dxa"/>
            <w:tcBorders>
              <w:top w:val="nil"/>
              <w:left w:val="nil"/>
              <w:bottom w:val="single" w:color="auto" w:sz="4" w:space="0"/>
              <w:right w:val="single" w:color="auto" w:sz="4" w:space="0"/>
            </w:tcBorders>
            <w:vAlign w:val="center"/>
          </w:tcPr>
          <w:p>
            <w:pPr>
              <w:pStyle w:val="43"/>
            </w:pPr>
            <w:r>
              <w:t>m</w:t>
            </w:r>
            <w:r>
              <w:rPr>
                <w:vertAlign w:val="superscript"/>
              </w:rPr>
              <w:t>3</w:t>
            </w:r>
            <w:r>
              <w:t>/s</w:t>
            </w:r>
          </w:p>
        </w:tc>
        <w:tc>
          <w:tcPr>
            <w:tcW w:w="2379" w:type="dxa"/>
            <w:tcBorders>
              <w:top w:val="nil"/>
              <w:left w:val="nil"/>
              <w:bottom w:val="single" w:color="auto" w:sz="4" w:space="0"/>
              <w:right w:val="single" w:color="auto" w:sz="4" w:space="0"/>
            </w:tcBorders>
            <w:vAlign w:val="center"/>
          </w:tcPr>
          <w:p>
            <w:pPr>
              <w:pStyle w:val="43"/>
            </w:pPr>
          </w:p>
        </w:tc>
      </w:tr>
      <w:tr>
        <w:tblPrEx>
          <w:tblCellMar>
            <w:top w:w="0" w:type="dxa"/>
            <w:left w:w="108" w:type="dxa"/>
            <w:bottom w:w="0" w:type="dxa"/>
            <w:right w:w="108" w:type="dxa"/>
          </w:tblCellMar>
        </w:tblPrEx>
        <w:trPr>
          <w:trHeight w:val="270" w:hRule="atLeast"/>
          <w:jc w:val="center"/>
        </w:trPr>
        <w:tc>
          <w:tcPr>
            <w:tcW w:w="2808" w:type="dxa"/>
            <w:tcBorders>
              <w:top w:val="nil"/>
              <w:left w:val="single" w:color="auto" w:sz="4" w:space="0"/>
              <w:bottom w:val="single" w:color="auto" w:sz="4" w:space="0"/>
              <w:right w:val="single" w:color="auto" w:sz="4" w:space="0"/>
            </w:tcBorders>
            <w:vAlign w:val="center"/>
          </w:tcPr>
          <w:p>
            <w:pPr>
              <w:pStyle w:val="43"/>
            </w:pPr>
            <w:r>
              <w:t>多年平均输沙率</w:t>
            </w:r>
          </w:p>
        </w:tc>
        <w:tc>
          <w:tcPr>
            <w:tcW w:w="1859" w:type="dxa"/>
            <w:tcBorders>
              <w:top w:val="nil"/>
              <w:left w:val="nil"/>
              <w:bottom w:val="single" w:color="auto" w:sz="4" w:space="0"/>
              <w:right w:val="single" w:color="auto" w:sz="4" w:space="0"/>
            </w:tcBorders>
          </w:tcPr>
          <w:p>
            <w:pPr>
              <w:pStyle w:val="43"/>
            </w:pPr>
            <w:r>
              <w:t>29.4</w:t>
            </w:r>
          </w:p>
        </w:tc>
        <w:tc>
          <w:tcPr>
            <w:tcW w:w="1685" w:type="dxa"/>
            <w:tcBorders>
              <w:top w:val="nil"/>
              <w:left w:val="nil"/>
              <w:bottom w:val="single" w:color="auto" w:sz="4" w:space="0"/>
              <w:right w:val="single" w:color="auto" w:sz="4" w:space="0"/>
            </w:tcBorders>
            <w:vAlign w:val="center"/>
          </w:tcPr>
          <w:p>
            <w:pPr>
              <w:pStyle w:val="43"/>
            </w:pPr>
            <w:r>
              <w:t>kg/s</w:t>
            </w:r>
          </w:p>
        </w:tc>
        <w:tc>
          <w:tcPr>
            <w:tcW w:w="2379" w:type="dxa"/>
            <w:tcBorders>
              <w:top w:val="nil"/>
              <w:left w:val="nil"/>
              <w:bottom w:val="single" w:color="auto" w:sz="4" w:space="0"/>
              <w:right w:val="single" w:color="auto" w:sz="4" w:space="0"/>
            </w:tcBorders>
            <w:vAlign w:val="center"/>
          </w:tcPr>
          <w:p>
            <w:pPr>
              <w:pStyle w:val="43"/>
            </w:pPr>
          </w:p>
        </w:tc>
      </w:tr>
      <w:tr>
        <w:tblPrEx>
          <w:tblCellMar>
            <w:top w:w="0" w:type="dxa"/>
            <w:left w:w="108" w:type="dxa"/>
            <w:bottom w:w="0" w:type="dxa"/>
            <w:right w:w="108" w:type="dxa"/>
          </w:tblCellMar>
        </w:tblPrEx>
        <w:trPr>
          <w:trHeight w:val="270" w:hRule="atLeast"/>
          <w:jc w:val="center"/>
        </w:trPr>
        <w:tc>
          <w:tcPr>
            <w:tcW w:w="2808" w:type="dxa"/>
            <w:tcBorders>
              <w:top w:val="nil"/>
              <w:left w:val="single" w:color="auto" w:sz="4" w:space="0"/>
              <w:bottom w:val="single" w:color="auto" w:sz="4" w:space="0"/>
              <w:right w:val="single" w:color="auto" w:sz="4" w:space="0"/>
            </w:tcBorders>
            <w:vAlign w:val="center"/>
          </w:tcPr>
          <w:p>
            <w:pPr>
              <w:pStyle w:val="43"/>
            </w:pPr>
            <w:r>
              <w:t>多年平均含沙量</w:t>
            </w:r>
          </w:p>
        </w:tc>
        <w:tc>
          <w:tcPr>
            <w:tcW w:w="1859" w:type="dxa"/>
            <w:tcBorders>
              <w:top w:val="nil"/>
              <w:left w:val="nil"/>
              <w:bottom w:val="single" w:color="auto" w:sz="4" w:space="0"/>
              <w:right w:val="single" w:color="auto" w:sz="4" w:space="0"/>
            </w:tcBorders>
          </w:tcPr>
          <w:p>
            <w:pPr>
              <w:pStyle w:val="43"/>
            </w:pPr>
            <w:r>
              <w:t>0.563</w:t>
            </w:r>
          </w:p>
        </w:tc>
        <w:tc>
          <w:tcPr>
            <w:tcW w:w="1685" w:type="dxa"/>
            <w:tcBorders>
              <w:top w:val="nil"/>
              <w:left w:val="nil"/>
              <w:bottom w:val="single" w:color="auto" w:sz="4" w:space="0"/>
              <w:right w:val="single" w:color="auto" w:sz="4" w:space="0"/>
            </w:tcBorders>
            <w:vAlign w:val="center"/>
          </w:tcPr>
          <w:p>
            <w:pPr>
              <w:pStyle w:val="43"/>
            </w:pPr>
            <w:r>
              <w:t>kg/m</w:t>
            </w:r>
            <w:r>
              <w:rPr>
                <w:vertAlign w:val="superscript"/>
              </w:rPr>
              <w:t>3</w:t>
            </w:r>
          </w:p>
        </w:tc>
        <w:tc>
          <w:tcPr>
            <w:tcW w:w="2379" w:type="dxa"/>
            <w:tcBorders>
              <w:top w:val="nil"/>
              <w:left w:val="nil"/>
              <w:bottom w:val="single" w:color="auto" w:sz="4" w:space="0"/>
              <w:right w:val="single" w:color="auto" w:sz="4" w:space="0"/>
            </w:tcBorders>
            <w:vAlign w:val="center"/>
          </w:tcPr>
          <w:p>
            <w:pPr>
              <w:pStyle w:val="43"/>
            </w:pPr>
          </w:p>
        </w:tc>
      </w:tr>
      <w:tr>
        <w:tblPrEx>
          <w:tblCellMar>
            <w:top w:w="0" w:type="dxa"/>
            <w:left w:w="108" w:type="dxa"/>
            <w:bottom w:w="0" w:type="dxa"/>
            <w:right w:w="108" w:type="dxa"/>
          </w:tblCellMar>
        </w:tblPrEx>
        <w:trPr>
          <w:trHeight w:val="270" w:hRule="atLeast"/>
          <w:jc w:val="center"/>
        </w:trPr>
        <w:tc>
          <w:tcPr>
            <w:tcW w:w="2808" w:type="dxa"/>
            <w:tcBorders>
              <w:top w:val="nil"/>
              <w:left w:val="single" w:color="auto" w:sz="4" w:space="0"/>
              <w:bottom w:val="single" w:color="auto" w:sz="4" w:space="0"/>
              <w:right w:val="single" w:color="auto" w:sz="4" w:space="0"/>
            </w:tcBorders>
            <w:vAlign w:val="center"/>
          </w:tcPr>
          <w:p>
            <w:pPr>
              <w:pStyle w:val="43"/>
            </w:pPr>
            <w:r>
              <w:t>多年平均年输沙量</w:t>
            </w:r>
          </w:p>
        </w:tc>
        <w:tc>
          <w:tcPr>
            <w:tcW w:w="1859" w:type="dxa"/>
            <w:tcBorders>
              <w:top w:val="nil"/>
              <w:left w:val="nil"/>
              <w:bottom w:val="single" w:color="auto" w:sz="4" w:space="0"/>
              <w:right w:val="single" w:color="auto" w:sz="4" w:space="0"/>
            </w:tcBorders>
          </w:tcPr>
          <w:p>
            <w:pPr>
              <w:pStyle w:val="43"/>
            </w:pPr>
            <w:r>
              <w:t>92.7</w:t>
            </w:r>
          </w:p>
        </w:tc>
        <w:tc>
          <w:tcPr>
            <w:tcW w:w="1685" w:type="dxa"/>
            <w:tcBorders>
              <w:top w:val="nil"/>
              <w:left w:val="nil"/>
              <w:bottom w:val="single" w:color="auto" w:sz="4" w:space="0"/>
              <w:right w:val="single" w:color="auto" w:sz="4" w:space="0"/>
            </w:tcBorders>
            <w:vAlign w:val="center"/>
          </w:tcPr>
          <w:p>
            <w:pPr>
              <w:pStyle w:val="43"/>
            </w:pPr>
            <w:r>
              <w:t>万t</w:t>
            </w:r>
          </w:p>
        </w:tc>
        <w:tc>
          <w:tcPr>
            <w:tcW w:w="2379" w:type="dxa"/>
            <w:tcBorders>
              <w:top w:val="nil"/>
              <w:left w:val="nil"/>
              <w:bottom w:val="single" w:color="auto" w:sz="4" w:space="0"/>
              <w:right w:val="single" w:color="auto" w:sz="4" w:space="0"/>
            </w:tcBorders>
            <w:vAlign w:val="center"/>
          </w:tcPr>
          <w:p>
            <w:pPr>
              <w:pStyle w:val="43"/>
            </w:pPr>
          </w:p>
        </w:tc>
      </w:tr>
      <w:tr>
        <w:tblPrEx>
          <w:tblCellMar>
            <w:top w:w="0" w:type="dxa"/>
            <w:left w:w="108" w:type="dxa"/>
            <w:bottom w:w="0" w:type="dxa"/>
            <w:right w:w="108" w:type="dxa"/>
          </w:tblCellMar>
        </w:tblPrEx>
        <w:trPr>
          <w:trHeight w:val="270" w:hRule="atLeast"/>
          <w:jc w:val="center"/>
        </w:trPr>
        <w:tc>
          <w:tcPr>
            <w:tcW w:w="2808" w:type="dxa"/>
            <w:tcBorders>
              <w:top w:val="nil"/>
              <w:left w:val="single" w:color="auto" w:sz="4" w:space="0"/>
              <w:bottom w:val="single" w:color="auto" w:sz="4" w:space="0"/>
              <w:right w:val="single" w:color="auto" w:sz="4" w:space="0"/>
            </w:tcBorders>
            <w:vAlign w:val="center"/>
          </w:tcPr>
          <w:p>
            <w:pPr>
              <w:pStyle w:val="43"/>
            </w:pPr>
            <w:r>
              <w:t>多年平均侵蚀模数</w:t>
            </w:r>
          </w:p>
        </w:tc>
        <w:tc>
          <w:tcPr>
            <w:tcW w:w="1859" w:type="dxa"/>
            <w:tcBorders>
              <w:top w:val="nil"/>
              <w:left w:val="nil"/>
              <w:bottom w:val="single" w:color="auto" w:sz="4" w:space="0"/>
              <w:right w:val="single" w:color="auto" w:sz="4" w:space="0"/>
            </w:tcBorders>
          </w:tcPr>
          <w:p>
            <w:pPr>
              <w:pStyle w:val="43"/>
            </w:pPr>
            <w:r>
              <w:t>403</w:t>
            </w:r>
          </w:p>
        </w:tc>
        <w:tc>
          <w:tcPr>
            <w:tcW w:w="1685" w:type="dxa"/>
            <w:tcBorders>
              <w:top w:val="nil"/>
              <w:left w:val="nil"/>
              <w:bottom w:val="single" w:color="auto" w:sz="4" w:space="0"/>
              <w:right w:val="single" w:color="auto" w:sz="4" w:space="0"/>
            </w:tcBorders>
            <w:vAlign w:val="center"/>
          </w:tcPr>
          <w:p>
            <w:pPr>
              <w:pStyle w:val="43"/>
            </w:pPr>
            <w:r>
              <w:t>t/km</w:t>
            </w:r>
            <w:r>
              <w:rPr>
                <w:vertAlign w:val="superscript"/>
              </w:rPr>
              <w:t>2</w:t>
            </w:r>
          </w:p>
        </w:tc>
        <w:tc>
          <w:tcPr>
            <w:tcW w:w="2379" w:type="dxa"/>
            <w:tcBorders>
              <w:top w:val="nil"/>
              <w:left w:val="nil"/>
              <w:bottom w:val="single" w:color="auto" w:sz="4" w:space="0"/>
              <w:right w:val="single" w:color="auto" w:sz="4" w:space="0"/>
            </w:tcBorders>
            <w:vAlign w:val="center"/>
          </w:tcPr>
          <w:p>
            <w:pPr>
              <w:pStyle w:val="43"/>
            </w:pPr>
          </w:p>
        </w:tc>
      </w:tr>
      <w:tr>
        <w:tblPrEx>
          <w:tblCellMar>
            <w:top w:w="0" w:type="dxa"/>
            <w:left w:w="108" w:type="dxa"/>
            <w:bottom w:w="0" w:type="dxa"/>
            <w:right w:w="108" w:type="dxa"/>
          </w:tblCellMar>
        </w:tblPrEx>
        <w:trPr>
          <w:trHeight w:val="270" w:hRule="atLeast"/>
          <w:jc w:val="center"/>
        </w:trPr>
        <w:tc>
          <w:tcPr>
            <w:tcW w:w="2808" w:type="dxa"/>
            <w:tcBorders>
              <w:top w:val="nil"/>
              <w:left w:val="single" w:color="auto" w:sz="4" w:space="0"/>
              <w:bottom w:val="single" w:color="auto" w:sz="4" w:space="0"/>
              <w:right w:val="single" w:color="auto" w:sz="4" w:space="0"/>
            </w:tcBorders>
            <w:vAlign w:val="center"/>
          </w:tcPr>
          <w:p>
            <w:pPr>
              <w:pStyle w:val="43"/>
            </w:pPr>
            <w:r>
              <w:t>汛期5～10月输沙率</w:t>
            </w:r>
          </w:p>
        </w:tc>
        <w:tc>
          <w:tcPr>
            <w:tcW w:w="1859" w:type="dxa"/>
            <w:tcBorders>
              <w:top w:val="nil"/>
              <w:left w:val="nil"/>
              <w:bottom w:val="single" w:color="auto" w:sz="4" w:space="0"/>
              <w:right w:val="single" w:color="auto" w:sz="4" w:space="0"/>
            </w:tcBorders>
            <w:vAlign w:val="center"/>
          </w:tcPr>
          <w:p>
            <w:pPr>
              <w:pStyle w:val="43"/>
            </w:pPr>
            <w:r>
              <w:t>57.1</w:t>
            </w:r>
          </w:p>
        </w:tc>
        <w:tc>
          <w:tcPr>
            <w:tcW w:w="1685" w:type="dxa"/>
            <w:tcBorders>
              <w:top w:val="nil"/>
              <w:left w:val="nil"/>
              <w:bottom w:val="single" w:color="auto" w:sz="4" w:space="0"/>
              <w:right w:val="single" w:color="auto" w:sz="4" w:space="0"/>
            </w:tcBorders>
            <w:vAlign w:val="center"/>
          </w:tcPr>
          <w:p>
            <w:pPr>
              <w:pStyle w:val="43"/>
            </w:pPr>
            <w:r>
              <w:t>kg/s</w:t>
            </w:r>
          </w:p>
        </w:tc>
        <w:tc>
          <w:tcPr>
            <w:tcW w:w="2379" w:type="dxa"/>
            <w:tcBorders>
              <w:top w:val="nil"/>
              <w:left w:val="nil"/>
              <w:bottom w:val="single" w:color="auto" w:sz="4" w:space="0"/>
              <w:right w:val="single" w:color="auto" w:sz="4" w:space="0"/>
            </w:tcBorders>
            <w:vAlign w:val="center"/>
          </w:tcPr>
          <w:p>
            <w:pPr>
              <w:pStyle w:val="43"/>
            </w:pPr>
          </w:p>
        </w:tc>
      </w:tr>
      <w:tr>
        <w:tblPrEx>
          <w:tblCellMar>
            <w:top w:w="0" w:type="dxa"/>
            <w:left w:w="108" w:type="dxa"/>
            <w:bottom w:w="0" w:type="dxa"/>
            <w:right w:w="108" w:type="dxa"/>
          </w:tblCellMar>
        </w:tblPrEx>
        <w:trPr>
          <w:trHeight w:val="270" w:hRule="atLeast"/>
          <w:jc w:val="center"/>
        </w:trPr>
        <w:tc>
          <w:tcPr>
            <w:tcW w:w="2808" w:type="dxa"/>
            <w:tcBorders>
              <w:top w:val="nil"/>
              <w:left w:val="single" w:color="auto" w:sz="4" w:space="0"/>
              <w:bottom w:val="single" w:color="auto" w:sz="4" w:space="0"/>
              <w:right w:val="single" w:color="auto" w:sz="4" w:space="0"/>
            </w:tcBorders>
            <w:vAlign w:val="center"/>
          </w:tcPr>
          <w:p>
            <w:pPr>
              <w:pStyle w:val="43"/>
            </w:pPr>
            <w:r>
              <w:t>汛期5～10月输沙量</w:t>
            </w:r>
          </w:p>
        </w:tc>
        <w:tc>
          <w:tcPr>
            <w:tcW w:w="1859" w:type="dxa"/>
            <w:tcBorders>
              <w:top w:val="nil"/>
              <w:left w:val="nil"/>
              <w:bottom w:val="single" w:color="auto" w:sz="4" w:space="0"/>
              <w:right w:val="single" w:color="auto" w:sz="4" w:space="0"/>
            </w:tcBorders>
            <w:vAlign w:val="center"/>
          </w:tcPr>
          <w:p>
            <w:pPr>
              <w:pStyle w:val="43"/>
            </w:pPr>
            <w:r>
              <w:t>90.7</w:t>
            </w:r>
          </w:p>
        </w:tc>
        <w:tc>
          <w:tcPr>
            <w:tcW w:w="1685" w:type="dxa"/>
            <w:tcBorders>
              <w:top w:val="nil"/>
              <w:left w:val="nil"/>
              <w:bottom w:val="single" w:color="auto" w:sz="4" w:space="0"/>
              <w:right w:val="single" w:color="auto" w:sz="4" w:space="0"/>
            </w:tcBorders>
            <w:vAlign w:val="center"/>
          </w:tcPr>
          <w:p>
            <w:pPr>
              <w:pStyle w:val="43"/>
            </w:pPr>
            <w:r>
              <w:t>万t</w:t>
            </w:r>
          </w:p>
        </w:tc>
        <w:tc>
          <w:tcPr>
            <w:tcW w:w="2379" w:type="dxa"/>
            <w:tcBorders>
              <w:top w:val="nil"/>
              <w:left w:val="nil"/>
              <w:bottom w:val="single" w:color="auto" w:sz="4" w:space="0"/>
              <w:right w:val="single" w:color="auto" w:sz="4" w:space="0"/>
            </w:tcBorders>
            <w:vAlign w:val="center"/>
          </w:tcPr>
          <w:p>
            <w:pPr>
              <w:pStyle w:val="43"/>
            </w:pPr>
            <w:r>
              <w:t>占年沙量97.8%</w:t>
            </w:r>
          </w:p>
        </w:tc>
      </w:tr>
      <w:tr>
        <w:tblPrEx>
          <w:tblCellMar>
            <w:top w:w="0" w:type="dxa"/>
            <w:left w:w="108" w:type="dxa"/>
            <w:bottom w:w="0" w:type="dxa"/>
            <w:right w:w="108" w:type="dxa"/>
          </w:tblCellMar>
        </w:tblPrEx>
        <w:trPr>
          <w:trHeight w:val="270" w:hRule="atLeast"/>
          <w:jc w:val="center"/>
        </w:trPr>
        <w:tc>
          <w:tcPr>
            <w:tcW w:w="2808" w:type="dxa"/>
            <w:tcBorders>
              <w:top w:val="nil"/>
              <w:left w:val="single" w:color="auto" w:sz="4" w:space="0"/>
              <w:bottom w:val="single" w:color="auto" w:sz="4" w:space="0"/>
              <w:right w:val="single" w:color="auto" w:sz="4" w:space="0"/>
            </w:tcBorders>
            <w:vAlign w:val="center"/>
          </w:tcPr>
          <w:p>
            <w:pPr>
              <w:pStyle w:val="43"/>
            </w:pPr>
            <w:r>
              <w:t>最大年输沙量</w:t>
            </w:r>
          </w:p>
        </w:tc>
        <w:tc>
          <w:tcPr>
            <w:tcW w:w="1859" w:type="dxa"/>
            <w:tcBorders>
              <w:top w:val="nil"/>
              <w:left w:val="nil"/>
              <w:bottom w:val="single" w:color="auto" w:sz="4" w:space="0"/>
              <w:right w:val="single" w:color="auto" w:sz="4" w:space="0"/>
            </w:tcBorders>
          </w:tcPr>
          <w:p>
            <w:pPr>
              <w:pStyle w:val="43"/>
            </w:pPr>
            <w:r>
              <w:t>1060</w:t>
            </w:r>
          </w:p>
        </w:tc>
        <w:tc>
          <w:tcPr>
            <w:tcW w:w="1685" w:type="dxa"/>
            <w:tcBorders>
              <w:top w:val="nil"/>
              <w:left w:val="nil"/>
              <w:bottom w:val="single" w:color="auto" w:sz="4" w:space="0"/>
              <w:right w:val="single" w:color="auto" w:sz="4" w:space="0"/>
            </w:tcBorders>
            <w:vAlign w:val="center"/>
          </w:tcPr>
          <w:p>
            <w:pPr>
              <w:pStyle w:val="43"/>
            </w:pPr>
            <w:r>
              <w:t>万t</w:t>
            </w:r>
          </w:p>
        </w:tc>
        <w:tc>
          <w:tcPr>
            <w:tcW w:w="2379" w:type="dxa"/>
            <w:tcBorders>
              <w:top w:val="nil"/>
              <w:left w:val="nil"/>
              <w:bottom w:val="single" w:color="auto" w:sz="4" w:space="0"/>
              <w:right w:val="single" w:color="auto" w:sz="4" w:space="0"/>
            </w:tcBorders>
            <w:vAlign w:val="center"/>
          </w:tcPr>
          <w:p>
            <w:pPr>
              <w:pStyle w:val="43"/>
            </w:pPr>
            <w:r>
              <w:t>旺苍站1981年</w:t>
            </w:r>
          </w:p>
        </w:tc>
      </w:tr>
      <w:tr>
        <w:tblPrEx>
          <w:tblCellMar>
            <w:top w:w="0" w:type="dxa"/>
            <w:left w:w="108" w:type="dxa"/>
            <w:bottom w:w="0" w:type="dxa"/>
            <w:right w:w="108" w:type="dxa"/>
          </w:tblCellMar>
        </w:tblPrEx>
        <w:trPr>
          <w:trHeight w:val="270" w:hRule="atLeast"/>
          <w:jc w:val="center"/>
        </w:trPr>
        <w:tc>
          <w:tcPr>
            <w:tcW w:w="2808" w:type="dxa"/>
            <w:tcBorders>
              <w:top w:val="nil"/>
              <w:left w:val="single" w:color="auto" w:sz="4" w:space="0"/>
              <w:bottom w:val="single" w:color="auto" w:sz="4" w:space="0"/>
              <w:right w:val="single" w:color="auto" w:sz="4" w:space="0"/>
            </w:tcBorders>
            <w:vAlign w:val="center"/>
          </w:tcPr>
          <w:p>
            <w:pPr>
              <w:pStyle w:val="43"/>
            </w:pPr>
            <w:r>
              <w:t>最小年输沙量</w:t>
            </w:r>
          </w:p>
        </w:tc>
        <w:tc>
          <w:tcPr>
            <w:tcW w:w="1859" w:type="dxa"/>
            <w:tcBorders>
              <w:top w:val="nil"/>
              <w:left w:val="nil"/>
              <w:bottom w:val="single" w:color="auto" w:sz="4" w:space="0"/>
              <w:right w:val="single" w:color="auto" w:sz="4" w:space="0"/>
            </w:tcBorders>
          </w:tcPr>
          <w:p>
            <w:pPr>
              <w:pStyle w:val="43"/>
            </w:pPr>
            <w:r>
              <w:t>3.1</w:t>
            </w:r>
          </w:p>
        </w:tc>
        <w:tc>
          <w:tcPr>
            <w:tcW w:w="1685" w:type="dxa"/>
            <w:tcBorders>
              <w:top w:val="nil"/>
              <w:left w:val="nil"/>
              <w:bottom w:val="single" w:color="auto" w:sz="4" w:space="0"/>
              <w:right w:val="single" w:color="auto" w:sz="4" w:space="0"/>
            </w:tcBorders>
            <w:vAlign w:val="center"/>
          </w:tcPr>
          <w:p>
            <w:pPr>
              <w:pStyle w:val="43"/>
            </w:pPr>
            <w:r>
              <w:t>万t</w:t>
            </w:r>
          </w:p>
        </w:tc>
        <w:tc>
          <w:tcPr>
            <w:tcW w:w="2379" w:type="dxa"/>
            <w:tcBorders>
              <w:top w:val="nil"/>
              <w:left w:val="nil"/>
              <w:bottom w:val="single" w:color="auto" w:sz="4" w:space="0"/>
              <w:right w:val="single" w:color="auto" w:sz="4" w:space="0"/>
            </w:tcBorders>
            <w:vAlign w:val="center"/>
          </w:tcPr>
          <w:p>
            <w:pPr>
              <w:pStyle w:val="43"/>
            </w:pPr>
            <w:r>
              <w:t>旺苍站1997年</w:t>
            </w:r>
          </w:p>
        </w:tc>
      </w:tr>
    </w:tbl>
    <w:p>
      <w:pPr>
        <w:ind w:firstLine="480"/>
      </w:pPr>
    </w:p>
    <w:p>
      <w:pPr>
        <w:ind w:firstLine="480"/>
      </w:pPr>
      <w:r>
        <w:t>将旺苍站多年悬移质输沙模数乘以</w:t>
      </w:r>
      <w:r>
        <w:rPr>
          <w:rFonts w:hint="eastAsia"/>
        </w:rPr>
        <w:t>盐井河流域</w:t>
      </w:r>
      <w:r>
        <w:t>面积后得到</w:t>
      </w:r>
      <w:r>
        <w:rPr>
          <w:rFonts w:hint="eastAsia"/>
        </w:rPr>
        <w:t>盐井河流域</w:t>
      </w:r>
      <w:r>
        <w:t>的多年平均悬移质输沙量，因东河流域无推移质泥沙资料，采用悬移质输沙量的20%估算</w:t>
      </w:r>
      <w:r>
        <w:rPr>
          <w:rFonts w:hint="eastAsia"/>
        </w:rPr>
        <w:t>盐井河流域</w:t>
      </w:r>
      <w:r>
        <w:t>推移质输沙量。</w:t>
      </w:r>
      <w:r>
        <w:rPr>
          <w:rFonts w:hint="eastAsia"/>
        </w:rPr>
        <w:t>盐井河流域</w:t>
      </w:r>
      <w:r>
        <w:t>泥沙成果见</w:t>
      </w:r>
      <w:r>
        <w:fldChar w:fldCharType="begin"/>
      </w:r>
      <w:r>
        <w:instrText xml:space="preserve"> REF _Ref85707199 \h </w:instrText>
      </w:r>
      <w:r>
        <w:fldChar w:fldCharType="separate"/>
      </w:r>
      <w:r>
        <w:rPr>
          <w:rFonts w:hint="eastAsia"/>
        </w:rPr>
        <w:t>表</w:t>
      </w:r>
      <w:r>
        <w:t>1.1</w:t>
      </w:r>
      <w:r>
        <w:noBreakHyphen/>
      </w:r>
      <w:r>
        <w:t>7</w:t>
      </w:r>
      <w:r>
        <w:fldChar w:fldCharType="end"/>
      </w:r>
      <w:r>
        <w:t>。</w:t>
      </w:r>
    </w:p>
    <w:p>
      <w:pPr>
        <w:ind w:firstLine="480"/>
      </w:pPr>
    </w:p>
    <w:p>
      <w:pPr>
        <w:ind w:firstLine="480"/>
      </w:pPr>
    </w:p>
    <w:p>
      <w:pPr>
        <w:pStyle w:val="58"/>
        <w:rPr>
          <w:color w:val="auto"/>
        </w:rPr>
      </w:pPr>
      <w:bookmarkStart w:id="32" w:name="_Ref85707199"/>
      <w:r>
        <w:rPr>
          <w:rFonts w:hint="eastAsia"/>
          <w:color w:val="auto"/>
        </w:rPr>
        <w:t>表</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1.1</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7</w:t>
      </w:r>
      <w:r>
        <w:rPr>
          <w:color w:val="auto"/>
        </w:rPr>
        <w:fldChar w:fldCharType="end"/>
      </w:r>
      <w:bookmarkEnd w:id="32"/>
      <w:r>
        <w:rPr>
          <w:rFonts w:hint="eastAsia"/>
          <w:color w:val="auto"/>
        </w:rPr>
        <w:t>盐井河流域</w:t>
      </w:r>
      <w:r>
        <w:rPr>
          <w:color w:val="auto"/>
        </w:rPr>
        <w:t>泥沙成果表</w:t>
      </w:r>
    </w:p>
    <w:tbl>
      <w:tblPr>
        <w:tblStyle w:val="24"/>
        <w:tblW w:w="89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5"/>
        <w:gridCol w:w="1985"/>
        <w:gridCol w:w="2551"/>
        <w:gridCol w:w="23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2035" w:type="dxa"/>
            <w:vAlign w:val="center"/>
          </w:tcPr>
          <w:p>
            <w:pPr>
              <w:pStyle w:val="43"/>
            </w:pPr>
            <w:r>
              <w:rPr>
                <w:rFonts w:hint="eastAsia"/>
              </w:rPr>
              <w:t>流域</w:t>
            </w:r>
          </w:p>
        </w:tc>
        <w:tc>
          <w:tcPr>
            <w:tcW w:w="1985" w:type="dxa"/>
            <w:vAlign w:val="center"/>
          </w:tcPr>
          <w:p>
            <w:pPr>
              <w:pStyle w:val="43"/>
            </w:pPr>
            <w:r>
              <w:t>控制断面集水面积（km</w:t>
            </w:r>
            <w:r>
              <w:rPr>
                <w:vertAlign w:val="superscript"/>
              </w:rPr>
              <w:t>2</w:t>
            </w:r>
            <w:r>
              <w:t>)</w:t>
            </w:r>
          </w:p>
        </w:tc>
        <w:tc>
          <w:tcPr>
            <w:tcW w:w="2551" w:type="dxa"/>
            <w:vAlign w:val="center"/>
          </w:tcPr>
          <w:p>
            <w:pPr>
              <w:pStyle w:val="43"/>
            </w:pPr>
            <w:r>
              <w:t>多年平均年悬移质输沙量（万t）</w:t>
            </w:r>
          </w:p>
        </w:tc>
        <w:tc>
          <w:tcPr>
            <w:tcW w:w="2386" w:type="dxa"/>
            <w:vAlign w:val="center"/>
          </w:tcPr>
          <w:p>
            <w:pPr>
              <w:pStyle w:val="43"/>
            </w:pPr>
            <w:r>
              <w:t>多年平均年推移质输沙量（万t）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2035" w:type="dxa"/>
            <w:vAlign w:val="center"/>
          </w:tcPr>
          <w:p>
            <w:pPr>
              <w:pStyle w:val="43"/>
            </w:pPr>
            <w:r>
              <w:rPr>
                <w:rFonts w:hint="eastAsia"/>
              </w:rPr>
              <w:t>盐井河流域</w:t>
            </w:r>
          </w:p>
        </w:tc>
        <w:tc>
          <w:tcPr>
            <w:tcW w:w="1985" w:type="dxa"/>
            <w:vAlign w:val="center"/>
          </w:tcPr>
          <w:p>
            <w:pPr>
              <w:pStyle w:val="43"/>
            </w:pPr>
            <w:r>
              <w:t>1000</w:t>
            </w:r>
          </w:p>
        </w:tc>
        <w:tc>
          <w:tcPr>
            <w:tcW w:w="2551" w:type="dxa"/>
            <w:vAlign w:val="center"/>
          </w:tcPr>
          <w:p>
            <w:pPr>
              <w:pStyle w:val="43"/>
            </w:pPr>
            <w:r>
              <w:t>40.3</w:t>
            </w:r>
          </w:p>
        </w:tc>
        <w:tc>
          <w:tcPr>
            <w:tcW w:w="2386" w:type="dxa"/>
            <w:vAlign w:val="center"/>
          </w:tcPr>
          <w:p>
            <w:pPr>
              <w:pStyle w:val="43"/>
            </w:pPr>
            <w:r>
              <w:t>8.06</w:t>
            </w:r>
          </w:p>
        </w:tc>
      </w:tr>
    </w:tbl>
    <w:p>
      <w:pPr>
        <w:ind w:firstLine="480"/>
      </w:pPr>
    </w:p>
    <w:p>
      <w:pPr>
        <w:pStyle w:val="3"/>
        <w:ind w:left="301" w:hanging="301"/>
      </w:pPr>
      <w:bookmarkStart w:id="33" w:name="_Toc86049146"/>
      <w:r>
        <w:rPr>
          <w:rFonts w:hint="eastAsia"/>
        </w:rPr>
        <w:t>河流规划建设情况</w:t>
      </w:r>
      <w:bookmarkEnd w:id="29"/>
      <w:bookmarkEnd w:id="33"/>
    </w:p>
    <w:p>
      <w:pPr>
        <w:pStyle w:val="4"/>
        <w:ind w:left="240"/>
      </w:pPr>
      <w:bookmarkStart w:id="34" w:name="_Toc80719366"/>
      <w:bookmarkStart w:id="35" w:name="_Toc86049147"/>
      <w:r>
        <w:rPr>
          <w:rFonts w:hint="eastAsia"/>
        </w:rPr>
        <w:t>水功能区划</w:t>
      </w:r>
      <w:bookmarkEnd w:id="34"/>
      <w:bookmarkEnd w:id="35"/>
    </w:p>
    <w:p>
      <w:pPr>
        <w:ind w:firstLine="480"/>
      </w:pPr>
      <w:r>
        <w:t>根据国务院批复的《全国重要江河湖泊水功能区划（2011-2030）》、《四川省长江流域水功能区划》、《广元市江河湖泊水功能区划》的相关成果，旺苍县已区划一级水功能区共6个，其中保护区1个、保留区4个、缓冲区1个。</w:t>
      </w:r>
    </w:p>
    <w:p>
      <w:pPr>
        <w:ind w:firstLine="480"/>
      </w:pPr>
      <w:r>
        <w:rPr>
          <w:rFonts w:hint="eastAsia"/>
        </w:rPr>
        <w:t>旺苍县盐井河已划分一级水功能区两个，其中自陕西入境至万家</w:t>
      </w:r>
      <w:r>
        <w:t>6</w:t>
      </w:r>
      <w:r>
        <w:rPr>
          <w:rFonts w:hint="eastAsia"/>
        </w:rPr>
        <w:t>km为盐井河陕川缓冲区，自万家至东河汇口3</w:t>
      </w:r>
      <w:r>
        <w:t>8.4</w:t>
      </w:r>
      <w:r>
        <w:rPr>
          <w:rFonts w:hint="eastAsia"/>
        </w:rPr>
        <w:t>km为盐井河旺苍保留区。盐井河水功能区划见</w:t>
      </w:r>
      <w:r>
        <w:fldChar w:fldCharType="begin"/>
      </w:r>
      <w:r>
        <w:instrText xml:space="preserve"> </w:instrText>
      </w:r>
      <w:r>
        <w:rPr>
          <w:rFonts w:hint="eastAsia"/>
        </w:rPr>
        <w:instrText xml:space="preserve">REF _Ref80716544 \h</w:instrText>
      </w:r>
      <w:r>
        <w:instrText xml:space="preserve"> </w:instrText>
      </w:r>
      <w:r>
        <w:fldChar w:fldCharType="separate"/>
      </w:r>
      <w:r>
        <w:rPr>
          <w:rFonts w:hint="eastAsia"/>
        </w:rPr>
        <w:t>表</w:t>
      </w:r>
      <w:r>
        <w:t>1.2</w:t>
      </w:r>
      <w:r>
        <w:noBreakHyphen/>
      </w:r>
      <w:r>
        <w:t>1</w:t>
      </w:r>
      <w:r>
        <w:fldChar w:fldCharType="end"/>
      </w:r>
      <w:r>
        <w:rPr>
          <w:rFonts w:hint="eastAsia"/>
        </w:rPr>
        <w:t>。</w:t>
      </w:r>
    </w:p>
    <w:p>
      <w:pPr>
        <w:pStyle w:val="58"/>
        <w:rPr>
          <w:color w:val="auto"/>
        </w:rPr>
      </w:pPr>
      <w:bookmarkStart w:id="36" w:name="_Ref80716544"/>
      <w:r>
        <w:rPr>
          <w:rFonts w:hint="eastAsia"/>
          <w:color w:val="auto"/>
        </w:rPr>
        <w:t>表</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1.2</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1</w:t>
      </w:r>
      <w:r>
        <w:rPr>
          <w:color w:val="auto"/>
        </w:rPr>
        <w:fldChar w:fldCharType="end"/>
      </w:r>
      <w:bookmarkEnd w:id="36"/>
      <w:r>
        <w:rPr>
          <w:color w:val="auto"/>
        </w:rPr>
        <w:t>旺苍县江河湖泊水功能区划统计表</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09"/>
        <w:gridCol w:w="846"/>
        <w:gridCol w:w="863"/>
        <w:gridCol w:w="1097"/>
        <w:gridCol w:w="1099"/>
        <w:gridCol w:w="1400"/>
        <w:gridCol w:w="637"/>
        <w:gridCol w:w="6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04" w:type="pct"/>
            <w:vMerge w:val="restart"/>
            <w:noWrap/>
            <w:vAlign w:val="center"/>
          </w:tcPr>
          <w:p>
            <w:pPr>
              <w:pStyle w:val="43"/>
            </w:pPr>
            <w:r>
              <w:t>一级水功能区名称</w:t>
            </w:r>
          </w:p>
        </w:tc>
        <w:tc>
          <w:tcPr>
            <w:tcW w:w="148" w:type="pct"/>
            <w:vMerge w:val="restart"/>
            <w:noWrap/>
            <w:vAlign w:val="center"/>
          </w:tcPr>
          <w:p>
            <w:pPr>
              <w:pStyle w:val="43"/>
            </w:pPr>
            <w:r>
              <w:t>水系</w:t>
            </w:r>
          </w:p>
        </w:tc>
        <w:tc>
          <w:tcPr>
            <w:tcW w:w="510" w:type="pct"/>
            <w:vMerge w:val="restart"/>
            <w:noWrap/>
            <w:vAlign w:val="center"/>
          </w:tcPr>
          <w:p>
            <w:pPr>
              <w:pStyle w:val="43"/>
            </w:pPr>
            <w:r>
              <w:t>河流</w:t>
            </w:r>
          </w:p>
        </w:tc>
        <w:tc>
          <w:tcPr>
            <w:tcW w:w="1273" w:type="pct"/>
            <w:gridSpan w:val="2"/>
            <w:noWrap/>
            <w:vAlign w:val="center"/>
          </w:tcPr>
          <w:p>
            <w:pPr>
              <w:pStyle w:val="43"/>
            </w:pPr>
            <w:r>
              <w:t>范围</w:t>
            </w:r>
          </w:p>
        </w:tc>
        <w:tc>
          <w:tcPr>
            <w:tcW w:w="799" w:type="pct"/>
            <w:vMerge w:val="restart"/>
            <w:noWrap/>
            <w:vAlign w:val="center"/>
          </w:tcPr>
          <w:p>
            <w:pPr>
              <w:pStyle w:val="43"/>
            </w:pPr>
            <w:r>
              <w:t>长度</w:t>
            </w:r>
          </w:p>
          <w:p>
            <w:pPr>
              <w:pStyle w:val="43"/>
            </w:pPr>
            <w:r>
              <w:t>（km）</w:t>
            </w:r>
          </w:p>
        </w:tc>
        <w:tc>
          <w:tcPr>
            <w:tcW w:w="383" w:type="pct"/>
            <w:vMerge w:val="restart"/>
            <w:noWrap/>
            <w:vAlign w:val="center"/>
          </w:tcPr>
          <w:p>
            <w:pPr>
              <w:pStyle w:val="43"/>
            </w:pPr>
            <w:r>
              <w:t>水质</w:t>
            </w:r>
          </w:p>
          <w:p>
            <w:pPr>
              <w:pStyle w:val="43"/>
            </w:pPr>
            <w:r>
              <w:t>目标</w:t>
            </w:r>
          </w:p>
        </w:tc>
        <w:tc>
          <w:tcPr>
            <w:tcW w:w="383" w:type="pct"/>
            <w:vMerge w:val="restart"/>
            <w:vAlign w:val="center"/>
          </w:tcPr>
          <w:p>
            <w:pPr>
              <w:pStyle w:val="43"/>
            </w:pPr>
            <w:r>
              <w:t>水功能区级别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04" w:type="pct"/>
            <w:vMerge w:val="continue"/>
            <w:vAlign w:val="center"/>
          </w:tcPr>
          <w:p>
            <w:pPr>
              <w:pStyle w:val="43"/>
            </w:pPr>
          </w:p>
        </w:tc>
        <w:tc>
          <w:tcPr>
            <w:tcW w:w="148" w:type="pct"/>
            <w:vMerge w:val="continue"/>
            <w:vAlign w:val="center"/>
          </w:tcPr>
          <w:p>
            <w:pPr>
              <w:pStyle w:val="43"/>
            </w:pPr>
          </w:p>
        </w:tc>
        <w:tc>
          <w:tcPr>
            <w:tcW w:w="510" w:type="pct"/>
            <w:vMerge w:val="continue"/>
            <w:vAlign w:val="center"/>
          </w:tcPr>
          <w:p>
            <w:pPr>
              <w:pStyle w:val="43"/>
            </w:pPr>
          </w:p>
        </w:tc>
        <w:tc>
          <w:tcPr>
            <w:tcW w:w="636" w:type="pct"/>
            <w:noWrap/>
            <w:vAlign w:val="center"/>
          </w:tcPr>
          <w:p>
            <w:pPr>
              <w:pStyle w:val="43"/>
            </w:pPr>
            <w:r>
              <w:t>起始断面</w:t>
            </w:r>
          </w:p>
        </w:tc>
        <w:tc>
          <w:tcPr>
            <w:tcW w:w="636" w:type="pct"/>
            <w:noWrap/>
            <w:vAlign w:val="center"/>
          </w:tcPr>
          <w:p>
            <w:pPr>
              <w:pStyle w:val="43"/>
            </w:pPr>
            <w:r>
              <w:t>终止断面</w:t>
            </w:r>
          </w:p>
        </w:tc>
        <w:tc>
          <w:tcPr>
            <w:tcW w:w="799" w:type="pct"/>
            <w:vMerge w:val="continue"/>
            <w:vAlign w:val="center"/>
          </w:tcPr>
          <w:p>
            <w:pPr>
              <w:pStyle w:val="43"/>
            </w:pPr>
          </w:p>
        </w:tc>
        <w:tc>
          <w:tcPr>
            <w:tcW w:w="383" w:type="pct"/>
            <w:vMerge w:val="continue"/>
            <w:vAlign w:val="center"/>
          </w:tcPr>
          <w:p>
            <w:pPr>
              <w:pStyle w:val="43"/>
            </w:pPr>
          </w:p>
        </w:tc>
        <w:tc>
          <w:tcPr>
            <w:tcW w:w="383" w:type="pct"/>
            <w:vMerge w:val="continue"/>
            <w:vAlign w:val="center"/>
          </w:tcPr>
          <w:p>
            <w:pPr>
              <w:pStyle w:val="4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04" w:type="pct"/>
            <w:noWrap/>
            <w:vAlign w:val="center"/>
          </w:tcPr>
          <w:p>
            <w:pPr>
              <w:pStyle w:val="43"/>
            </w:pPr>
            <w:r>
              <w:t>盐井河陕川缓冲区</w:t>
            </w:r>
          </w:p>
        </w:tc>
        <w:tc>
          <w:tcPr>
            <w:tcW w:w="148" w:type="pct"/>
            <w:noWrap/>
            <w:vAlign w:val="center"/>
          </w:tcPr>
          <w:p>
            <w:pPr>
              <w:pStyle w:val="43"/>
            </w:pPr>
            <w:r>
              <w:t>嘉陵江</w:t>
            </w:r>
          </w:p>
        </w:tc>
        <w:tc>
          <w:tcPr>
            <w:tcW w:w="510" w:type="pct"/>
            <w:noWrap/>
            <w:vAlign w:val="center"/>
          </w:tcPr>
          <w:p>
            <w:pPr>
              <w:pStyle w:val="43"/>
            </w:pPr>
            <w:r>
              <w:t>盐井河</w:t>
            </w:r>
          </w:p>
        </w:tc>
        <w:tc>
          <w:tcPr>
            <w:tcW w:w="636" w:type="pct"/>
            <w:noWrap/>
            <w:vAlign w:val="center"/>
          </w:tcPr>
          <w:p>
            <w:pPr>
              <w:pStyle w:val="43"/>
            </w:pPr>
            <w:r>
              <w:t>川陕交界</w:t>
            </w:r>
          </w:p>
        </w:tc>
        <w:tc>
          <w:tcPr>
            <w:tcW w:w="636" w:type="pct"/>
            <w:noWrap/>
            <w:vAlign w:val="center"/>
          </w:tcPr>
          <w:p>
            <w:pPr>
              <w:pStyle w:val="43"/>
            </w:pPr>
            <w:r>
              <w:t>万家</w:t>
            </w:r>
          </w:p>
        </w:tc>
        <w:tc>
          <w:tcPr>
            <w:tcW w:w="799" w:type="pct"/>
            <w:noWrap/>
            <w:vAlign w:val="center"/>
          </w:tcPr>
          <w:p>
            <w:pPr>
              <w:pStyle w:val="43"/>
            </w:pPr>
            <w:r>
              <w:t>6</w:t>
            </w:r>
          </w:p>
        </w:tc>
        <w:tc>
          <w:tcPr>
            <w:tcW w:w="383" w:type="pct"/>
            <w:noWrap/>
            <w:vAlign w:val="center"/>
          </w:tcPr>
          <w:p>
            <w:pPr>
              <w:pStyle w:val="43"/>
            </w:pPr>
            <w:r>
              <w:t>Ⅱ</w:t>
            </w:r>
          </w:p>
        </w:tc>
        <w:tc>
          <w:tcPr>
            <w:tcW w:w="383" w:type="pct"/>
            <w:noWrap/>
            <w:vAlign w:val="center"/>
          </w:tcPr>
          <w:p>
            <w:pPr>
              <w:pStyle w:val="43"/>
            </w:pPr>
            <w:r>
              <w:t>市级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04" w:type="pct"/>
            <w:noWrap/>
            <w:vAlign w:val="center"/>
          </w:tcPr>
          <w:p>
            <w:pPr>
              <w:pStyle w:val="43"/>
            </w:pPr>
            <w:r>
              <w:t>盐井河旺苍保留区</w:t>
            </w:r>
          </w:p>
        </w:tc>
        <w:tc>
          <w:tcPr>
            <w:tcW w:w="148" w:type="pct"/>
            <w:noWrap/>
            <w:vAlign w:val="center"/>
          </w:tcPr>
          <w:p>
            <w:pPr>
              <w:pStyle w:val="43"/>
            </w:pPr>
            <w:r>
              <w:t>嘉陵江</w:t>
            </w:r>
          </w:p>
        </w:tc>
        <w:tc>
          <w:tcPr>
            <w:tcW w:w="510" w:type="pct"/>
            <w:noWrap/>
            <w:vAlign w:val="center"/>
          </w:tcPr>
          <w:p>
            <w:pPr>
              <w:pStyle w:val="43"/>
            </w:pPr>
            <w:r>
              <w:t>盐井河</w:t>
            </w:r>
          </w:p>
        </w:tc>
        <w:tc>
          <w:tcPr>
            <w:tcW w:w="636" w:type="pct"/>
            <w:noWrap/>
            <w:vAlign w:val="center"/>
          </w:tcPr>
          <w:p>
            <w:pPr>
              <w:pStyle w:val="43"/>
            </w:pPr>
            <w:r>
              <w:t>万家</w:t>
            </w:r>
          </w:p>
        </w:tc>
        <w:tc>
          <w:tcPr>
            <w:tcW w:w="636" w:type="pct"/>
            <w:noWrap/>
            <w:vAlign w:val="center"/>
          </w:tcPr>
          <w:p>
            <w:pPr>
              <w:pStyle w:val="43"/>
            </w:pPr>
            <w:r>
              <w:t>入东河口</w:t>
            </w:r>
          </w:p>
        </w:tc>
        <w:tc>
          <w:tcPr>
            <w:tcW w:w="799" w:type="pct"/>
            <w:noWrap/>
            <w:vAlign w:val="center"/>
          </w:tcPr>
          <w:p>
            <w:pPr>
              <w:pStyle w:val="43"/>
            </w:pPr>
            <w:r>
              <w:t>38.4</w:t>
            </w:r>
          </w:p>
        </w:tc>
        <w:tc>
          <w:tcPr>
            <w:tcW w:w="383" w:type="pct"/>
            <w:noWrap/>
            <w:vAlign w:val="center"/>
          </w:tcPr>
          <w:p>
            <w:pPr>
              <w:pStyle w:val="43"/>
            </w:pPr>
            <w:r>
              <w:t>Ⅲ</w:t>
            </w:r>
          </w:p>
        </w:tc>
        <w:tc>
          <w:tcPr>
            <w:tcW w:w="383" w:type="pct"/>
            <w:noWrap/>
            <w:vAlign w:val="center"/>
          </w:tcPr>
          <w:p>
            <w:pPr>
              <w:pStyle w:val="43"/>
            </w:pPr>
            <w:r>
              <w:t>市级</w:t>
            </w:r>
          </w:p>
        </w:tc>
      </w:tr>
    </w:tbl>
    <w:p>
      <w:pPr>
        <w:pStyle w:val="4"/>
        <w:ind w:left="240"/>
      </w:pPr>
      <w:bookmarkStart w:id="37" w:name="_Toc80719367"/>
      <w:bookmarkStart w:id="38" w:name="_Toc86049148"/>
      <w:r>
        <w:rPr>
          <w:rFonts w:hint="eastAsia"/>
        </w:rPr>
        <w:t>防洪工程</w:t>
      </w:r>
      <w:bookmarkEnd w:id="37"/>
      <w:bookmarkEnd w:id="38"/>
    </w:p>
    <w:p>
      <w:pPr>
        <w:ind w:firstLine="480"/>
      </w:pPr>
      <w:r>
        <w:rPr>
          <w:rFonts w:hint="eastAsia"/>
        </w:rPr>
        <w:t>盐井河现已建成堤防工程一段，为四川省旺苍县盐井河国华镇防洪治理工程，其中盐井河干流1870.65m，红岩沟支流445.07m，总长2315.72m。盐井河干流堤防位于右岸，堤型为斜坡式复合生态堤防，支流红岩沟堤防位于左、右两岸,全长445.07m，其中左岸197.71m，右岸247.35m，两岸均为仰斜式堤型。主要保护国华镇场镇居民及部分农田，保护农田300余亩、保护场镇居民8000余人</w:t>
      </w:r>
    </w:p>
    <w:p>
      <w:pPr>
        <w:pStyle w:val="4"/>
        <w:ind w:left="240"/>
      </w:pPr>
      <w:bookmarkStart w:id="39" w:name="_Toc86049149"/>
      <w:bookmarkStart w:id="40" w:name="_Toc80719368"/>
      <w:r>
        <w:rPr>
          <w:rFonts w:hint="eastAsia"/>
        </w:rPr>
        <w:t>水电站</w:t>
      </w:r>
      <w:bookmarkEnd w:id="39"/>
    </w:p>
    <w:p>
      <w:pPr>
        <w:ind w:firstLine="480"/>
      </w:pPr>
      <w:r>
        <w:rPr>
          <w:rFonts w:hint="eastAsia"/>
        </w:rPr>
        <w:t>根据《东河流域水电开发规划报告》，盐井河水电开发方案为梯级开发，开发方案为上而下规划建设盐河（已建，为现在的福鑫）、国华（规划）、青竹园（规划）三个梯级，加上于规划之前建立的临海电站，总共四个梯级电站。</w:t>
      </w:r>
    </w:p>
    <w:p>
      <w:pPr>
        <w:pStyle w:val="46"/>
        <w:numPr>
          <w:ilvl w:val="0"/>
          <w:numId w:val="2"/>
        </w:numPr>
        <w:ind w:firstLineChars="0"/>
      </w:pPr>
      <w:r>
        <w:rPr>
          <w:rFonts w:hint="eastAsia"/>
        </w:rPr>
        <w:t>福鑫电站</w:t>
      </w:r>
    </w:p>
    <w:p>
      <w:pPr>
        <w:ind w:firstLine="480"/>
        <w:rPr>
          <w:rFonts w:ascii="宋体" w:hAnsi="宋体" w:eastAsia="宋体" w:cs="宋体"/>
          <w:kern w:val="0"/>
        </w:rPr>
      </w:pPr>
      <w:r>
        <w:rPr>
          <w:rFonts w:hint="eastAsia"/>
        </w:rPr>
        <w:t>经坝址坐标、开发利用方式、装机规模等特征参数比对，福鑫电站为《东河流域水电开发规划报告》中规划的盐河电站，后更名为福鑫电站。福鑫电站地处旺苍县距旺苍县城约65km，首部枢纽位于旺苍县万家乡盐井河三元坝汇口下游约50m处，地理坐标为东经</w:t>
      </w:r>
      <w:r>
        <w:t>106°19′51″，北纬32°36′21″</w:t>
      </w:r>
      <w:r>
        <w:rPr>
          <w:rFonts w:hint="eastAsia"/>
        </w:rPr>
        <w:t>；厂房位于盐河镇林区村</w:t>
      </w:r>
      <w:r>
        <w:rPr>
          <w:rFonts w:hint="eastAsia" w:ascii="宋体" w:hAnsi="宋体"/>
        </w:rPr>
        <w:t>盐井</w:t>
      </w:r>
      <w:r>
        <w:rPr>
          <w:rFonts w:hint="eastAsia" w:eastAsiaTheme="minorEastAsia"/>
        </w:rPr>
        <w:t>河</w:t>
      </w:r>
      <w:r>
        <w:rPr>
          <w:rFonts w:hint="eastAsia"/>
        </w:rPr>
        <w:t>“唐家河”段、临海二级电站拱坝上游的左岸阶地，地理坐标为东经106°19</w:t>
      </w:r>
      <w:r>
        <w:t>′</w:t>
      </w:r>
      <w:r>
        <w:rPr>
          <w:rFonts w:hint="eastAsia"/>
        </w:rPr>
        <w:t>16.72″、北纬32°35</w:t>
      </w:r>
      <w:r>
        <w:t>′</w:t>
      </w:r>
      <w:r>
        <w:rPr>
          <w:rFonts w:hint="eastAsia"/>
        </w:rPr>
        <w:t>35.55″</w:t>
      </w:r>
      <w:r>
        <w:rPr>
          <w:rFonts w:hint="eastAsia" w:ascii="宋体" w:hAnsi="宋体" w:eastAsia="宋体" w:cs="宋体"/>
          <w:kern w:val="0"/>
        </w:rPr>
        <w:t>。</w:t>
      </w:r>
    </w:p>
    <w:p>
      <w:pPr>
        <w:ind w:firstLine="480"/>
        <w:rPr>
          <w:rFonts w:ascii="宋体" w:hAnsi="宋体" w:eastAsia="宋体" w:cs="宋体"/>
          <w:kern w:val="0"/>
        </w:rPr>
      </w:pPr>
      <w:r>
        <w:rPr>
          <w:rFonts w:hint="eastAsia"/>
        </w:rPr>
        <w:t>福鑫水电站为</w:t>
      </w:r>
      <w:r>
        <w:rPr>
          <w:rFonts w:hint="eastAsia" w:asciiTheme="minorEastAsia" w:hAnsiTheme="minorEastAsia" w:cstheme="minorEastAsia"/>
        </w:rPr>
        <w:t>引水式开发</w:t>
      </w:r>
      <w:r>
        <w:rPr>
          <w:rFonts w:hint="eastAsia"/>
        </w:rPr>
        <w:t>电站，</w:t>
      </w:r>
      <w:r>
        <w:rPr>
          <w:rFonts w:hint="eastAsia" w:cstheme="minorEastAsia"/>
        </w:rPr>
        <w:t>坝址以上控制流域面积</w:t>
      </w:r>
      <w:r>
        <w:rPr>
          <w:rFonts w:hint="eastAsia"/>
        </w:rPr>
        <w:t>890.2km</w:t>
      </w:r>
      <w:r>
        <w:t>²</w:t>
      </w:r>
      <w:r>
        <w:rPr>
          <w:rFonts w:hint="eastAsia"/>
        </w:rPr>
        <w:t>（实际</w:t>
      </w:r>
      <w:r>
        <w:rPr>
          <w:rFonts w:hint="eastAsia" w:cstheme="minorEastAsia"/>
        </w:rPr>
        <w:t>为</w:t>
      </w:r>
      <w:r>
        <w:rPr>
          <w:rFonts w:hint="eastAsia"/>
        </w:rPr>
        <w:t>489.2km</w:t>
      </w:r>
      <w:r>
        <w:t>²</w:t>
      </w:r>
      <w:r>
        <w:rPr>
          <w:rFonts w:hint="eastAsia"/>
        </w:rPr>
        <w:t>，</w:t>
      </w:r>
      <w:r>
        <w:rPr>
          <w:rFonts w:hint="eastAsia" w:ascii="仿宋" w:hAnsi="仿宋" w:cs="仿宋"/>
        </w:rPr>
        <w:t>扣除扣除天生桥水库集水面积</w:t>
      </w:r>
      <w:r>
        <w:rPr>
          <w:rFonts w:hint="eastAsia" w:cstheme="minorEastAsia"/>
        </w:rPr>
        <w:t>401km</w:t>
      </w:r>
      <w:r>
        <w:t>²</w:t>
      </w:r>
      <w:r>
        <w:rPr>
          <w:rFonts w:hint="eastAsia" w:asciiTheme="minorEastAsia" w:hAnsiTheme="minorEastAsia" w:cstheme="minorEastAsia"/>
        </w:rPr>
        <w:t>）</w:t>
      </w:r>
      <w:r>
        <w:rPr>
          <w:rFonts w:hint="eastAsia" w:cstheme="minorEastAsia"/>
        </w:rPr>
        <w:t>，</w:t>
      </w:r>
      <w:r>
        <w:rPr>
          <w:rFonts w:hint="eastAsia"/>
        </w:rPr>
        <w:t>旺发改（2014）106号文件和旺发改（2015）21号文件批准建设，</w:t>
      </w:r>
      <w:r>
        <w:rPr>
          <w:szCs w:val="24"/>
        </w:rPr>
        <w:t>电站于2015年2月底开工建设，2016年10月建成并投入运行</w:t>
      </w:r>
      <w:r>
        <w:rPr>
          <w:rFonts w:hint="eastAsia"/>
        </w:rPr>
        <w:t>。工程为小（2）型水电站，工程等级为Ⅴ等，主要建筑物为5级。拦河坝设计洪水标准为10年一遇，相应流量2370m</w:t>
      </w:r>
      <w:r>
        <w:rPr>
          <w:rFonts w:cs="Times New Roman"/>
        </w:rPr>
        <w:t>³</w:t>
      </w:r>
      <w:r>
        <w:rPr>
          <w:rFonts w:hint="eastAsia"/>
        </w:rPr>
        <w:t>/s（P=10%）；校核洪水标准为50年一遇，相应流量4190m</w:t>
      </w:r>
      <w:r>
        <w:rPr>
          <w:rFonts w:cs="Times New Roman"/>
        </w:rPr>
        <w:t>³</w:t>
      </w:r>
      <w:r>
        <w:rPr>
          <w:rFonts w:hint="eastAsia"/>
        </w:rPr>
        <w:t>/s（P=2%），电站厂区设计洪水标准为50年一遇，电站装机容量5MW，</w:t>
      </w:r>
      <w:r>
        <w:rPr>
          <w:rFonts w:hint="eastAsia" w:asciiTheme="minorEastAsia" w:hAnsiTheme="minorEastAsia" w:cstheme="minorEastAsia"/>
        </w:rPr>
        <w:t>多年平均发电</w:t>
      </w:r>
      <w:r>
        <w:rPr>
          <w:rFonts w:hint="eastAsia"/>
        </w:rPr>
        <w:t>量2269万kW·h。电站最大坝高11.5m，坝长64m，引水隧洞长1710.902m，设计引水流量11.1m</w:t>
      </w:r>
      <w:r>
        <w:rPr>
          <w:rFonts w:cs="Times New Roman"/>
        </w:rPr>
        <w:t>³</w:t>
      </w:r>
      <w:r>
        <w:rPr>
          <w:rFonts w:hint="eastAsia"/>
        </w:rPr>
        <w:t>/s。福鑫电站坝址以下减水河段1</w:t>
      </w:r>
      <w:r>
        <w:t>.85</w:t>
      </w:r>
      <w:r>
        <w:rPr>
          <w:rFonts w:hint="eastAsia"/>
        </w:rPr>
        <w:t>km，无过鱼设施。</w:t>
      </w:r>
    </w:p>
    <w:p>
      <w:pPr>
        <w:pStyle w:val="46"/>
        <w:numPr>
          <w:ilvl w:val="0"/>
          <w:numId w:val="2"/>
        </w:numPr>
        <w:ind w:firstLineChars="0"/>
      </w:pPr>
      <w:r>
        <w:rPr>
          <w:rFonts w:hint="eastAsia"/>
        </w:rPr>
        <w:t>盐河电站</w:t>
      </w:r>
    </w:p>
    <w:p>
      <w:pPr>
        <w:ind w:firstLine="480"/>
      </w:pPr>
      <w:r>
        <w:rPr>
          <w:rFonts w:hint="eastAsia"/>
        </w:rPr>
        <w:t>盐河电站原名临海电站，后更名为盐河电站，盐河</w:t>
      </w:r>
      <w:r>
        <w:t>位于旺苍县</w:t>
      </w:r>
      <w:r>
        <w:rPr>
          <w:rFonts w:hint="eastAsia"/>
        </w:rPr>
        <w:t>盐河镇林园村</w:t>
      </w:r>
      <w:r>
        <w:t>，距离</w:t>
      </w:r>
      <w:r>
        <w:rPr>
          <w:rFonts w:hint="eastAsia"/>
        </w:rPr>
        <w:t>盐河镇1.3</w:t>
      </w:r>
      <w:r>
        <w:t>km，距旺苍县城</w:t>
      </w:r>
      <w:r>
        <w:rPr>
          <w:rFonts w:hint="eastAsia"/>
        </w:rPr>
        <w:t>41</w:t>
      </w:r>
      <w:r>
        <w:t>km，地理坐标为东经106°</w:t>
      </w:r>
      <w:r>
        <w:rPr>
          <w:rFonts w:hint="eastAsia"/>
        </w:rPr>
        <w:t>19</w:t>
      </w:r>
      <w:r>
        <w:t>´</w:t>
      </w:r>
      <w:r>
        <w:rPr>
          <w:rFonts w:hint="eastAsia"/>
        </w:rPr>
        <w:t>56</w:t>
      </w:r>
      <w:r>
        <w:t>″、北纬32°</w:t>
      </w:r>
      <w:r>
        <w:rPr>
          <w:rFonts w:hint="eastAsia"/>
        </w:rPr>
        <w:t>33</w:t>
      </w:r>
      <w:r>
        <w:t>´</w:t>
      </w:r>
      <w:r>
        <w:rPr>
          <w:rFonts w:hint="eastAsia"/>
        </w:rPr>
        <w:t>09</w:t>
      </w:r>
      <w:r>
        <w:t>″。</w:t>
      </w:r>
      <w:r>
        <w:rPr>
          <w:rFonts w:hint="eastAsia"/>
        </w:rPr>
        <w:t>盐河电站开发利用方式为引水式，开发任务为发电，无防洪、灌溉、航运、城镇及工业用水要求，规划装机容量1</w:t>
      </w:r>
      <w:r>
        <w:t>.5</w:t>
      </w:r>
      <w:r>
        <w:rPr>
          <w:rFonts w:hint="eastAsia"/>
        </w:rPr>
        <w:t>万kW（1</w:t>
      </w:r>
      <w:r>
        <w:t>5</w:t>
      </w:r>
      <w:r>
        <w:rPr>
          <w:rFonts w:hint="eastAsia"/>
        </w:rPr>
        <w:t>mW）。</w:t>
      </w:r>
    </w:p>
    <w:p>
      <w:pPr>
        <w:ind w:firstLine="480"/>
      </w:pPr>
      <w:r>
        <w:t>盐河电站水电站由首部枢纽、引水建筑物、厂区枢纽3部分组成。首部枢纽主要由溢流坝、冲沙孔（1孔）、取水口组成，坝轴线长</w:t>
      </w:r>
      <w:r>
        <w:rPr>
          <w:rFonts w:hint="eastAsia"/>
        </w:rPr>
        <w:t>40</w:t>
      </w:r>
      <w:r>
        <w:t>米，坝高</w:t>
      </w:r>
      <w:r>
        <w:rPr>
          <w:rFonts w:hint="eastAsia"/>
        </w:rPr>
        <w:t>4</w:t>
      </w:r>
      <w:r>
        <w:t>m</w:t>
      </w:r>
      <w:r>
        <w:rPr>
          <w:rFonts w:hint="eastAsia"/>
        </w:rPr>
        <w:t>，坝宽2m</w:t>
      </w:r>
      <w:r>
        <w:t>，水库为日调节。取水口不至于</w:t>
      </w:r>
      <w:r>
        <w:rPr>
          <w:rFonts w:hint="eastAsia"/>
        </w:rPr>
        <w:t>右</w:t>
      </w:r>
      <w:r>
        <w:t>岸，采用“正向泄洪排沙、侧向取水”的布置形式，其前缘与坝轴线成120°夹角。引水建筑物主要由取水口、有压引水隧洞、调压井、压力管道等组成。隧洞总长</w:t>
      </w:r>
      <w:r>
        <w:rPr>
          <w:rFonts w:hint="eastAsia"/>
        </w:rPr>
        <w:t>1.7k</w:t>
      </w:r>
      <w:r>
        <w:t>m</w:t>
      </w:r>
      <w:r>
        <w:rPr>
          <w:rFonts w:hint="eastAsia"/>
        </w:rPr>
        <w:t>，尺寸为1.8×2m</w:t>
      </w:r>
      <w:r>
        <w:t>。厂区枢纽主要由主副厂房、升压站、尾水渠、进场公路等组成。主厂房纵轴线大致平行于河流方向，副厂房布置于主厂房上游侧、升压站位于主厂房右侧、成呈“一”字型布置。</w:t>
      </w:r>
      <w:r>
        <w:rPr>
          <w:rFonts w:hint="eastAsia"/>
        </w:rPr>
        <w:t>盐河电站溢流坝以下减水河段1</w:t>
      </w:r>
      <w:r>
        <w:t>.9</w:t>
      </w:r>
      <w:r>
        <w:rPr>
          <w:rFonts w:hint="eastAsia"/>
        </w:rPr>
        <w:t>km，无过鱼设施。</w:t>
      </w:r>
    </w:p>
    <w:p>
      <w:pPr>
        <w:pStyle w:val="4"/>
        <w:ind w:left="240"/>
      </w:pPr>
      <w:bookmarkStart w:id="41" w:name="_Toc86049150"/>
      <w:r>
        <w:rPr>
          <w:rFonts w:hint="eastAsia"/>
        </w:rPr>
        <w:t>自然保护区</w:t>
      </w:r>
      <w:bookmarkEnd w:id="40"/>
      <w:bookmarkEnd w:id="41"/>
    </w:p>
    <w:p>
      <w:pPr>
        <w:ind w:firstLine="480"/>
      </w:pPr>
      <w:r>
        <w:rPr>
          <w:rFonts w:hint="eastAsia"/>
        </w:rPr>
        <w:t>1、米仓山国家级自然保护区</w:t>
      </w:r>
    </w:p>
    <w:p>
      <w:pPr>
        <w:ind w:firstLine="480"/>
      </w:pPr>
      <w:r>
        <w:rPr>
          <w:rFonts w:hint="eastAsia"/>
        </w:rPr>
        <w:t>（1）成立背景</w:t>
      </w:r>
    </w:p>
    <w:p>
      <w:pPr>
        <w:ind w:firstLine="480"/>
      </w:pPr>
      <w:r>
        <w:rPr>
          <w:rFonts w:hint="eastAsia"/>
        </w:rPr>
        <w:t>四川米仓山自然保护区是由原鼓城山自然保护区更名而来的。1999年2月，四川省人民政府以川府函[1999]2号《四川省人民政府关于将丹巴墨尔多山等16个自然保护区确定为省级自然保护区的通知》，批准鼓城山自然保护区为省级自然保护区。2002年8月16日，四川省人民政府以川府函[2002]235号《四川省人民政府关于同意四川鼓城山自然保护区更名为四川米仓山自然保护区的批复》，将四川鼓城山自然保护区更名为四川米仓山自然保护区。2006年2月20日，被国务院批准为四川米仓山国家级自然保护区。</w:t>
      </w:r>
    </w:p>
    <w:p>
      <w:pPr>
        <w:ind w:firstLine="480"/>
      </w:pPr>
      <w:r>
        <w:rPr>
          <w:rFonts w:hint="eastAsia"/>
        </w:rPr>
        <w:t>（2）地理位置</w:t>
      </w:r>
    </w:p>
    <w:p>
      <w:pPr>
        <w:ind w:firstLine="480"/>
      </w:pPr>
      <w:r>
        <w:rPr>
          <w:rFonts w:hint="eastAsia"/>
        </w:rPr>
        <w:t>四川米仓山自然保护区地处米仓山—大巴山山脉西段南坡，四川省广元市旺苍县境的东北部，嘉陵江支流东河的源头地带。地理位置介于北纬32°29′~32°41′，东经106°24′~106°39′。在行政区域上，包括原鼓城山森林公园、旺苍县国营林场光头山工区、金马工区、檬子潭林场的国有林，旺苍县鼓城乡北部的鼓城、金竹、跃进、关口等4个村和檬子乡的柏杨、店坪2个村。总面积23400公顷。</w:t>
      </w:r>
    </w:p>
    <w:p>
      <w:pPr>
        <w:ind w:firstLine="480"/>
      </w:pPr>
      <w:r>
        <w:rPr>
          <w:rFonts w:hint="eastAsia"/>
        </w:rPr>
        <w:t>（3）保护区边界</w:t>
      </w:r>
    </w:p>
    <w:p>
      <w:pPr>
        <w:ind w:firstLine="482"/>
      </w:pPr>
      <w:r>
        <w:rPr>
          <w:rFonts w:hint="eastAsia" w:ascii="仿宋" w:hAnsi="仿宋"/>
          <w:b/>
        </w:rPr>
        <w:t>东界</w:t>
      </w:r>
      <w:r>
        <w:rPr>
          <w:rFonts w:hint="eastAsia"/>
          <w:b/>
        </w:rPr>
        <w:t>：</w:t>
      </w:r>
      <w:r>
        <w:rPr>
          <w:rFonts w:hint="eastAsia"/>
        </w:rPr>
        <w:t>以县界为界，北起欧家坪，南溯廖林沟沟尾至县界，与南江县相邻。</w:t>
      </w:r>
    </w:p>
    <w:p>
      <w:pPr>
        <w:ind w:firstLine="482"/>
        <w:rPr>
          <w:rFonts w:ascii="仿宋" w:hAnsi="仿宋"/>
          <w:b/>
        </w:rPr>
      </w:pPr>
      <w:r>
        <w:rPr>
          <w:rFonts w:hint="eastAsia" w:ascii="仿宋" w:hAnsi="仿宋"/>
          <w:b/>
        </w:rPr>
        <w:t>北界</w:t>
      </w:r>
      <w:r>
        <w:rPr>
          <w:rFonts w:hint="eastAsia"/>
          <w:b/>
        </w:rPr>
        <w:t>：</w:t>
      </w:r>
      <w:r>
        <w:rPr>
          <w:rFonts w:hint="eastAsia"/>
        </w:rPr>
        <w:t>以省界为界，东起欧家坪城岩北，向西经城墙岩主峰（海拔2281米）和无名峰（海拔2226米），然后折向西北至官牛洞，由此沿长潭河折向西南，经分水岭向西至大坝口。这是与陕西省宁强县的</w:t>
      </w:r>
      <w:r>
        <w:rPr>
          <w:rFonts w:hint="eastAsia" w:ascii="仿宋" w:hAnsi="仿宋"/>
        </w:rPr>
        <w:t>分界线。</w:t>
      </w:r>
    </w:p>
    <w:p>
      <w:pPr>
        <w:ind w:firstLine="482"/>
      </w:pPr>
      <w:r>
        <w:rPr>
          <w:rFonts w:hint="eastAsia" w:ascii="仿宋" w:hAnsi="仿宋"/>
          <w:b/>
        </w:rPr>
        <w:t>西界</w:t>
      </w:r>
      <w:r>
        <w:rPr>
          <w:rFonts w:hint="eastAsia"/>
          <w:b/>
        </w:rPr>
        <w:t>：</w:t>
      </w:r>
      <w:r>
        <w:rPr>
          <w:rFonts w:hint="eastAsia"/>
        </w:rPr>
        <w:t>由大坝口向西，经蒋家坝南缘，再经梨树碥北面至大红岩西北，然后向西至海拔2103.7米的无名山，再折向东南，经塔子湾，抵达海拔2021米的山峰。这是与陕西省宁强县的分界线。</w:t>
      </w:r>
    </w:p>
    <w:p>
      <w:pPr>
        <w:ind w:firstLine="482"/>
      </w:pPr>
      <w:r>
        <w:rPr>
          <w:rFonts w:hint="eastAsia" w:ascii="仿宋" w:hAnsi="仿宋"/>
          <w:b/>
        </w:rPr>
        <w:t>南界</w:t>
      </w:r>
      <w:r>
        <w:rPr>
          <w:rFonts w:hint="eastAsia"/>
          <w:b/>
        </w:rPr>
        <w:t>：</w:t>
      </w:r>
      <w:r>
        <w:rPr>
          <w:rFonts w:hint="eastAsia"/>
        </w:rPr>
        <w:t>由光头山向东北沿龙神沟南支，经石板垭—庄房垭—石人山达宽滩河支沟洞子沟中游，然后沿洞子沟向南，过宽滩河，向东南经王家河—张家湾—经岩坝—鄢家湾—唐家垭—松包寨（海拔1901米）—木场坪—大阴坡达岳溪河上游黄金峡，沿西南方向翻王家梁子至纸厂沟，再转向东南，溯纸厂沟、廖林沟至县界，与东界的南端相接。</w:t>
      </w:r>
    </w:p>
    <w:p>
      <w:pPr>
        <w:ind w:firstLine="480"/>
      </w:pPr>
      <w:r>
        <w:rPr>
          <w:rFonts w:hint="eastAsia"/>
        </w:rPr>
        <w:t>（</w:t>
      </w:r>
      <w:r>
        <w:t>4</w:t>
      </w:r>
      <w:r>
        <w:rPr>
          <w:rFonts w:hint="eastAsia"/>
        </w:rPr>
        <w:t>）动植物资源</w:t>
      </w:r>
    </w:p>
    <w:p>
      <w:pPr>
        <w:ind w:firstLine="480"/>
      </w:pPr>
      <w:r>
        <w:rPr>
          <w:rFonts w:hint="eastAsia"/>
        </w:rPr>
        <w:t>四川米仓山自然保护区有维管束植物195科949属2597种，其中蕨类植物32科75属213种；裸子植物8科21属43种；被子植物155科853属2341种。植物科占全国植物科的55.24%，属占全国植物属的29.86%，种占全国植物种的9.57%。</w:t>
      </w:r>
    </w:p>
    <w:p>
      <w:pPr>
        <w:ind w:firstLine="480"/>
      </w:pPr>
      <w:r>
        <w:rPr>
          <w:rFonts w:hint="eastAsia"/>
        </w:rPr>
        <w:t>保护区还蕴藏有十分丰富的中药材资源，可直接利用的药用植物主要有党参、泡参、天麻、桔梗、柴胡、半夏、黄柏、五味子、南五味子、淫羊藿等多种；可用于生产新药的药源植物有石杉、八角莲等。</w:t>
      </w:r>
    </w:p>
    <w:p>
      <w:pPr>
        <w:ind w:firstLine="480"/>
      </w:pPr>
      <w:r>
        <w:rPr>
          <w:rFonts w:hint="eastAsia"/>
        </w:rPr>
        <w:t>保护区独特的地形地貌和优越的自然生境条件，大面积保存完好的原始森林，为野生动物提供了良好的栖息环境，孕育了丰富的野生动物资源。据统计，保护区内有鱼类6目13科51属70种占四川省鱼类种数的28.69%、两栖类2目9科18属32种占全省两栖动物种数28.83%、爬行类2目8科20属31种占全省爬行类动物种数的36.90%、鸟类17目93科173属241种占全省鸟类种数的39.19%,且我国特有鸟类较多,占全国特有种数的14.29%、哺乳类7目24科67属88种占全省哺乳类动物种数的40.37%，共有脊椎动物34目147科329属462种。</w:t>
      </w:r>
    </w:p>
    <w:p>
      <w:pPr>
        <w:ind w:firstLine="480"/>
      </w:pPr>
      <w:r>
        <w:rPr>
          <w:rFonts w:hint="eastAsia"/>
        </w:rPr>
        <w:t>在保护区462种脊椎动物中，属于国家Ⅰ级重点保护的野生动物有豹、云豹、林麝、扭角羚、金雕等五种；属国家Ⅱ级重点保护的野生动物有大鲵、豺、红腹角雉、藏酋猴等39种；国家保护的有益或者有重要经济、科研价值的动物如毛冠鹿、豹猫等161种。猕猴、大鲵、黑熊等在保护区较为常见。保护区内分布的国家重点保护的野生动物占四川省分布的国家重点保护野生动物的29.93%。这些在国家重点保护野生动物中，扭角羚的发现，具有重要意义。</w:t>
      </w:r>
    </w:p>
    <w:p>
      <w:pPr>
        <w:ind w:firstLine="480"/>
      </w:pPr>
      <w:r>
        <w:rPr>
          <w:rFonts w:hint="eastAsia"/>
        </w:rPr>
        <w:t>（5）评价河段与米仓山自然保护区的位置关系</w:t>
      </w:r>
    </w:p>
    <w:p>
      <w:pPr>
        <w:ind w:firstLine="480"/>
      </w:pPr>
      <w:r>
        <w:rPr>
          <w:rFonts w:hint="eastAsia"/>
        </w:rPr>
        <w:t>盐井河流域仅盐河电站上游左岸支沟茶园沟上段位于米仓山自然保护区，盐井河干流均不涉及米仓山自然保护区。盐井河与米仓山自然保护区相对位置关系见附图3。</w:t>
      </w:r>
    </w:p>
    <w:p>
      <w:pPr>
        <w:ind w:firstLine="480"/>
        <w:rPr>
          <w:bCs/>
          <w:szCs w:val="24"/>
        </w:rPr>
      </w:pPr>
      <w:r>
        <w:rPr>
          <w:rFonts w:hint="eastAsia"/>
        </w:rPr>
        <w:t>2、</w:t>
      </w:r>
      <w:r>
        <w:rPr>
          <w:rFonts w:hint="eastAsia"/>
          <w:bCs/>
          <w:szCs w:val="24"/>
        </w:rPr>
        <w:t>东河上游特有鱼类省级水产种质资源保护区</w:t>
      </w:r>
    </w:p>
    <w:p>
      <w:pPr>
        <w:ind w:firstLine="480"/>
        <w:rPr>
          <w:bCs/>
          <w:szCs w:val="24"/>
        </w:rPr>
      </w:pPr>
      <w:r>
        <w:rPr>
          <w:rFonts w:hint="eastAsia"/>
          <w:bCs/>
          <w:szCs w:val="24"/>
        </w:rPr>
        <w:t>（</w:t>
      </w:r>
      <w:r>
        <w:rPr>
          <w:bCs/>
          <w:szCs w:val="24"/>
        </w:rPr>
        <w:t>1</w:t>
      </w:r>
      <w:r>
        <w:rPr>
          <w:rFonts w:hint="eastAsia"/>
          <w:bCs/>
          <w:szCs w:val="24"/>
        </w:rPr>
        <w:t>）成立背景</w:t>
      </w:r>
    </w:p>
    <w:p>
      <w:pPr>
        <w:ind w:firstLine="480"/>
      </w:pPr>
      <w:r>
        <w:rPr>
          <w:rFonts w:hint="eastAsia"/>
        </w:rPr>
        <w:t>2009年12月21日，根据四川省水利厅《关于成立第二批省级水产种质资源保护区的请示》（川水</w:t>
      </w:r>
      <w:r>
        <w:t>[20</w:t>
      </w:r>
      <w:r>
        <w:rPr>
          <w:rFonts w:hint="eastAsia"/>
        </w:rPr>
        <w:t>09</w:t>
      </w:r>
      <w:r>
        <w:t>]</w:t>
      </w:r>
      <w:r>
        <w:rPr>
          <w:rFonts w:hint="eastAsia"/>
        </w:rPr>
        <w:t>126号），经四川省人民政府《关于建立巴河岩原鲤华鲮等6处省级水产种质资源保护区的批复》（川府函</w:t>
      </w:r>
      <w:r>
        <w:t>[20</w:t>
      </w:r>
      <w:r>
        <w:rPr>
          <w:rFonts w:hint="eastAsia"/>
        </w:rPr>
        <w:t>09</w:t>
      </w:r>
      <w:r>
        <w:t>]</w:t>
      </w:r>
      <w:r>
        <w:rPr>
          <w:rFonts w:hint="eastAsia"/>
        </w:rPr>
        <w:t>289号）批准，</w:t>
      </w:r>
      <w:r>
        <w:t>东河上游特有鱼类省级水产种质资源保护区</w:t>
      </w:r>
      <w:r>
        <w:rPr>
          <w:rFonts w:hint="eastAsia"/>
        </w:rPr>
        <w:t>于</w:t>
      </w:r>
      <w:r>
        <w:t>2009年12月</w:t>
      </w:r>
      <w:r>
        <w:rPr>
          <w:rFonts w:hint="eastAsia"/>
        </w:rPr>
        <w:t>建立。</w:t>
      </w:r>
      <w:r>
        <w:rPr>
          <w:rFonts w:hint="eastAsia"/>
          <w:szCs w:val="24"/>
        </w:rPr>
        <w:t>保护区</w:t>
      </w:r>
      <w:r>
        <w:rPr>
          <w:szCs w:val="24"/>
        </w:rPr>
        <w:t>总面积620公顷，总长度118.4km，分核心区和实验区。其中核心区面积180公顷，实验区面积440公顷。核心区特别保护期为全年。</w:t>
      </w:r>
    </w:p>
    <w:p>
      <w:pPr>
        <w:ind w:firstLine="480"/>
      </w:pPr>
      <w:r>
        <w:rPr>
          <w:rFonts w:hint="eastAsia"/>
        </w:rPr>
        <w:t>（2）保护区边界</w:t>
      </w:r>
    </w:p>
    <w:p>
      <w:pPr>
        <w:ind w:firstLine="480"/>
      </w:pPr>
      <w:r>
        <w:t>保护区位于广元市旺苍县境内，范围在东经105°58′26″至106°48′46″，北纬31°59′至32°43′之间。包括东河上游宽滩河流经的檬子乡场镇至双汇镇，盐井河流经的万家乡与陕西省宁强县毛坝镇交界处至双汇镇，再由东河流经的双汇镇至东河电站大坝处，全长118.4km。</w:t>
      </w:r>
      <w:r>
        <w:rPr>
          <w:rFonts w:hint="eastAsia"/>
        </w:rPr>
        <w:t>保护区分区如下：</w:t>
      </w:r>
    </w:p>
    <w:p>
      <w:pPr>
        <w:ind w:firstLine="480"/>
      </w:pPr>
      <w:r>
        <w:t>核心区：</w:t>
      </w:r>
      <w:r>
        <w:rPr>
          <w:rFonts w:hint="eastAsia"/>
        </w:rPr>
        <w:t>长38.4</w:t>
      </w:r>
      <w:r>
        <w:t>km</w:t>
      </w:r>
      <w:r>
        <w:rPr>
          <w:rFonts w:hint="eastAsia"/>
        </w:rPr>
        <w:t>，面积180公顷，占保护区总面积的29.03%。</w:t>
      </w:r>
      <w:r>
        <w:t>宽滩河流经的檬子乡场镇（东经106°32′34″，北纬32°33′15″）至英萃镇场镇（东经105°26′53″，北纬32°28′25″），长27.2km；盐井河流经的万家与陕西省宁强县毛坝镇交界处（东经105°20′55″，北纬32°40′36″），经盐河镇场镇（东经105°20′55″，北纬32°32′49″）至国华镇场镇（东经106°17′40″，北纬32°28′48″），长18.2km。</w:t>
      </w:r>
    </w:p>
    <w:p>
      <w:pPr>
        <w:ind w:firstLine="480"/>
      </w:pPr>
      <w:r>
        <w:t>实验区：</w:t>
      </w:r>
      <w:r>
        <w:rPr>
          <w:rFonts w:hint="eastAsia"/>
        </w:rPr>
        <w:t>长80</w:t>
      </w:r>
      <w:r>
        <w:t>km</w:t>
      </w:r>
      <w:r>
        <w:rPr>
          <w:rFonts w:hint="eastAsia"/>
        </w:rPr>
        <w:t>，面积440公顷，占保护区总面积的70.97%。</w:t>
      </w:r>
      <w:r>
        <w:t>宽滩河流经的英萃镇场镇（东经105°26′53″，北纬32°28′25″）至双汇镇场镇（东经106°17′31″，北纬32°21′40″），长31.0km，面积210公顷；盐井河流经的国华镇场镇（东经106°17′40″，北纬32°28′48″）至双汇镇场镇（东经106°17′31″，北纬32°21′40″），长25.0km，面积110公顷；东河流经的双汇镇场镇（东经106°17′31″，北纬32°21′40″）至东河电站大坝处（东经106°16′48″，北纬32°16′33″），长17.0km</w:t>
      </w:r>
      <w:r>
        <w:rPr>
          <w:rFonts w:hint="eastAsia"/>
        </w:rPr>
        <w:t>，</w:t>
      </w:r>
      <w:r>
        <w:t>面积120公顷。</w:t>
      </w:r>
    </w:p>
    <w:p>
      <w:pPr>
        <w:ind w:firstLine="480"/>
      </w:pPr>
      <w:r>
        <w:rPr>
          <w:rFonts w:hint="eastAsia"/>
        </w:rPr>
        <w:t>（3）主要保护对象</w:t>
      </w:r>
    </w:p>
    <w:p>
      <w:pPr>
        <w:ind w:firstLine="480"/>
      </w:pPr>
      <w:r>
        <w:t>保护区内河段的国家二级重点保护野生动物大鲵，以及当地主要经济鱼类中华裂腹鱼都是该保护区的主要保护对象。其它保护物种</w:t>
      </w:r>
      <w:r>
        <w:rPr>
          <w:rFonts w:hint="eastAsia"/>
        </w:rPr>
        <w:t>有</w:t>
      </w:r>
      <w:r>
        <w:t>细鳞斜颌鲴、鱤鱼、多鳞铲颌鱼、唇䱻、华鲮、方氏鲴、尖头鱥、宽鳍鱲、高体近红鲌、蛇鮈、嘉陵颌须鮈、峨眉后平鳅、文县疣螈、秦巴北鲵等。</w:t>
      </w:r>
    </w:p>
    <w:p>
      <w:pPr>
        <w:ind w:firstLine="480"/>
      </w:pPr>
      <w:r>
        <w:rPr>
          <w:rFonts w:hint="eastAsia"/>
        </w:rPr>
        <w:t>（4）大鲵主要分布范围</w:t>
      </w:r>
    </w:p>
    <w:p>
      <w:pPr>
        <w:ind w:firstLine="480"/>
      </w:pPr>
      <w:r>
        <w:rPr>
          <w:rFonts w:hint="eastAsia"/>
          <w:szCs w:val="24"/>
        </w:rPr>
        <w:t>保护区盐井河干流核心区河段</w:t>
      </w:r>
      <w:r>
        <w:t>是保护区主要保护对象</w:t>
      </w:r>
      <w:r>
        <w:rPr>
          <w:rFonts w:hint="eastAsia"/>
        </w:rPr>
        <w:t>之一</w:t>
      </w:r>
      <w:r>
        <w:t>大鲵的主要栖息场所。</w:t>
      </w:r>
      <w:r>
        <w:rPr>
          <w:rFonts w:hint="eastAsia"/>
        </w:rPr>
        <w:t>其范围为：</w:t>
      </w:r>
      <w:r>
        <w:rPr>
          <w:rFonts w:hint="eastAsia"/>
          <w:szCs w:val="24"/>
        </w:rPr>
        <w:t>从</w:t>
      </w:r>
      <w:r>
        <w:rPr>
          <w:szCs w:val="24"/>
        </w:rPr>
        <w:t>万家与陕西省宁强县毛坝镇交界处（东经105°20′55″，北纬32°40′36″），经盐河镇场镇（东经105°20′55″，北纬32°32′49″）至国华镇场镇（东经106°17′40″，北纬32°28′48″），</w:t>
      </w:r>
      <w:r>
        <w:rPr>
          <w:rFonts w:hint="eastAsia"/>
          <w:szCs w:val="24"/>
        </w:rPr>
        <w:t>河段</w:t>
      </w:r>
      <w:r>
        <w:rPr>
          <w:szCs w:val="24"/>
        </w:rPr>
        <w:t>长18.2km</w:t>
      </w:r>
      <w:r>
        <w:rPr>
          <w:rFonts w:hint="eastAsia"/>
          <w:szCs w:val="24"/>
        </w:rPr>
        <w:t>。</w:t>
      </w:r>
    </w:p>
    <w:p>
      <w:pPr>
        <w:ind w:firstLine="480"/>
        <w:jc w:val="left"/>
        <w:rPr>
          <w:szCs w:val="24"/>
        </w:rPr>
      </w:pPr>
      <w:r>
        <w:t>该河段滩、潭、沱交错，河流周边植被丰富，水质清澈，特别是河岸的洞缝为大鲵的栖息、繁殖提供了得天独厚的自然条件。在80年代以前，沿岸居民经常可以看到大鲵在</w:t>
      </w:r>
      <w:r>
        <w:rPr>
          <w:rFonts w:hint="eastAsia"/>
        </w:rPr>
        <w:t>盐井</w:t>
      </w:r>
      <w:r>
        <w:t>河的活动。80年代以后，特别是90年代后</w:t>
      </w:r>
      <w:r>
        <w:rPr>
          <w:rFonts w:hint="eastAsia"/>
        </w:rPr>
        <w:t>期</w:t>
      </w:r>
      <w:r>
        <w:t>，随着大鲵市场价格的节节攀升以及修路筑桥等人为活动的影响，大鲵资源日渐减少。近年来大鲵价格大幅下降，再加上大鲵人工繁殖及苗种培育技术日趋成熟，对野生大鲵的威胁逐渐减缓，大鲵在</w:t>
      </w:r>
      <w:r>
        <w:rPr>
          <w:rFonts w:hint="eastAsia"/>
        </w:rPr>
        <w:t>盐井河</w:t>
      </w:r>
      <w:r>
        <w:t>的资源量有了一定的恢复，调查中我们了解到，</w:t>
      </w:r>
      <w:r>
        <w:rPr>
          <w:rFonts w:hint="eastAsia"/>
        </w:rPr>
        <w:t>近两年</w:t>
      </w:r>
      <w:r>
        <w:t>有人曾经</w:t>
      </w:r>
      <w:r>
        <w:rPr>
          <w:rFonts w:hint="eastAsia"/>
        </w:rPr>
        <w:t>在</w:t>
      </w:r>
      <w:r>
        <w:rPr>
          <w:rFonts w:hint="eastAsia"/>
          <w:szCs w:val="24"/>
        </w:rPr>
        <w:t>盐河镇</w:t>
      </w:r>
      <w:r>
        <w:rPr>
          <w:rFonts w:hint="eastAsia"/>
        </w:rPr>
        <w:t>上游盐井河</w:t>
      </w:r>
      <w:r>
        <w:rPr>
          <w:rFonts w:hint="eastAsia"/>
          <w:szCs w:val="24"/>
        </w:rPr>
        <w:t>河段</w:t>
      </w:r>
      <w:r>
        <w:rPr>
          <w:rFonts w:hint="eastAsia"/>
        </w:rPr>
        <w:t>偶尔</w:t>
      </w:r>
      <w:r>
        <w:t>发现大鲵</w:t>
      </w:r>
      <w:r>
        <w:rPr>
          <w:rFonts w:hint="eastAsia"/>
        </w:rPr>
        <w:t>的</w:t>
      </w:r>
      <w:r>
        <w:rPr>
          <w:rFonts w:hint="eastAsia"/>
          <w:szCs w:val="24"/>
        </w:rPr>
        <w:t>出现。</w:t>
      </w:r>
    </w:p>
    <w:p>
      <w:pPr>
        <w:ind w:firstLine="480"/>
        <w:jc w:val="left"/>
        <w:rPr>
          <w:bCs/>
          <w:szCs w:val="24"/>
        </w:rPr>
      </w:pPr>
      <w:r>
        <w:rPr>
          <w:rFonts w:hint="eastAsia"/>
          <w:szCs w:val="24"/>
        </w:rPr>
        <w:t>（5）评价河段与</w:t>
      </w:r>
      <w:r>
        <w:rPr>
          <w:rFonts w:hint="eastAsia"/>
          <w:bCs/>
          <w:szCs w:val="24"/>
        </w:rPr>
        <w:t>东河上游特有鱼类省级水产种质资源保护区的位置关系</w:t>
      </w:r>
    </w:p>
    <w:p>
      <w:pPr>
        <w:ind w:firstLine="480"/>
        <w:jc w:val="left"/>
        <w:rPr>
          <w:szCs w:val="24"/>
        </w:rPr>
      </w:pPr>
      <w:r>
        <w:rPr>
          <w:rFonts w:hint="eastAsia"/>
          <w:szCs w:val="24"/>
        </w:rPr>
        <w:t>盐井河旺苍县境内河段均位于</w:t>
      </w:r>
      <w:r>
        <w:rPr>
          <w:rFonts w:hint="eastAsia"/>
          <w:bCs/>
          <w:szCs w:val="24"/>
        </w:rPr>
        <w:t>东河上游特有鱼类省级水产种质资源保护区内，其中，</w:t>
      </w:r>
      <w:r>
        <w:rPr>
          <w:rFonts w:hint="eastAsia"/>
          <w:szCs w:val="24"/>
        </w:rPr>
        <w:t>从</w:t>
      </w:r>
      <w:r>
        <w:rPr>
          <w:szCs w:val="24"/>
        </w:rPr>
        <w:t>万家与陕西省宁强县毛坝镇交界处经盐河镇至国华镇场镇</w:t>
      </w:r>
      <w:r>
        <w:rPr>
          <w:rFonts w:hint="eastAsia"/>
          <w:szCs w:val="24"/>
        </w:rPr>
        <w:t>为保护区核心区，国华镇至东河汇口双汇镇为实验区。</w:t>
      </w:r>
      <w:r>
        <w:rPr>
          <w:rFonts w:hint="eastAsia"/>
          <w:bCs/>
          <w:szCs w:val="24"/>
        </w:rPr>
        <w:t>东河上游特有鱼类省级水产种质资源保护区区划图见附图</w:t>
      </w:r>
      <w:r>
        <w:rPr>
          <w:bCs/>
          <w:szCs w:val="24"/>
        </w:rPr>
        <w:t>4</w:t>
      </w:r>
      <w:r>
        <w:rPr>
          <w:rFonts w:hint="eastAsia"/>
          <w:bCs/>
          <w:szCs w:val="24"/>
        </w:rPr>
        <w:t>。</w:t>
      </w:r>
    </w:p>
    <w:p>
      <w:pPr>
        <w:ind w:firstLine="480"/>
      </w:pPr>
      <w:r>
        <w:rPr>
          <w:rFonts w:hint="eastAsia"/>
        </w:rPr>
        <w:t>2、汉王山东河湿地省级自然保护区</w:t>
      </w:r>
    </w:p>
    <w:p>
      <w:pPr>
        <w:ind w:firstLine="480"/>
      </w:pPr>
      <w:r>
        <w:rPr>
          <w:rFonts w:hint="eastAsia"/>
        </w:rPr>
        <w:t>（1）成立背景</w:t>
      </w:r>
    </w:p>
    <w:p>
      <w:pPr>
        <w:ind w:firstLine="480"/>
      </w:pPr>
      <w:r>
        <w:t>2013</w:t>
      </w:r>
      <w:r>
        <w:rPr>
          <w:rFonts w:hint="eastAsia"/>
        </w:rPr>
        <w:t>年，</w:t>
      </w:r>
      <w:r>
        <w:t>广元市人民政府以广府</w:t>
      </w:r>
      <w:r>
        <w:rPr>
          <w:rFonts w:hint="eastAsia"/>
        </w:rPr>
        <w:t>[</w:t>
      </w:r>
      <w:r>
        <w:t>2013]76号文、旺苍县人民政府以旺府</w:t>
      </w:r>
      <w:r>
        <w:rPr>
          <w:rFonts w:hint="eastAsia"/>
        </w:rPr>
        <w:t>[</w:t>
      </w:r>
      <w:r>
        <w:t>2013</w:t>
      </w:r>
      <w:r>
        <w:rPr>
          <w:rFonts w:hint="eastAsia"/>
        </w:rPr>
        <w:t>]</w:t>
      </w:r>
      <w:r>
        <w:t>70号文的形式申报四川汉王山东河湿地省级自然保护区。</w:t>
      </w:r>
    </w:p>
    <w:p>
      <w:pPr>
        <w:ind w:firstLine="480"/>
        <w:rPr>
          <w:rFonts w:ascii="宋体" w:hAnsi="宋体"/>
          <w:sz w:val="28"/>
          <w:szCs w:val="28"/>
        </w:rPr>
      </w:pPr>
      <w:r>
        <w:t>2013年10月16日，四川省水产局在成都组织召开会议，对《四川汉王山东河湿地省级自然保护区总体规划》进行审查。认为《总体规划》指导思想明确，保护区功能区划合理，规划内容较全面，符合自然保护区有关规定和当地实际情况，实施后对水生生态系统和物种多样性保护起到积极作用。</w:t>
      </w:r>
    </w:p>
    <w:p>
      <w:pPr>
        <w:ind w:firstLine="480"/>
      </w:pPr>
      <w:r>
        <w:rPr>
          <w:rFonts w:hint="eastAsia"/>
        </w:rPr>
        <w:t>2</w:t>
      </w:r>
      <w:r>
        <w:t>014</w:t>
      </w:r>
      <w:r>
        <w:rPr>
          <w:rFonts w:hint="eastAsia"/>
        </w:rPr>
        <w:t>年，四川省人民政府以川府函[</w:t>
      </w:r>
      <w:r>
        <w:t>2014]42</w:t>
      </w:r>
      <w:r>
        <w:rPr>
          <w:rFonts w:hint="eastAsia"/>
        </w:rPr>
        <w:t>号文《四川省人民政府关于同意建立四川汉王山东河湿地省级自然保护区的批复》同意建立汉王山东河湿地自然保护区。</w:t>
      </w:r>
    </w:p>
    <w:p>
      <w:pPr>
        <w:ind w:firstLine="480"/>
      </w:pPr>
      <w:r>
        <w:rPr>
          <w:rFonts w:hint="eastAsia"/>
        </w:rPr>
        <w:t>（2）地理位置</w:t>
      </w:r>
    </w:p>
    <w:p>
      <w:pPr>
        <w:ind w:firstLine="480"/>
      </w:pPr>
      <w:r>
        <w:t>四川汉王山东河湿地省级自然保护区位于四川省广元市旺苍县境内，主要由东河及两条支流宽滩河和盐井河组成。保护区水域东河段长13.92km，盐井河长33.90km，宽滩河长约47.53km，宽滩河支流干河6.56km，保护区河流总长度101.91km，保护区水域总面积585.94hm</w:t>
      </w:r>
      <w:r>
        <w:rPr>
          <w:vertAlign w:val="superscript"/>
        </w:rPr>
        <w:t>2</w:t>
      </w:r>
      <w:r>
        <w:t>。</w:t>
      </w:r>
    </w:p>
    <w:p>
      <w:pPr>
        <w:ind w:firstLine="480"/>
      </w:pPr>
      <w:r>
        <w:rPr>
          <w:rFonts w:hint="eastAsia"/>
        </w:rPr>
        <w:t>（3）保护区边界</w:t>
      </w:r>
    </w:p>
    <w:p>
      <w:pPr>
        <w:ind w:firstLine="480"/>
      </w:pPr>
      <w:r>
        <w:t>核心区：宽滩河米仓山边界正源镇檬子镇下至双汇镇39.55km，盐井河源盐河镇至福庆镇15.98km。核心区全长55.53km，面积共计307.58hm</w:t>
      </w:r>
      <w:r>
        <w:rPr>
          <w:vertAlign w:val="superscript"/>
        </w:rPr>
        <w:t>2</w:t>
      </w:r>
      <w:r>
        <w:t>。</w:t>
      </w:r>
    </w:p>
    <w:p>
      <w:pPr>
        <w:ind w:firstLine="480"/>
      </w:pPr>
      <w:r>
        <w:t>缓冲区：宽滩河右源米仓山边界至汇口6.56km，宽滩河双汇镇至正源镇7.98km，盐井河临海电站坝址至盐河镇3.36km，盐井河双汇镇至福庆镇14.56km，缓冲区全长32.46km，面积共计183.08hm</w:t>
      </w:r>
      <w:r>
        <w:rPr>
          <w:vertAlign w:val="superscript"/>
        </w:rPr>
        <w:t>2</w:t>
      </w:r>
      <w:r>
        <w:t>。</w:t>
      </w:r>
    </w:p>
    <w:p>
      <w:pPr>
        <w:ind w:firstLine="480"/>
      </w:pPr>
      <w:r>
        <w:t>实验区：东河干流双汇镇下至东河电站13.92km，面积共计95.28hm</w:t>
      </w:r>
      <w:r>
        <w:rPr>
          <w:vertAlign w:val="superscript"/>
        </w:rPr>
        <w:t>2</w:t>
      </w:r>
      <w:r>
        <w:t>。</w:t>
      </w:r>
    </w:p>
    <w:p>
      <w:pPr>
        <w:ind w:firstLine="480"/>
      </w:pPr>
      <w:r>
        <w:rPr>
          <w:rFonts w:hint="eastAsia"/>
        </w:rPr>
        <w:t>（4）主要保护对象</w:t>
      </w:r>
    </w:p>
    <w:p>
      <w:pPr>
        <w:ind w:firstLine="480"/>
      </w:pPr>
      <w:r>
        <w:rPr>
          <w:rFonts w:hint="eastAsia"/>
          <w:szCs w:val="24"/>
        </w:rPr>
        <w:t>以河流湿地生态系统、珍稀水生生物及物种多样性为主要保护对象。</w:t>
      </w:r>
    </w:p>
    <w:p>
      <w:pPr>
        <w:ind w:firstLine="480"/>
      </w:pPr>
      <w:r>
        <w:rPr>
          <w:rFonts w:hint="eastAsia"/>
        </w:rPr>
        <w:t>（</w:t>
      </w:r>
      <w:r>
        <w:t>5</w:t>
      </w:r>
      <w:r>
        <w:rPr>
          <w:rFonts w:hint="eastAsia"/>
        </w:rPr>
        <w:t>）保护区动植物资源</w:t>
      </w:r>
    </w:p>
    <w:p>
      <w:pPr>
        <w:ind w:firstLine="480"/>
      </w:pPr>
      <w:r>
        <w:rPr>
          <w:rFonts w:hint="eastAsia"/>
        </w:rPr>
        <w:t>1）植物资源</w:t>
      </w:r>
    </w:p>
    <w:p>
      <w:pPr>
        <w:ind w:firstLine="480"/>
      </w:pPr>
      <w:r>
        <w:t>保护区周边主要分布有各类植物119种，分属于47科。</w:t>
      </w:r>
    </w:p>
    <w:p>
      <w:pPr>
        <w:ind w:firstLine="480"/>
      </w:pPr>
      <w:r>
        <w:t>在海拔1300m以下为低山常绿阔叶林带。常绿阔叶林是保护区基带植被。该地带的原生性常绿阔叶林被破坏殆尽，仅有零星残留于陡峭天然次生林，并演化为以柏木为主的亚热带针叶林、以化香树、栓皮栎、栗（Castaneasequinii）为主的落叶阔叶林。</w:t>
      </w:r>
    </w:p>
    <w:p>
      <w:pPr>
        <w:ind w:firstLine="480"/>
      </w:pPr>
      <w:r>
        <w:t>海拔1300～2000m为山地常绿与落叶阔叶混交林带。由常绿阔叶树和多种水青冈（Fagusspp.）、多种落叶栎（Quercusspp）、漆树（Toxicodendronsuccedaneum）、桦树（Betulasp.）等落叶阔叶树组成的常绿与落叶阔叶林为代表类型。</w:t>
      </w:r>
    </w:p>
    <w:p>
      <w:pPr>
        <w:ind w:firstLine="480"/>
      </w:pPr>
      <w:r>
        <w:t>海拔2000m以上至山顶为针、阔叶混交林带。以油松为主的针叶林与桦木（Betulasp.）、杨（Populussp.）、槭树（Acerspp.）等落叶阔叶树组成的针、阔叶混交林为代表类型。</w:t>
      </w:r>
    </w:p>
    <w:p>
      <w:pPr>
        <w:ind w:firstLine="480"/>
      </w:pPr>
      <w:r>
        <w:rPr>
          <w:rFonts w:hint="eastAsia"/>
        </w:rPr>
        <w:t>2）动物资源</w:t>
      </w:r>
    </w:p>
    <w:p>
      <w:pPr>
        <w:ind w:firstLine="480"/>
      </w:pPr>
      <w:r>
        <w:t>东河流域旺苍段内脊椎动物种类比较丰富，有292种。其中鸟类119种、兽类40种、爬行动物31种、两栖动物32种、鱼类70种。国家II级保护动物22种，其中鸟类14种，兽类7种，两栖动物1种。国家II级保护鸟类有黑鸢</w:t>
      </w:r>
      <w:r>
        <w:rPr>
          <w:i/>
        </w:rPr>
        <w:t>Milvusmigrans(Linnaeus)</w:t>
      </w:r>
      <w:r>
        <w:t>、赤腹鹰</w:t>
      </w:r>
      <w:r>
        <w:rPr>
          <w:i/>
        </w:rPr>
        <w:t>Accipitersoloensis(Horsfied)</w:t>
      </w:r>
      <w:r>
        <w:t>、松雀鹰</w:t>
      </w:r>
      <w:r>
        <w:rPr>
          <w:i/>
        </w:rPr>
        <w:t>A.virgatus(Temminck)</w:t>
      </w:r>
      <w:r>
        <w:t>、苍鹰</w:t>
      </w:r>
      <w:r>
        <w:rPr>
          <w:i/>
        </w:rPr>
        <w:t>A.gentilis(Linnaeus)</w:t>
      </w:r>
      <w:r>
        <w:t>、红隼</w:t>
      </w:r>
      <w:r>
        <w:rPr>
          <w:i/>
        </w:rPr>
        <w:t>Falcotinnunculus(Linnaeus)</w:t>
      </w:r>
      <w:r>
        <w:t>、红腹角雉</w:t>
      </w:r>
      <w:r>
        <w:rPr>
          <w:i/>
        </w:rPr>
        <w:t>Tragopantemminckii(J.E.Gray)</w:t>
      </w:r>
      <w:r>
        <w:t>、勺鸡、</w:t>
      </w:r>
      <w:r>
        <w:rPr>
          <w:i/>
        </w:rPr>
        <w:t>Pucrasiamacrolopha(Lesson)</w:t>
      </w:r>
      <w:r>
        <w:t>、白冠长尾雉</w:t>
      </w:r>
      <w:r>
        <w:rPr>
          <w:i/>
        </w:rPr>
        <w:t>Syrmaticusreevesii(J.E.Gray)</w:t>
      </w:r>
      <w:r>
        <w:t>、红腹锦鸡</w:t>
      </w:r>
      <w:r>
        <w:rPr>
          <w:i/>
        </w:rPr>
        <w:t>Chrysolophuspictus(Linnaeus)</w:t>
      </w:r>
      <w:r>
        <w:t>、红翅绿鸠</w:t>
      </w:r>
      <w:r>
        <w:rPr>
          <w:i/>
        </w:rPr>
        <w:t>Treronsieboldii(Temminck)</w:t>
      </w:r>
      <w:r>
        <w:t>、雕鸮</w:t>
      </w:r>
      <w:r>
        <w:rPr>
          <w:i/>
        </w:rPr>
        <w:t>Bubobubo(Linnaeus)</w:t>
      </w:r>
      <w:r>
        <w:t>、灰林鸮Strixaluco(Linnaeus)、短耳鸮</w:t>
      </w:r>
      <w:r>
        <w:rPr>
          <w:i/>
        </w:rPr>
        <w:t>Asioflammeus</w:t>
      </w:r>
      <w:r>
        <w:t>和斑头鸺鹠</w:t>
      </w:r>
      <w:r>
        <w:rPr>
          <w:i/>
        </w:rPr>
        <w:t>Glaucidiumcuculoides9(vigors)</w:t>
      </w:r>
      <w:r>
        <w:t>等；国家II级保护兽类有猕猴Macacamulatta、豺Cuonalpinus、水獭Lutralutrachinensis、黄喉貂</w:t>
      </w:r>
      <w:r>
        <w:rPr>
          <w:i/>
        </w:rPr>
        <w:t>Martesflavigula</w:t>
      </w:r>
      <w:r>
        <w:t>、斑林狸</w:t>
      </w:r>
      <w:r>
        <w:rPr>
          <w:i/>
        </w:rPr>
        <w:t>Prionodonpardicolor</w:t>
      </w:r>
      <w:r>
        <w:t>、大灵猫</w:t>
      </w:r>
      <w:r>
        <w:rPr>
          <w:i/>
        </w:rPr>
        <w:t>Viverrazibethaashtoni</w:t>
      </w:r>
      <w:r>
        <w:t>和小灵猫</w:t>
      </w:r>
      <w:r>
        <w:rPr>
          <w:i/>
        </w:rPr>
        <w:t>Viverriculaindica</w:t>
      </w:r>
      <w:r>
        <w:t>等；国家II级保护两栖动物有大鲵</w:t>
      </w:r>
      <w:r>
        <w:rPr>
          <w:i/>
        </w:rPr>
        <w:t>Andriasdavidianus（Blanchard）</w:t>
      </w:r>
      <w:r>
        <w:t>。四川省重点保护水生野生动物有鳡</w:t>
      </w:r>
      <w:r>
        <w:rPr>
          <w:i/>
        </w:rPr>
        <w:t>Elopichthysbambusa</w:t>
      </w:r>
      <w:r>
        <w:t>，爬行动物有乌龟</w:t>
      </w:r>
      <w:r>
        <w:rPr>
          <w:i/>
        </w:rPr>
        <w:t>Chinemysreevesii（Gray）</w:t>
      </w:r>
      <w:r>
        <w:t>和中华鳖</w:t>
      </w:r>
      <w:r>
        <w:rPr>
          <w:i/>
        </w:rPr>
        <w:t>Pelodiscussinensisi（Wiegman）。</w:t>
      </w:r>
    </w:p>
    <w:p>
      <w:pPr>
        <w:ind w:firstLine="480"/>
      </w:pPr>
      <w:r>
        <w:rPr>
          <w:rFonts w:hint="eastAsia"/>
        </w:rPr>
        <w:t>3）鱼类资源</w:t>
      </w:r>
    </w:p>
    <w:p>
      <w:pPr>
        <w:ind w:firstLine="480"/>
      </w:pPr>
      <w:r>
        <w:t>东河为嘉陵江中游左岸一级支流，由北向南，流经旺苍、苍溪、阆中等县。东河全流域面积5191km</w:t>
      </w:r>
      <w:r>
        <w:rPr>
          <w:vertAlign w:val="superscript"/>
        </w:rPr>
        <w:t>2</w:t>
      </w:r>
      <w:r>
        <w:t>，河道长307km，平均比降5.0‰。历史资料表明，东河曾分布有鱼类73种。本保护区位于东河上游，在保护区内有鱼类70种，分隶于6目13科51属。在这些鱼类中以鲤形目种类最多，3科38属49种，占保护区内鱼类总数的70.00%；其次是鲶形目，4科7属14种，占20.00%；鲈形目3科3属4种，占5.71%；其它占4.29%。在13个科中，以鲤科鱼类最多，有29属38种，约占54.29%；鳅科有7属9种，占12.86%；鲿科有4属8种，占11.43%；平鳍鳅科、鲶科、钝头鮠科、鮡科和鱼旨科各有1～2属，均有2种，各占2.86%；其余的鳗鲡科、青鳉科、合鳃鱼科、鰕虎鱼科和鲤科各有1属1种，各占1.43%。由此可知，保护区内鱼类资源比较丰富，同时保护区内许多种类在全省都有分布，占全省的31.82%，而且各科的比例大体与分布于四川的鱼类一致，其中以鲿科、钝头鮠科、鲤科、平鳍鳅科、鮡科、鳅科所占比例较高。在鲤科鱼类中，分布有11个亚科29属38种，其中鮈亚科鱼类最多7属10种，占鲤科鱼类总种数的26.32%；鲌亚科4属8种，占21.05%；鲃亚科4属5种，占13.16%；鱼丹亚科和雅罗鱼亚科均3属3种，各占7.89%；鲴亚科、鲤亚科各1～2属都有2种占5.26%；13其余的鲢亚科、裂腹鱼亚科和野鲮亚科均为1属1种各占2.63%</w:t>
      </w:r>
      <w:r>
        <w:rPr>
          <w:rFonts w:hint="eastAsia"/>
        </w:rPr>
        <w:t>。</w:t>
      </w:r>
    </w:p>
    <w:p>
      <w:pPr>
        <w:ind w:firstLine="480"/>
      </w:pPr>
      <w:r>
        <w:rPr>
          <w:rFonts w:hint="eastAsia"/>
        </w:rPr>
        <w:t>（</w:t>
      </w:r>
      <w:r>
        <w:t>6</w:t>
      </w:r>
      <w:r>
        <w:rPr>
          <w:rFonts w:hint="eastAsia"/>
        </w:rPr>
        <w:t>）盐井河与汉王山湿地自然保护区的位置关系</w:t>
      </w:r>
    </w:p>
    <w:p>
      <w:pPr>
        <w:ind w:firstLine="480"/>
      </w:pPr>
      <w:r>
        <w:rPr>
          <w:rFonts w:hint="eastAsia"/>
        </w:rPr>
        <w:t>盐井河盐河电站以下河段均位于汉王山东河湿地省级自然保护区内，涉及河段总长3</w:t>
      </w:r>
      <w:r>
        <w:t>3.90</w:t>
      </w:r>
      <w:r>
        <w:rPr>
          <w:rFonts w:hint="eastAsia"/>
        </w:rPr>
        <w:t>km，</w:t>
      </w:r>
      <w:bookmarkStart w:id="42" w:name="_Hlk86093826"/>
      <w:r>
        <w:rPr>
          <w:rFonts w:hint="eastAsia"/>
        </w:rPr>
        <w:t>其中盐河电站（东经</w:t>
      </w:r>
      <w:r>
        <w:t>32°34′14′′,</w:t>
      </w:r>
      <w:r>
        <w:rPr>
          <w:rFonts w:hint="eastAsia"/>
        </w:rPr>
        <w:t>北纬</w:t>
      </w:r>
      <w:r>
        <w:t>106°19′15′′</w:t>
      </w:r>
      <w:r>
        <w:rPr>
          <w:rFonts w:hint="eastAsia"/>
        </w:rPr>
        <w:t>）至盐河镇（</w:t>
      </w:r>
      <w:r>
        <w:t>东经105°20′55″，北纬32°32′49″</w:t>
      </w:r>
      <w:r>
        <w:rPr>
          <w:rFonts w:hint="eastAsia"/>
        </w:rPr>
        <w:t>），福庆沟入盐井河汇口（东经</w:t>
      </w:r>
      <w:r>
        <w:t>32°27′33′′,</w:t>
      </w:r>
      <w:r>
        <w:rPr>
          <w:rFonts w:hint="eastAsia"/>
        </w:rPr>
        <w:t>北纬</w:t>
      </w:r>
      <w:r>
        <w:t>106°16′41′′</w:t>
      </w:r>
      <w:r>
        <w:rPr>
          <w:rFonts w:hint="eastAsia"/>
        </w:rPr>
        <w:t>）至盐井河入东河汇口（</w:t>
      </w:r>
      <w:r>
        <w:t>东经106°17′31″，北纬32°21′40″</w:t>
      </w:r>
      <w:r>
        <w:rPr>
          <w:rFonts w:hint="eastAsia"/>
        </w:rPr>
        <w:t>）两段为缓冲区，缓冲区长度1</w:t>
      </w:r>
      <w:r>
        <w:t>7.92</w:t>
      </w:r>
      <w:r>
        <w:rPr>
          <w:rFonts w:hint="eastAsia"/>
        </w:rPr>
        <w:t>km，盐河镇（N</w:t>
      </w:r>
      <w:r>
        <w:t>32°32′386′′,E106°20′07′′</w:t>
      </w:r>
      <w:r>
        <w:rPr>
          <w:rFonts w:hint="eastAsia"/>
        </w:rPr>
        <w:t>）至福庆沟入盐井河汇口（东经</w:t>
      </w:r>
      <w:r>
        <w:t>32°27′33′′,</w:t>
      </w:r>
      <w:r>
        <w:rPr>
          <w:rFonts w:hint="eastAsia"/>
        </w:rPr>
        <w:t>北纬</w:t>
      </w:r>
      <w:r>
        <w:t>106°16′41′′</w:t>
      </w:r>
      <w:r>
        <w:rPr>
          <w:rFonts w:hint="eastAsia"/>
        </w:rPr>
        <w:t>）为核心区，核心区长度1</w:t>
      </w:r>
      <w:r>
        <w:t>5.98</w:t>
      </w:r>
      <w:r>
        <w:rPr>
          <w:rFonts w:hint="eastAsia"/>
        </w:rPr>
        <w:t>km。</w:t>
      </w:r>
      <w:bookmarkEnd w:id="42"/>
      <w:r>
        <w:rPr>
          <w:rFonts w:hint="eastAsia"/>
        </w:rPr>
        <w:t>汉王山东河湿地省级自然保护区见附图3</w:t>
      </w:r>
      <w:r>
        <w:t>。</w:t>
      </w: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pStyle w:val="2"/>
      </w:pPr>
      <w:bookmarkStart w:id="43" w:name="_Toc86049151"/>
      <w:bookmarkStart w:id="44" w:name="_Toc80719369"/>
      <w:r>
        <w:t>基本情况</w:t>
      </w:r>
      <w:bookmarkEnd w:id="43"/>
      <w:bookmarkEnd w:id="44"/>
    </w:p>
    <w:p>
      <w:pPr>
        <w:pStyle w:val="3"/>
        <w:ind w:left="301" w:hanging="301"/>
      </w:pPr>
      <w:bookmarkStart w:id="45" w:name="_Toc86049152"/>
      <w:bookmarkStart w:id="46" w:name="_Toc80719370"/>
      <w:r>
        <w:t>流域概况</w:t>
      </w:r>
      <w:bookmarkEnd w:id="45"/>
      <w:bookmarkEnd w:id="46"/>
    </w:p>
    <w:p>
      <w:pPr>
        <w:pStyle w:val="4"/>
        <w:ind w:left="240"/>
      </w:pPr>
      <w:bookmarkStart w:id="47" w:name="_Toc86049153"/>
      <w:bookmarkStart w:id="48" w:name="_Toc80719371"/>
      <w:r>
        <w:rPr>
          <w:rFonts w:hint="eastAsia"/>
        </w:rPr>
        <w:t>自然地理</w:t>
      </w:r>
      <w:bookmarkEnd w:id="47"/>
      <w:bookmarkEnd w:id="48"/>
    </w:p>
    <w:p>
      <w:pPr>
        <w:ind w:firstLine="480"/>
        <w:rPr>
          <w:shd w:val="clear" w:color="auto" w:fill="FFFFFF"/>
        </w:rPr>
      </w:pPr>
      <w:r>
        <w:rPr>
          <w:shd w:val="clear" w:color="auto" w:fill="FFFFFF"/>
        </w:rPr>
        <w:t>东河是嘉陵江中游左岸一级支流，自上而下流经陕西、四川两省共8个县级行政区，其中四川省涉及3市6个县级行政区。东河上游分东西两源，西源盐井河起于陕西南郑县，东源</w:t>
      </w:r>
      <w:r>
        <w:rPr>
          <w:rFonts w:hint="eastAsia"/>
          <w:shd w:val="clear" w:color="auto" w:fill="FFFFFF"/>
        </w:rPr>
        <w:t>又名</w:t>
      </w:r>
      <w:r>
        <w:rPr>
          <w:shd w:val="clear" w:color="auto" w:fill="FFFFFF"/>
        </w:rPr>
        <w:t>宽滩河</w:t>
      </w:r>
      <w:r>
        <w:rPr>
          <w:rFonts w:hint="eastAsia"/>
          <w:shd w:val="clear" w:color="auto" w:fill="FFFFFF"/>
        </w:rPr>
        <w:t>，</w:t>
      </w:r>
      <w:r>
        <w:rPr>
          <w:shd w:val="clear" w:color="auto" w:fill="FFFFFF"/>
        </w:rPr>
        <w:t>起于四川南江县，宽滩河</w:t>
      </w:r>
      <w:r>
        <w:rPr>
          <w:rFonts w:hint="eastAsia"/>
          <w:shd w:val="clear" w:color="auto" w:fill="FFFFFF"/>
        </w:rPr>
        <w:t>（正源）</w:t>
      </w:r>
      <w:r>
        <w:rPr>
          <w:shd w:val="clear" w:color="auto" w:fill="FFFFFF"/>
        </w:rPr>
        <w:t>与盐井河于旺苍县双汇镇相汇后称为东河，东河由北向南流，经高阳、旺苍县城、嘉川、张华等乡镇后进入苍溪县境内，在阆中市的文成从左岸汇入嘉陵江。东河流域面积5181km</w:t>
      </w:r>
      <w:r>
        <w:rPr>
          <w:shd w:val="clear" w:color="auto" w:fill="FFFFFF"/>
          <w:vertAlign w:val="superscript"/>
        </w:rPr>
        <w:t>2</w:t>
      </w:r>
      <w:r>
        <w:rPr>
          <w:shd w:val="clear" w:color="auto" w:fill="FFFFFF"/>
        </w:rPr>
        <w:t>（其中四川境内4250km</w:t>
      </w:r>
      <w:r>
        <w:rPr>
          <w:shd w:val="clear" w:color="auto" w:fill="FFFFFF"/>
          <w:vertAlign w:val="superscript"/>
        </w:rPr>
        <w:t>2</w:t>
      </w:r>
      <w:r>
        <w:rPr>
          <w:shd w:val="clear" w:color="auto" w:fill="FFFFFF"/>
        </w:rPr>
        <w:t>，陕西931km</w:t>
      </w:r>
      <w:r>
        <w:rPr>
          <w:shd w:val="clear" w:color="auto" w:fill="FFFFFF"/>
          <w:vertAlign w:val="superscript"/>
        </w:rPr>
        <w:t>2</w:t>
      </w:r>
      <w:r>
        <w:rPr>
          <w:shd w:val="clear" w:color="auto" w:fill="FFFFFF"/>
        </w:rPr>
        <w:t>），约占嘉陵江全流域面积的3.26%，河道全长</w:t>
      </w:r>
      <w:r>
        <w:rPr>
          <w:rFonts w:hint="eastAsia"/>
          <w:shd w:val="clear" w:color="auto" w:fill="FFFFFF"/>
        </w:rPr>
        <w:t>2</w:t>
      </w:r>
      <w:r>
        <w:rPr>
          <w:shd w:val="clear" w:color="auto" w:fill="FFFFFF"/>
        </w:rPr>
        <w:t>94km，总落差1536m，平均比降5.0‰。东河流域呈狭长形，地势北高南低，形成北东、南西向岭脊，地貌可分为山地、丘陵和河谷平坝三大类型。北部地区多为中低山地形，海拔一般1500～2000m，最高峰海拔2067m，山高坡陡沟深，峰峦耸立，河谷狭窄成“V”型，两岸多已开垦成梯地，东源檬子以上，西源盐河以上多为成片林木，植被较好，以下则植被较差，土层瘠薄，岩石裸露，以杂草、灌木为主</w:t>
      </w:r>
      <w:r>
        <w:rPr>
          <w:rFonts w:hint="eastAsia"/>
          <w:shd w:val="clear" w:color="auto" w:fill="FFFFFF"/>
        </w:rPr>
        <w:t>。</w:t>
      </w:r>
    </w:p>
    <w:p>
      <w:pPr>
        <w:ind w:firstLine="480"/>
      </w:pPr>
      <w:r>
        <w:rPr>
          <w:rFonts w:hint="eastAsia"/>
        </w:rPr>
        <w:t>盐井河为嘉陵江二级支流，东河一级支流，发源于陕西省宁强县黎坪场东的三心眼处，向西流至柴家坝，后折向南流，在万家乡流入旺苍县。起点海拔高程2209m，全流域面积1401km</w:t>
      </w:r>
      <w:r>
        <w:rPr>
          <w:vertAlign w:val="superscript"/>
        </w:rPr>
        <w:t>2</w:t>
      </w:r>
      <w:r>
        <w:rPr>
          <w:rFonts w:hint="eastAsia"/>
        </w:rPr>
        <w:t>，河长134km，平均比降11.1‰。</w:t>
      </w:r>
      <w:r>
        <w:t>盐井河</w:t>
      </w:r>
      <w:r>
        <w:rPr>
          <w:rFonts w:hint="eastAsia"/>
        </w:rPr>
        <w:t>流域</w:t>
      </w:r>
      <w:r>
        <w:t>万家以上多为成片林木，植被较好，以下则植被较差，土层瘠薄，岩石裸露，以杂草、灌木为主，加之人类活动的影响，水土流失较为严重。</w:t>
      </w:r>
    </w:p>
    <w:p>
      <w:pPr>
        <w:ind w:firstLine="480"/>
      </w:pPr>
      <w:r>
        <w:rPr>
          <w:rFonts w:hint="eastAsia"/>
        </w:rPr>
        <w:t>盐井河旺苍段上起陕川交界（东经</w:t>
      </w:r>
      <w:r>
        <w:t>106°20′24″</w:t>
      </w:r>
      <w:r>
        <w:rPr>
          <w:rFonts w:hint="eastAsia"/>
        </w:rPr>
        <w:t>，北纬</w:t>
      </w:r>
      <w:r>
        <w:t>32°40′48″</w:t>
      </w:r>
      <w:r>
        <w:rPr>
          <w:rFonts w:hint="eastAsia"/>
        </w:rPr>
        <w:t>），下至入东河汇口（东经</w:t>
      </w:r>
      <w:r>
        <w:t>106°17′24″</w:t>
      </w:r>
      <w:r>
        <w:rPr>
          <w:rFonts w:hint="eastAsia"/>
        </w:rPr>
        <w:t>，北纬</w:t>
      </w:r>
      <w:r>
        <w:t>32°21′36″</w:t>
      </w:r>
      <w:r>
        <w:rPr>
          <w:rFonts w:hint="eastAsia"/>
        </w:rPr>
        <w:t>），河长</w:t>
      </w:r>
      <w:r>
        <w:t>43.3</w:t>
      </w:r>
      <w:r>
        <w:rPr>
          <w:rFonts w:hint="eastAsia"/>
        </w:rPr>
        <w:t>km。河段由上至下途经盐河镇、国华镇、天星镇、双汇镇共</w:t>
      </w:r>
      <w:r>
        <w:t>4</w:t>
      </w:r>
      <w:r>
        <w:rPr>
          <w:rFonts w:hint="eastAsia"/>
        </w:rPr>
        <w:t>个建制镇，于双汇镇汇入东河，境内流域总面积576km</w:t>
      </w:r>
      <w:r>
        <w:rPr>
          <w:rFonts w:hint="eastAsia"/>
          <w:vertAlign w:val="superscript"/>
        </w:rPr>
        <w:t>2</w:t>
      </w:r>
      <w:r>
        <w:rPr>
          <w:rFonts w:hint="eastAsia"/>
        </w:rPr>
        <w:t>，平均比降29.25‰。河段均为高山峡谷河床，河床内无洲滩发育，枯期两岸有边滩出露</w:t>
      </w:r>
      <w:r>
        <w:t>。</w:t>
      </w:r>
    </w:p>
    <w:p>
      <w:pPr>
        <w:ind w:firstLine="480"/>
      </w:pPr>
      <w:r>
        <w:rPr>
          <w:rFonts w:hint="eastAsia"/>
        </w:rPr>
        <w:t>经复核，本</w:t>
      </w:r>
      <w:r>
        <w:t>次</w:t>
      </w:r>
      <w:r>
        <w:rPr>
          <w:rFonts w:hint="eastAsia"/>
        </w:rPr>
        <w:t>盐井河</w:t>
      </w:r>
      <w:r>
        <w:t>旺苍县境内划界范围</w:t>
      </w:r>
      <w:r>
        <w:rPr>
          <w:rFonts w:hint="eastAsia"/>
        </w:rPr>
        <w:t>上起陕川交界</w:t>
      </w:r>
      <w:r>
        <w:t>，</w:t>
      </w:r>
      <w:r>
        <w:rPr>
          <w:rFonts w:hint="eastAsia"/>
        </w:rPr>
        <w:t>下至东河汇口</w:t>
      </w:r>
      <w:r>
        <w:t>，</w:t>
      </w:r>
      <w:r>
        <w:rPr>
          <w:rFonts w:hint="eastAsia"/>
        </w:rPr>
        <w:t>评价河段</w:t>
      </w:r>
      <w:r>
        <w:t>总长</w:t>
      </w:r>
      <w:r>
        <w:rPr>
          <w:rFonts w:hint="eastAsia"/>
        </w:rPr>
        <w:t>43.3</w:t>
      </w:r>
      <w:r>
        <w:t>km</w:t>
      </w:r>
      <w:r>
        <w:rPr>
          <w:rFonts w:hint="eastAsia"/>
        </w:rPr>
        <w:t>，河流类型为自然河流。</w:t>
      </w:r>
    </w:p>
    <w:p>
      <w:pPr>
        <w:pStyle w:val="4"/>
        <w:ind w:left="240"/>
      </w:pPr>
      <w:bookmarkStart w:id="49" w:name="_Toc80719372"/>
      <w:bookmarkStart w:id="50" w:name="_Toc86049154"/>
      <w:r>
        <w:rPr>
          <w:rFonts w:hint="eastAsia"/>
        </w:rPr>
        <w:t>河流水系</w:t>
      </w:r>
      <w:bookmarkEnd w:id="49"/>
      <w:bookmarkEnd w:id="50"/>
    </w:p>
    <w:p>
      <w:pPr>
        <w:ind w:firstLine="480"/>
      </w:pPr>
      <w:bookmarkStart w:id="51" w:name="_Hlk85718511"/>
      <w:r>
        <w:rPr>
          <w:rFonts w:hint="eastAsia"/>
        </w:rPr>
        <w:t>盐井河为嘉陵江二级支流，东河一级支流，发源于陕西省宁强县黎坪场东的三心眼处，</w:t>
      </w:r>
      <w:r>
        <w:rPr>
          <w:rFonts w:hint="eastAsia"/>
          <w:szCs w:val="24"/>
        </w:rPr>
        <w:t>上段称八道河，西南流过宁强县永新、二郎坝，称西流河；转南偏西过大竹坝镇、毛坝河镇，称毛坝河；南入四川省旺苍县境，乃称盐井河。入旺苍后向南过春坪、万家、盐河，左纳中坪沟，转南偏西过国华镇；右纳福庆沟，又南过康家湾，右纳汶水沟，至双汇镇汇入东河。</w:t>
      </w:r>
      <w:r>
        <w:rPr>
          <w:rFonts w:hint="eastAsia"/>
        </w:rPr>
        <w:t>盐井河全流域面积1401km</w:t>
      </w:r>
      <w:r>
        <w:rPr>
          <w:vertAlign w:val="superscript"/>
        </w:rPr>
        <w:t>2</w:t>
      </w:r>
      <w:r>
        <w:rPr>
          <w:rFonts w:hint="eastAsia"/>
        </w:rPr>
        <w:t>，河长134km，平均比降11.1‰，旺苍境内河长43.3km，流域总面积576km</w:t>
      </w:r>
      <w:r>
        <w:rPr>
          <w:rFonts w:hint="eastAsia"/>
          <w:vertAlign w:val="superscript"/>
        </w:rPr>
        <w:t>2</w:t>
      </w:r>
      <w:r>
        <w:rPr>
          <w:rFonts w:hint="eastAsia"/>
        </w:rPr>
        <w:t>。</w:t>
      </w:r>
      <w:bookmarkEnd w:id="51"/>
    </w:p>
    <w:p>
      <w:pPr>
        <w:pStyle w:val="4"/>
        <w:ind w:left="240"/>
      </w:pPr>
      <w:bookmarkStart w:id="52" w:name="_Toc80719373"/>
      <w:bookmarkStart w:id="53" w:name="_Toc86049155"/>
      <w:r>
        <w:rPr>
          <w:rFonts w:hint="eastAsia"/>
        </w:rPr>
        <w:t>河道历史演变</w:t>
      </w:r>
      <w:bookmarkEnd w:id="52"/>
      <w:bookmarkEnd w:id="53"/>
    </w:p>
    <w:p>
      <w:pPr>
        <w:ind w:firstLine="480"/>
      </w:pPr>
      <w:r>
        <w:rPr>
          <w:rFonts w:hint="eastAsia"/>
        </w:rPr>
        <w:t>盐井河发源于陕西省宁强县黎坪场东的三心眼处，向西流至柴家坝，后折向南流，在万家流入旺苍县。盐井河全流域面积1401km</w:t>
      </w:r>
      <w:r>
        <w:rPr>
          <w:vertAlign w:val="superscript"/>
        </w:rPr>
        <w:t>2</w:t>
      </w:r>
      <w:r>
        <w:rPr>
          <w:rFonts w:hint="eastAsia"/>
        </w:rPr>
        <w:t>，河长134km，平均比降11.1‰，旺苍县境内境内河长43.3km，流域总面积576km</w:t>
      </w:r>
      <w:r>
        <w:rPr>
          <w:rFonts w:hint="eastAsia"/>
          <w:vertAlign w:val="superscript"/>
        </w:rPr>
        <w:t>2</w:t>
      </w:r>
      <w:r>
        <w:rPr>
          <w:rFonts w:hint="eastAsia"/>
        </w:rPr>
        <w:t>。</w:t>
      </w:r>
    </w:p>
    <w:p>
      <w:pPr>
        <w:ind w:firstLine="480"/>
      </w:pPr>
      <w:r>
        <w:rPr>
          <w:rFonts w:hint="eastAsia"/>
        </w:rPr>
        <w:t>工程所在区域地貌类型主要为构造剥蚀低山丘陵及侵蚀堆积河谷地貌。大地构造位置属于扬子准地台龙门山一大巴山台缘褶皱带内，其北部为秦岭地槽褶皱系，西北为松潘—甘孜地槽褶皱系。中生代以后，四川盆地的西部、北部强烈的褶皱。盐井河上游河段河床基本以块石为主，部分为砂卵石层，下段以砂卵石层为主，上游河段两岸边坡以岩质边坡为主，稳定性较好。</w:t>
      </w:r>
    </w:p>
    <w:p>
      <w:pPr>
        <w:ind w:firstLine="480"/>
        <w:rPr>
          <w:szCs w:val="24"/>
        </w:rPr>
      </w:pPr>
      <w:r>
        <w:t>1999年</w:t>
      </w:r>
      <w:r>
        <w:rPr>
          <w:rFonts w:hint="eastAsia"/>
        </w:rPr>
        <w:t>，</w:t>
      </w:r>
      <w:r>
        <w:t>盐井河上游的陕西省宁强县境内建成了二郎坝引嘉（陵江）入汉（江）工程，将盐井河</w:t>
      </w:r>
      <w:r>
        <w:rPr>
          <w:rFonts w:hint="eastAsia"/>
        </w:rPr>
        <w:t>上游来水</w:t>
      </w:r>
      <w:r>
        <w:t>引入了汉江水系</w:t>
      </w:r>
      <w:r>
        <w:rPr>
          <w:rFonts w:hint="eastAsia"/>
        </w:rPr>
        <w:t>。</w:t>
      </w:r>
      <w:r>
        <w:rPr>
          <w:szCs w:val="24"/>
        </w:rPr>
        <w:t>二郎坝引嘉（陵江）入汉（江）工程的天生桥水库集水面积401km</w:t>
      </w:r>
      <w:r>
        <w:rPr>
          <w:szCs w:val="24"/>
          <w:vertAlign w:val="superscript"/>
        </w:rPr>
        <w:t>2</w:t>
      </w:r>
      <w:r>
        <w:rPr>
          <w:rFonts w:hint="eastAsia"/>
          <w:szCs w:val="24"/>
        </w:rPr>
        <w:t>，</w:t>
      </w:r>
      <w:r>
        <w:rPr>
          <w:szCs w:val="24"/>
        </w:rPr>
        <w:t>总库容7800万m</w:t>
      </w:r>
      <w:r>
        <w:rPr>
          <w:szCs w:val="24"/>
          <w:vertAlign w:val="superscript"/>
        </w:rPr>
        <w:t>3</w:t>
      </w:r>
      <w:r>
        <w:rPr>
          <w:szCs w:val="24"/>
        </w:rPr>
        <w:t>，调节库容5000万m</w:t>
      </w:r>
      <w:r>
        <w:rPr>
          <w:szCs w:val="24"/>
          <w:vertAlign w:val="superscript"/>
        </w:rPr>
        <w:t>3</w:t>
      </w:r>
      <w:r>
        <w:rPr>
          <w:szCs w:val="24"/>
        </w:rPr>
        <w:t>，引水流量16.72m</w:t>
      </w:r>
      <w:r>
        <w:rPr>
          <w:szCs w:val="24"/>
          <w:vertAlign w:val="superscript"/>
        </w:rPr>
        <w:t>3</w:t>
      </w:r>
      <w:r>
        <w:rPr>
          <w:szCs w:val="24"/>
        </w:rPr>
        <w:t>/s，</w:t>
      </w:r>
      <w:r>
        <w:rPr>
          <w:rFonts w:hint="eastAsia"/>
          <w:szCs w:val="24"/>
        </w:rPr>
        <w:t>下泄生态流量0</w:t>
      </w:r>
      <w:r>
        <w:rPr>
          <w:szCs w:val="24"/>
        </w:rPr>
        <w:t>.81</w:t>
      </w:r>
      <w:r>
        <w:rPr>
          <w:rFonts w:hint="eastAsia"/>
          <w:szCs w:val="24"/>
        </w:rPr>
        <w:t>m</w:t>
      </w:r>
      <w:r>
        <w:rPr>
          <w:rFonts w:hint="eastAsia"/>
          <w:szCs w:val="24"/>
          <w:vertAlign w:val="superscript"/>
        </w:rPr>
        <w:t>3</w:t>
      </w:r>
      <w:r>
        <w:rPr>
          <w:rFonts w:hint="eastAsia"/>
          <w:szCs w:val="24"/>
        </w:rPr>
        <w:t>/s</w:t>
      </w:r>
      <w:r>
        <w:rPr>
          <w:szCs w:val="24"/>
        </w:rPr>
        <w:t>。</w:t>
      </w:r>
      <w:r>
        <w:t>二郎坝引嘉（陵江）入汉（江）工程</w:t>
      </w:r>
      <w:r>
        <w:rPr>
          <w:szCs w:val="24"/>
        </w:rPr>
        <w:t>致使天生桥水库坝址处小于</w:t>
      </w:r>
      <w:r>
        <w:rPr>
          <w:rFonts w:hint="eastAsia"/>
          <w:szCs w:val="24"/>
        </w:rPr>
        <w:t>设计</w:t>
      </w:r>
      <w:r>
        <w:rPr>
          <w:szCs w:val="24"/>
        </w:rPr>
        <w:t>洪水标准（P=2%）时</w:t>
      </w:r>
      <w:r>
        <w:rPr>
          <w:rFonts w:hint="eastAsia"/>
          <w:szCs w:val="24"/>
        </w:rPr>
        <w:t>除下泄生态流量外</w:t>
      </w:r>
      <w:r>
        <w:rPr>
          <w:szCs w:val="24"/>
        </w:rPr>
        <w:t>全部截流</w:t>
      </w:r>
      <w:r>
        <w:rPr>
          <w:rFonts w:hint="eastAsia"/>
          <w:szCs w:val="24"/>
        </w:rPr>
        <w:t>，</w:t>
      </w:r>
      <w:r>
        <w:rPr>
          <w:szCs w:val="24"/>
        </w:rPr>
        <w:t>也就是说洪水水量进入下游的旺苍境内河段属偶然事件，</w:t>
      </w:r>
      <w:r>
        <w:rPr>
          <w:rFonts w:hint="eastAsia"/>
          <w:szCs w:val="24"/>
        </w:rPr>
        <w:t>除生态下泄流量外</w:t>
      </w:r>
      <w:r>
        <w:rPr>
          <w:szCs w:val="24"/>
        </w:rPr>
        <w:t>其余水量全部引入了汉江</w:t>
      </w:r>
      <w:r>
        <w:rPr>
          <w:rFonts w:hint="eastAsia"/>
          <w:szCs w:val="24"/>
        </w:rPr>
        <w:t>，二郎坝以下河段水量大量较少。</w:t>
      </w:r>
    </w:p>
    <w:p>
      <w:pPr>
        <w:ind w:firstLine="480"/>
        <w:rPr>
          <w:szCs w:val="24"/>
        </w:rPr>
      </w:pPr>
      <w:r>
        <w:rPr>
          <w:rFonts w:hint="eastAsia"/>
          <w:szCs w:val="24"/>
        </w:rPr>
        <w:t>目前盐井河已建堤防主要集中在国华镇，主要用于场镇防洪，</w:t>
      </w:r>
      <w:r>
        <w:rPr>
          <w:rFonts w:hint="eastAsia" w:cs="Times New Roman"/>
        </w:rPr>
        <w:t>堤防工程的修建，使得河床趋于平整，河道纵坡连续，河道水流均匀，河势趋于稳定，冲淤变化基本保持平衡。多年来河道岸线稳定，冲淤变化不大。</w:t>
      </w:r>
    </w:p>
    <w:p>
      <w:pPr>
        <w:pStyle w:val="3"/>
        <w:ind w:left="301" w:hanging="301"/>
      </w:pPr>
      <w:bookmarkStart w:id="54" w:name="_Toc80719374"/>
      <w:bookmarkStart w:id="55" w:name="_Toc86049156"/>
      <w:r>
        <w:t>社会经济概况</w:t>
      </w:r>
      <w:bookmarkEnd w:id="54"/>
      <w:bookmarkEnd w:id="55"/>
    </w:p>
    <w:p>
      <w:pPr>
        <w:pStyle w:val="4"/>
        <w:ind w:left="240"/>
      </w:pPr>
      <w:bookmarkStart w:id="56" w:name="_Toc86049157"/>
      <w:r>
        <w:rPr>
          <w:rFonts w:hint="eastAsia"/>
        </w:rPr>
        <w:t>旺苍县经济概况</w:t>
      </w:r>
      <w:bookmarkEnd w:id="56"/>
    </w:p>
    <w:p>
      <w:pPr>
        <w:ind w:firstLine="480"/>
      </w:pPr>
      <w:r>
        <w:rPr>
          <w:rFonts w:hint="eastAsia"/>
        </w:rPr>
        <w:t>2</w:t>
      </w:r>
      <w:r>
        <w:t>020</w:t>
      </w:r>
      <w:r>
        <w:rPr>
          <w:rFonts w:hint="eastAsia"/>
        </w:rPr>
        <w:t>年，旺苍县全县地区生产总值达到138.89亿元、增长3.8%；地方一般公共预算收入实现4.39亿元；城乡居民人均可支配收入分别达到36240元、14429元，分别增长6.6%、9.5%。三次产业结构比由17.9:47:35.1调整为20.3:44.7:35.0。全社会固定资产投资实现98.16亿元、增长11%。</w:t>
      </w:r>
    </w:p>
    <w:p>
      <w:pPr>
        <w:ind w:firstLine="480"/>
      </w:pPr>
      <w:r>
        <w:rPr>
          <w:rFonts w:hint="eastAsia"/>
        </w:rPr>
        <w:t>2</w:t>
      </w:r>
      <w:r>
        <w:t>020</w:t>
      </w:r>
      <w:r>
        <w:rPr>
          <w:rFonts w:hint="eastAsia"/>
        </w:rPr>
        <w:t>年，旺苍县133个重大项目分6批次集中开工，52个省市县重点项目有序推进，投资支撑不断夯实</w:t>
      </w:r>
      <w:r>
        <w:rPr>
          <w:rFonts w:hint="eastAsia" w:ascii="微软雅黑" w:hAnsi="微软雅黑" w:eastAsia="微软雅黑"/>
          <w:shd w:val="clear" w:color="auto" w:fill="FFFFFF"/>
        </w:rPr>
        <w:t>。</w:t>
      </w:r>
      <w:r>
        <w:rPr>
          <w:rFonts w:hint="eastAsia"/>
        </w:rPr>
        <w:t>废弃矿山综合治理(第一批)、2019年畜禽粪污资源化利用整县推进等146个项目全面竣工，孙家坝城市综合体等96个项目加快推进，罐子坝水库及灌区工程初步纳入省“十四五”规划。累计滚动储备项目522个、总投资1516.8亿元，分别较年初增长179%、37.9%。新签约项目30个，其中亿元以上重大项目21个。争取到位专项债券、抗疫特别国债等各类项目资金36.51亿元，同比增长22.47%。</w:t>
      </w:r>
    </w:p>
    <w:p>
      <w:pPr>
        <w:ind w:firstLine="480"/>
      </w:pPr>
      <w:r>
        <w:rPr>
          <w:rFonts w:hint="eastAsia"/>
        </w:rPr>
        <w:t>2</w:t>
      </w:r>
      <w:r>
        <w:t>020</w:t>
      </w:r>
      <w:r>
        <w:rPr>
          <w:rFonts w:hint="eastAsia"/>
        </w:rPr>
        <w:t>年，旺苍县制定了重点企业和重点项目全流程服务“直通卡”实施办法，新增减税6298万元，减免国有资产类经营用房房租36.88万元，市场主体活力焕发。创新推出“银税贷”，为中小微企业发放信用贷款2550万元。严格落实阶段性降低用气、用电成本等优惠政策，工商业企业用气价格下调比例超过10%，累计优惠各类企业电费570余万元。全年新增民营企业420户、个体工商户2399户，民营经济实体个数同比增长16%。</w:t>
      </w:r>
    </w:p>
    <w:p>
      <w:pPr>
        <w:ind w:firstLine="480"/>
      </w:pPr>
      <w:r>
        <w:rPr>
          <w:rFonts w:hint="eastAsia"/>
        </w:rPr>
        <w:t>2</w:t>
      </w:r>
      <w:r>
        <w:t>020</w:t>
      </w:r>
      <w:r>
        <w:rPr>
          <w:rFonts w:hint="eastAsia"/>
        </w:rPr>
        <w:t>年，尚武家居产业园建设加快推进，生活服务用房、污水处理厂等配套项目全面开工，7万平方米标准化厂房即将竣工，成功引进9家企业入驻园区，工业经济支撑有力。。领航科技顺利复工复产，年产20万吨离心球墨铸管项目前期工作全面启动，奥格思石业300万平方米/年饰面用建材综合开发利用项目竣工投产。食品饮料、新材料、清洁能源化工等产业稳步发展。新培育规上工业企业9家，规上工业增加值增速达4.6%。完成工业投资36.8亿元、技改投资13.38亿元。</w:t>
      </w:r>
    </w:p>
    <w:p>
      <w:pPr>
        <w:ind w:firstLine="480"/>
      </w:pPr>
      <w:r>
        <w:rPr>
          <w:rFonts w:hint="eastAsia"/>
        </w:rPr>
        <w:t>2</w:t>
      </w:r>
      <w:r>
        <w:t>020</w:t>
      </w:r>
      <w:r>
        <w:rPr>
          <w:rFonts w:hint="eastAsia"/>
        </w:rPr>
        <w:t>年，旺苍县新建高标准农田3.2万亩，粮油产量实现25.89万吨。新发展黄茶、道地药材、笋用竹、仙居杨梅等特色产业4.5万亩，实施核桃品种改良3万亩。扎实抓好非洲猪瘟等动植物疫病防控，成功引进新希望六和年出栏100万头生猪全产业链、华西特驱年出栏25万头生猪等重大项目，出栏生猪61.3万头、肉牛2.35万头、肉羊12.72万只、剑门关土鸡585.44万羽。全省唯一茶叶种业园区落地旺苍，大茅坡现代农业园区、英萃现代林业园区成功创建为市级园区。新培育国家级示范合作社1家，省级龙头企业2家、示范合作社7家，认证“三品一标”农产品52个，荣获“四川省茶业十强县”称号。</w:t>
      </w:r>
    </w:p>
    <w:p>
      <w:pPr>
        <w:ind w:firstLine="480"/>
      </w:pPr>
      <w:r>
        <w:rPr>
          <w:rFonts w:hint="eastAsia"/>
        </w:rPr>
        <w:t>2</w:t>
      </w:r>
      <w:r>
        <w:t>020</w:t>
      </w:r>
      <w:r>
        <w:rPr>
          <w:rFonts w:hint="eastAsia"/>
        </w:rPr>
        <w:t>年，旺苍县国土空间规划编制有序推进。孙家坝169.5亩土地以4.385亿元价格成功拍卖，精品住宅小区和高品质酒店建设积极推进。完成房地产开发投资3.2亿元，销售商品房6.7万平方米。红旗干道改造、黄洋河治理等项目加快推进，城市骨架不断拓宽。城市停车场、旺月堤绿化景观改造等项目顺利开工，壅水工程、凤凰梁智慧市场等项目有序推进，亲水栈道、黄家沟道路建成投用，整治背街小巷5条，疏通雨污管网35公里，城市功能逐步完善。新增县城建成区面积1平方公里，城镇化率提升1.5个百分点。</w:t>
      </w:r>
    </w:p>
    <w:p>
      <w:pPr>
        <w:ind w:firstLine="480"/>
      </w:pPr>
      <w:r>
        <w:rPr>
          <w:rFonts w:hint="eastAsia"/>
        </w:rPr>
        <w:t>2</w:t>
      </w:r>
      <w:r>
        <w:t>020</w:t>
      </w:r>
      <w:r>
        <w:rPr>
          <w:rFonts w:hint="eastAsia"/>
        </w:rPr>
        <w:t>年，旺苍县大力开展农村人居环境整治，行政村垃圾治理覆盖率、户用卫生厕所普及率、行政村生活污水处理率分别达100%、78.3%、55%。深入推进乡村振兴先进示范创建，成功创建市级先进乡镇1个、省级示范村5个、市级示范村8个。扎实抓好美丽宜居乡村建设，改造农村危旧房220户、石板房171户，新改建蓄水池621口、渠堰85公里，新建农村安全饮水工程180处，原化龙乡亭子村、原福庆乡农经村等4个第四批国家级传统村落保护性开发通过验收。</w:t>
      </w:r>
    </w:p>
    <w:p>
      <w:pPr>
        <w:ind w:firstLine="480"/>
      </w:pPr>
      <w:r>
        <w:rPr>
          <w:rFonts w:hint="eastAsia"/>
        </w:rPr>
        <w:t>2</w:t>
      </w:r>
      <w:r>
        <w:t>020</w:t>
      </w:r>
      <w:r>
        <w:rPr>
          <w:rFonts w:hint="eastAsia"/>
        </w:rPr>
        <w:t>年，旺苍县15项重点改革任务全面完成，30余项改革亮点工作被省级以上主流媒体报道。持续深化财税体制改革，深入实施国有企业改革三年行动，旺苍农商银行成功挂牌营业。农村集体产权制度和“三权分置”改革有序推进，国有林区改革顺利通过省级验收，全面完成乡镇行政区划和村级建制调整改革，乡镇和村建制数分别调整为23个、220个，分别减幅34.3%、37.5%。加快创新驱动发展，争取国家、省级科技项目42个，转化科技成果69个，高新技术企业主营业务收入达6.6亿元，“天府科技云”服务建设位居全市第一。</w:t>
      </w:r>
    </w:p>
    <w:p>
      <w:pPr>
        <w:ind w:firstLine="480"/>
      </w:pPr>
      <w:r>
        <w:rPr>
          <w:rFonts w:hint="eastAsia"/>
        </w:rPr>
        <w:t>2</w:t>
      </w:r>
      <w:r>
        <w:t>020</w:t>
      </w:r>
      <w:r>
        <w:rPr>
          <w:rFonts w:hint="eastAsia"/>
        </w:rPr>
        <w:t>年，旺苍县社会保障水平稳步提升，圆满完成省市定30件民生实事，一般公共预算民生支出占比保持在65%以上。新增城镇就业5902人，城镇登记失业率为2.61%。城乡居民基本养老保险覆盖18.99万人，基本医疗保险参保率达98%以上。</w:t>
      </w:r>
    </w:p>
    <w:p>
      <w:pPr>
        <w:pStyle w:val="4"/>
        <w:ind w:left="240"/>
      </w:pPr>
      <w:bookmarkStart w:id="57" w:name="_Toc86049158"/>
      <w:r>
        <w:rPr>
          <w:rFonts w:hint="eastAsia"/>
        </w:rPr>
        <w:t>盐井河流域经济概况</w:t>
      </w:r>
      <w:bookmarkEnd w:id="57"/>
    </w:p>
    <w:p>
      <w:pPr>
        <w:ind w:firstLine="480"/>
        <w:rPr>
          <w:shd w:val="clear" w:color="auto" w:fill="F6F5F5"/>
        </w:rPr>
      </w:pPr>
      <w:r>
        <w:rPr>
          <w:rFonts w:hint="eastAsia"/>
        </w:rPr>
        <w:t>盐井河流域主要乡镇有双汇镇、天星镇、国华镇、盐河镇4个建制镇，区域</w:t>
      </w:r>
      <w:r>
        <w:rPr>
          <w:rFonts w:hint="eastAsia"/>
          <w:shd w:val="clear" w:color="auto" w:fill="FFFFFF" w:themeFill="background1"/>
        </w:rPr>
        <w:t>经济以农业为主，粮食作物以种植玉米、水稻、小麦、薯类、豆类为主，经济作物以烤烟、蔬菜、核桃、板栗、杜仲、柴胡为主，养殖业以养猪、牛、小家禽为主，劳务输出收入大。有镇级文化活动中心1个、文化户1户，村级文化活动室9个、初级中学校</w:t>
      </w:r>
      <w:r>
        <w:rPr>
          <w:shd w:val="clear" w:color="auto" w:fill="FFFFFF" w:themeFill="background1"/>
        </w:rPr>
        <w:t>4</w:t>
      </w:r>
      <w:r>
        <w:rPr>
          <w:rFonts w:hint="eastAsia"/>
          <w:shd w:val="clear" w:color="auto" w:fill="FFFFFF" w:themeFill="background1"/>
        </w:rPr>
        <w:t>所、中心小学校</w:t>
      </w:r>
      <w:r>
        <w:rPr>
          <w:shd w:val="clear" w:color="auto" w:fill="FFFFFF" w:themeFill="background1"/>
        </w:rPr>
        <w:t>4</w:t>
      </w:r>
      <w:r>
        <w:rPr>
          <w:rFonts w:hint="eastAsia"/>
          <w:shd w:val="clear" w:color="auto" w:fill="FFFFFF" w:themeFill="background1"/>
        </w:rPr>
        <w:t>所、村小2所、幼儿园2所、中心卫生院</w:t>
      </w:r>
      <w:r>
        <w:rPr>
          <w:shd w:val="clear" w:color="auto" w:fill="FFFFFF" w:themeFill="background1"/>
        </w:rPr>
        <w:t>5</w:t>
      </w:r>
      <w:r>
        <w:rPr>
          <w:rFonts w:hint="eastAsia"/>
          <w:shd w:val="clear" w:color="auto" w:fill="FFFFFF" w:themeFill="background1"/>
        </w:rPr>
        <w:t>所。各乡镇有农业服务中心、社会事业服务中心和村建环卫服务中心等直属事业单位。有镇级机关单位22个，个体工商户254户。</w:t>
      </w:r>
    </w:p>
    <w:p>
      <w:pPr>
        <w:ind w:firstLine="480"/>
        <w:rPr>
          <w:shd w:val="clear" w:color="auto" w:fill="FFFFFF" w:themeFill="background1"/>
        </w:rPr>
      </w:pPr>
      <w:r>
        <w:rPr>
          <w:rFonts w:hint="eastAsia"/>
          <w:shd w:val="clear" w:color="auto" w:fill="FFFFFF" w:themeFill="background1"/>
        </w:rPr>
        <w:t>境内旅游资源禀赋，有地质奇观苍王峡、米仓山大峡谷aaaa级景区、保存完好的溶洞--潜龙洞、靴儿崖、黄冒山以及历史文化古迹赵家大院风光旖旎、文明遐迩；除此之外伟人谷，盐河峡、海河大峡谷像两只手臂热情拥抱着这一方水土；同时鲜为人知的李家河龙洞以奇险奇幽的"九重天"成为登山探险者的乐园，盐井河采育场的青山与红叶更是不可多得的自然风光。</w:t>
      </w:r>
    </w:p>
    <w:p>
      <w:pPr>
        <w:pStyle w:val="3"/>
        <w:ind w:left="301" w:hanging="301"/>
      </w:pPr>
      <w:bookmarkStart w:id="58" w:name="_Toc86049159"/>
      <w:bookmarkStart w:id="59" w:name="_Toc80719375"/>
      <w:r>
        <w:t>水资源开发利用现状及存在的问题</w:t>
      </w:r>
      <w:bookmarkEnd w:id="58"/>
      <w:bookmarkEnd w:id="59"/>
    </w:p>
    <w:p>
      <w:pPr>
        <w:pStyle w:val="4"/>
        <w:ind w:left="240"/>
      </w:pPr>
      <w:bookmarkStart w:id="60" w:name="_Toc86049160"/>
      <w:bookmarkStart w:id="61" w:name="_Toc80719376"/>
      <w:r>
        <w:rPr>
          <w:rFonts w:hint="eastAsia"/>
        </w:rPr>
        <w:t>水资源现状</w:t>
      </w:r>
      <w:bookmarkEnd w:id="60"/>
      <w:bookmarkEnd w:id="61"/>
    </w:p>
    <w:p>
      <w:pPr>
        <w:ind w:firstLine="480"/>
        <w:rPr>
          <w:szCs w:val="24"/>
        </w:rPr>
      </w:pPr>
      <w:r>
        <w:rPr>
          <w:rFonts w:hint="eastAsia"/>
          <w:szCs w:val="24"/>
        </w:rPr>
        <w:t>根据《旺苍县水资源综合规划》，按</w:t>
      </w:r>
      <w:r>
        <w:rPr>
          <w:szCs w:val="24"/>
        </w:rPr>
        <w:t>1956~2016年同步期天然地表水资源量系列统计，旺苍县多年平均年径流深633.1mm，多年平均地表水资源量18.84亿m</w:t>
      </w:r>
      <w:r>
        <w:rPr>
          <w:szCs w:val="24"/>
          <w:vertAlign w:val="superscript"/>
        </w:rPr>
        <w:t>3</w:t>
      </w:r>
      <w:r>
        <w:rPr>
          <w:szCs w:val="24"/>
        </w:rPr>
        <w:t>/a。</w:t>
      </w:r>
    </w:p>
    <w:p>
      <w:pPr>
        <w:ind w:firstLine="480"/>
        <w:rPr>
          <w:szCs w:val="24"/>
        </w:rPr>
      </w:pPr>
      <w:r>
        <w:rPr>
          <w:szCs w:val="24"/>
        </w:rPr>
        <w:t>旺苍县幅员面积2975km</w:t>
      </w:r>
      <w:r>
        <w:rPr>
          <w:szCs w:val="24"/>
          <w:vertAlign w:val="superscript"/>
        </w:rPr>
        <w:t>2</w:t>
      </w:r>
      <w:r>
        <w:rPr>
          <w:szCs w:val="24"/>
        </w:rPr>
        <w:t>，单位面积产水量63.3万m</w:t>
      </w:r>
      <w:r>
        <w:rPr>
          <w:szCs w:val="24"/>
          <w:vertAlign w:val="superscript"/>
        </w:rPr>
        <w:t>3</w:t>
      </w:r>
      <w:r>
        <w:rPr>
          <w:szCs w:val="24"/>
        </w:rPr>
        <w:t>/km</w:t>
      </w:r>
      <w:r>
        <w:rPr>
          <w:szCs w:val="24"/>
          <w:vertAlign w:val="superscript"/>
        </w:rPr>
        <w:t>2</w:t>
      </w:r>
      <w:r>
        <w:rPr>
          <w:szCs w:val="24"/>
        </w:rPr>
        <w:t>.a，高于广元市（51.1万m</w:t>
      </w:r>
      <w:r>
        <w:rPr>
          <w:szCs w:val="24"/>
          <w:vertAlign w:val="superscript"/>
        </w:rPr>
        <w:t>3</w:t>
      </w:r>
      <w:r>
        <w:rPr>
          <w:szCs w:val="24"/>
        </w:rPr>
        <w:t>/km</w:t>
      </w:r>
      <w:r>
        <w:rPr>
          <w:szCs w:val="24"/>
          <w:vertAlign w:val="superscript"/>
        </w:rPr>
        <w:t>2</w:t>
      </w:r>
      <w:r>
        <w:rPr>
          <w:szCs w:val="24"/>
        </w:rPr>
        <w:t>.a）、高于全省（54.0万m</w:t>
      </w:r>
      <w:r>
        <w:rPr>
          <w:szCs w:val="24"/>
          <w:vertAlign w:val="superscript"/>
        </w:rPr>
        <w:t>3</w:t>
      </w:r>
      <w:r>
        <w:rPr>
          <w:szCs w:val="24"/>
        </w:rPr>
        <w:t>/km</w:t>
      </w:r>
      <w:r>
        <w:rPr>
          <w:szCs w:val="24"/>
          <w:vertAlign w:val="superscript"/>
        </w:rPr>
        <w:t>2</w:t>
      </w:r>
      <w:r>
        <w:rPr>
          <w:szCs w:val="24"/>
        </w:rPr>
        <w:t>.a）。</w:t>
      </w:r>
    </w:p>
    <w:p>
      <w:pPr>
        <w:ind w:firstLine="480"/>
        <w:rPr>
          <w:szCs w:val="24"/>
        </w:rPr>
      </w:pPr>
      <w:r>
        <w:rPr>
          <w:szCs w:val="24"/>
        </w:rPr>
        <w:t>旺苍县2016年末户籍人口44.99万人，人均水资源量4187m</w:t>
      </w:r>
      <w:r>
        <w:rPr>
          <w:szCs w:val="24"/>
          <w:vertAlign w:val="superscript"/>
        </w:rPr>
        <w:t>3</w:t>
      </w:r>
      <w:r>
        <w:rPr>
          <w:szCs w:val="24"/>
        </w:rPr>
        <w:t>/人，高于全省平均水平（3203m</w:t>
      </w:r>
      <w:r>
        <w:rPr>
          <w:szCs w:val="24"/>
          <w:vertAlign w:val="superscript"/>
        </w:rPr>
        <w:t>3</w:t>
      </w:r>
      <w:r>
        <w:rPr>
          <w:szCs w:val="24"/>
        </w:rPr>
        <w:t>/人），高于长江流域的平均水平（2325m</w:t>
      </w:r>
      <w:r>
        <w:rPr>
          <w:szCs w:val="24"/>
          <w:vertAlign w:val="superscript"/>
        </w:rPr>
        <w:t>3</w:t>
      </w:r>
      <w:r>
        <w:rPr>
          <w:szCs w:val="24"/>
        </w:rPr>
        <w:t>/人），旺苍县2016年末实有耕地面积70万亩，亩均水资源量2691m</w:t>
      </w:r>
      <w:r>
        <w:rPr>
          <w:szCs w:val="24"/>
          <w:vertAlign w:val="superscript"/>
        </w:rPr>
        <w:t>3</w:t>
      </w:r>
      <w:r>
        <w:rPr>
          <w:szCs w:val="24"/>
        </w:rPr>
        <w:t>/亩，低于全省平均（4465m</w:t>
      </w:r>
      <w:r>
        <w:rPr>
          <w:szCs w:val="24"/>
          <w:vertAlign w:val="superscript"/>
        </w:rPr>
        <w:t>3</w:t>
      </w:r>
      <w:r>
        <w:rPr>
          <w:szCs w:val="24"/>
        </w:rPr>
        <w:t>/亩）。</w:t>
      </w:r>
    </w:p>
    <w:p>
      <w:pPr>
        <w:ind w:firstLine="480"/>
        <w:rPr>
          <w:szCs w:val="24"/>
        </w:rPr>
      </w:pPr>
      <w:r>
        <w:rPr>
          <w:rFonts w:hint="eastAsia"/>
          <w:szCs w:val="24"/>
        </w:rPr>
        <w:t>盐井河干流无河道外用水取水，根据《2</w:t>
      </w:r>
      <w:r>
        <w:rPr>
          <w:szCs w:val="24"/>
        </w:rPr>
        <w:t>019</w:t>
      </w:r>
      <w:r>
        <w:rPr>
          <w:rFonts w:hint="eastAsia"/>
          <w:szCs w:val="24"/>
        </w:rPr>
        <w:t>年旺苍县水资源公报》，2</w:t>
      </w:r>
      <w:r>
        <w:rPr>
          <w:szCs w:val="24"/>
        </w:rPr>
        <w:t>019</w:t>
      </w:r>
      <w:r>
        <w:rPr>
          <w:rFonts w:hint="eastAsia"/>
          <w:szCs w:val="24"/>
        </w:rPr>
        <w:t>年，旺苍县境内盐井河流域供用水1</w:t>
      </w:r>
      <w:r>
        <w:rPr>
          <w:szCs w:val="24"/>
        </w:rPr>
        <w:t>311</w:t>
      </w:r>
      <w:r>
        <w:rPr>
          <w:rFonts w:hint="eastAsia"/>
          <w:szCs w:val="24"/>
        </w:rPr>
        <w:t>万m</w:t>
      </w:r>
      <w:r>
        <w:rPr>
          <w:rFonts w:hint="eastAsia"/>
          <w:szCs w:val="24"/>
          <w:vertAlign w:val="superscript"/>
        </w:rPr>
        <w:t>3</w:t>
      </w:r>
      <w:r>
        <w:rPr>
          <w:rFonts w:hint="eastAsia"/>
          <w:szCs w:val="24"/>
        </w:rPr>
        <w:t>，主要为生活用水及农业生产用水。</w:t>
      </w:r>
    </w:p>
    <w:p>
      <w:pPr>
        <w:pStyle w:val="4"/>
        <w:ind w:left="240"/>
      </w:pPr>
      <w:bookmarkStart w:id="62" w:name="_Toc86049161"/>
      <w:bookmarkStart w:id="63" w:name="_Toc80719377"/>
      <w:r>
        <w:rPr>
          <w:rFonts w:hint="eastAsia"/>
        </w:rPr>
        <w:t>供用水现状</w:t>
      </w:r>
      <w:bookmarkEnd w:id="62"/>
      <w:bookmarkEnd w:id="63"/>
    </w:p>
    <w:p>
      <w:pPr>
        <w:ind w:firstLine="480"/>
      </w:pPr>
      <w:r>
        <w:t>截止2019年底，旺苍县拥有各类供水工程22363处，其中水库供水工程60座、塘坝1087处、窖池9441处、河湖提水泵站222处，地下水取水井10315眼，其中规模以上浅层地下水机电井23眼，规模以下浅层地下水机电井10292眼。</w:t>
      </w:r>
    </w:p>
    <w:p>
      <w:pPr>
        <w:ind w:firstLine="480"/>
      </w:pPr>
      <w:r>
        <w:t>2019年全县供水总量8645万m</w:t>
      </w:r>
      <w:r>
        <w:rPr>
          <w:vertAlign w:val="superscript"/>
        </w:rPr>
        <w:t>3</w:t>
      </w:r>
      <w:r>
        <w:t>，其中蓄水工程供水3017万m</w:t>
      </w:r>
      <w:r>
        <w:rPr>
          <w:vertAlign w:val="superscript"/>
        </w:rPr>
        <w:t>3</w:t>
      </w:r>
      <w:r>
        <w:t>，提水工程供水4738万m</w:t>
      </w:r>
      <w:r>
        <w:rPr>
          <w:vertAlign w:val="superscript"/>
        </w:rPr>
        <w:t>3</w:t>
      </w:r>
      <w:r>
        <w:t>，引水工程供水600万m</w:t>
      </w:r>
      <w:r>
        <w:rPr>
          <w:vertAlign w:val="superscript"/>
        </w:rPr>
        <w:t>3</w:t>
      </w:r>
      <w:r>
        <w:t>，地下水源供水290万m</w:t>
      </w:r>
      <w:r>
        <w:rPr>
          <w:vertAlign w:val="superscript"/>
        </w:rPr>
        <w:t>3</w:t>
      </w:r>
      <w:r>
        <w:t>。</w:t>
      </w:r>
    </w:p>
    <w:p>
      <w:pPr>
        <w:ind w:firstLine="480"/>
      </w:pPr>
      <w:r>
        <w:t>2019年全县用水量8645万m</w:t>
      </w:r>
      <w:r>
        <w:rPr>
          <w:vertAlign w:val="superscript"/>
        </w:rPr>
        <w:t>3</w:t>
      </w:r>
      <w:r>
        <w:t>：其中第一产业用水量为3282万m</w:t>
      </w:r>
      <w:r>
        <w:rPr>
          <w:vertAlign w:val="superscript"/>
        </w:rPr>
        <w:t>3</w:t>
      </w:r>
      <w:r>
        <w:t>，占总用水量的45.59%；第二产业用水量为2985万m</w:t>
      </w:r>
      <w:r>
        <w:rPr>
          <w:vertAlign w:val="superscript"/>
        </w:rPr>
        <w:t>3</w:t>
      </w:r>
      <w:r>
        <w:t>，占总用水量的34.53%；第三产业用水量为25万m</w:t>
      </w:r>
      <w:r>
        <w:rPr>
          <w:vertAlign w:val="superscript"/>
        </w:rPr>
        <w:t>3</w:t>
      </w:r>
      <w:r>
        <w:t>，占总用水量的0.3%；生活用水量为1656万m</w:t>
      </w:r>
      <w:r>
        <w:rPr>
          <w:vertAlign w:val="superscript"/>
        </w:rPr>
        <w:t>3</w:t>
      </w:r>
      <w:r>
        <w:t>，占总用水量的19.16%；生态环境用水量为38万m</w:t>
      </w:r>
      <w:r>
        <w:rPr>
          <w:vertAlign w:val="superscript"/>
        </w:rPr>
        <w:t>3</w:t>
      </w:r>
      <w:r>
        <w:t>，占总用水量的0.4%。</w:t>
      </w:r>
    </w:p>
    <w:p>
      <w:pPr>
        <w:ind w:firstLine="480"/>
        <w:rPr>
          <w:szCs w:val="24"/>
        </w:rPr>
      </w:pPr>
      <w:r>
        <w:rPr>
          <w:rFonts w:hint="eastAsia"/>
          <w:szCs w:val="24"/>
        </w:rPr>
        <w:t>盐井河干流无河道外用水取水，2</w:t>
      </w:r>
      <w:r>
        <w:rPr>
          <w:szCs w:val="24"/>
        </w:rPr>
        <w:t>019</w:t>
      </w:r>
      <w:r>
        <w:rPr>
          <w:rFonts w:hint="eastAsia"/>
          <w:szCs w:val="24"/>
        </w:rPr>
        <w:t>年，旺苍县境内盐井河流域供用水1</w:t>
      </w:r>
      <w:r>
        <w:rPr>
          <w:szCs w:val="24"/>
        </w:rPr>
        <w:t>311</w:t>
      </w:r>
      <w:r>
        <w:rPr>
          <w:rFonts w:hint="eastAsia"/>
          <w:szCs w:val="24"/>
        </w:rPr>
        <w:t>万m</w:t>
      </w:r>
      <w:r>
        <w:rPr>
          <w:rFonts w:hint="eastAsia"/>
          <w:szCs w:val="24"/>
          <w:vertAlign w:val="superscript"/>
        </w:rPr>
        <w:t>3</w:t>
      </w:r>
      <w:r>
        <w:rPr>
          <w:rFonts w:hint="eastAsia"/>
          <w:szCs w:val="24"/>
        </w:rPr>
        <w:t>，主要为生活用水及农业生产用水，其中地表水1</w:t>
      </w:r>
      <w:r>
        <w:rPr>
          <w:szCs w:val="24"/>
        </w:rPr>
        <w:t>268</w:t>
      </w:r>
      <w:r>
        <w:rPr>
          <w:rFonts w:hint="eastAsia"/>
          <w:szCs w:val="24"/>
        </w:rPr>
        <w:t>万</w:t>
      </w:r>
      <w:r>
        <w:t>m</w:t>
      </w:r>
      <w:r>
        <w:rPr>
          <w:vertAlign w:val="superscript"/>
        </w:rPr>
        <w:t>3</w:t>
      </w:r>
      <w:r>
        <w:t>，</w:t>
      </w:r>
      <w:r>
        <w:rPr>
          <w:rFonts w:hint="eastAsia"/>
        </w:rPr>
        <w:t>地下水4</w:t>
      </w:r>
      <w:r>
        <w:t>3</w:t>
      </w:r>
      <w:r>
        <w:rPr>
          <w:rFonts w:hint="eastAsia"/>
        </w:rPr>
        <w:t>万</w:t>
      </w:r>
      <w:r>
        <w:t>m</w:t>
      </w:r>
      <w:r>
        <w:rPr>
          <w:vertAlign w:val="superscript"/>
        </w:rPr>
        <w:t>3</w:t>
      </w:r>
      <w:r>
        <w:rPr>
          <w:rFonts w:hint="eastAsia"/>
        </w:rPr>
        <w:t>。</w:t>
      </w:r>
    </w:p>
    <w:p>
      <w:pPr>
        <w:pStyle w:val="4"/>
        <w:ind w:left="240"/>
      </w:pPr>
      <w:bookmarkStart w:id="64" w:name="_Toc86049162"/>
      <w:bookmarkStart w:id="65" w:name="_Toc80719378"/>
      <w:r>
        <w:rPr>
          <w:rFonts w:hint="eastAsia"/>
        </w:rPr>
        <w:t>水环境现状</w:t>
      </w:r>
      <w:bookmarkEnd w:id="64"/>
      <w:bookmarkEnd w:id="65"/>
    </w:p>
    <w:p>
      <w:pPr>
        <w:ind w:firstLine="480"/>
      </w:pPr>
      <w:r>
        <w:rPr>
          <w:rFonts w:hint="eastAsia"/>
        </w:rPr>
        <w:t>（1）水功能达标情况</w:t>
      </w:r>
    </w:p>
    <w:p>
      <w:pPr>
        <w:ind w:firstLine="480"/>
      </w:pPr>
      <w:r>
        <w:t>根据国务院批复的《全国重要江河湖泊水功能区划（2011-2030）》、《四川省长江流域水功能区划》、《广元市江河湖泊水功能区划》的相关成果，旺苍县已区划一级水功能区共6个，其中保护区1个、保留区4个、缓冲区1个。</w:t>
      </w:r>
    </w:p>
    <w:p>
      <w:pPr>
        <w:ind w:firstLine="480"/>
      </w:pPr>
      <w:r>
        <w:rPr>
          <w:rFonts w:hint="eastAsia"/>
        </w:rPr>
        <w:t>旺苍县盐井河已划分一级水功能区两个，其中自陕川入境至万家</w:t>
      </w:r>
      <w:r>
        <w:t>6</w:t>
      </w:r>
      <w:r>
        <w:rPr>
          <w:rFonts w:hint="eastAsia"/>
        </w:rPr>
        <w:t>km为盐井河陕川缓冲区，自万家至东河汇口3</w:t>
      </w:r>
      <w:r>
        <w:t>8.4</w:t>
      </w:r>
      <w:r>
        <w:rPr>
          <w:rFonts w:hint="eastAsia"/>
        </w:rPr>
        <w:t>km为盐井河旺苍保留区。</w:t>
      </w:r>
    </w:p>
    <w:p>
      <w:pPr>
        <w:ind w:firstLine="480"/>
      </w:pPr>
      <w:r>
        <w:rPr>
          <w:rFonts w:hint="eastAsia"/>
        </w:rPr>
        <w:t>根据水质监测结果，盐井河陕川缓冲区和盐井河旺苍保留区水质均达到地表水Ⅱ类水质量标准。</w:t>
      </w:r>
    </w:p>
    <w:p>
      <w:pPr>
        <w:ind w:firstLine="480"/>
      </w:pPr>
      <w:r>
        <w:rPr>
          <w:rFonts w:hint="eastAsia"/>
        </w:rPr>
        <w:t>（</w:t>
      </w:r>
      <w:r>
        <w:t>2</w:t>
      </w:r>
      <w:r>
        <w:rPr>
          <w:rFonts w:hint="eastAsia"/>
        </w:rPr>
        <w:t>）河流黑臭水体及内源污染情况</w:t>
      </w:r>
    </w:p>
    <w:p>
      <w:pPr>
        <w:ind w:firstLine="480"/>
      </w:pPr>
      <w:r>
        <w:rPr>
          <w:rFonts w:hint="eastAsia"/>
        </w:rPr>
        <w:t>经现场调查，旺苍县境内盐井河水系无黑臭水体，整体水质向好，但盐井河国华镇段沿河新建住宅存在生活污水直排入河现象，个别点位存在异味，并有内源污染隐患，应及时对剩余排污口进行整治。</w:t>
      </w:r>
    </w:p>
    <w:p>
      <w:pPr>
        <w:pStyle w:val="4"/>
        <w:ind w:left="240"/>
      </w:pPr>
      <w:bookmarkStart w:id="66" w:name="_Toc86049163"/>
      <w:bookmarkStart w:id="67" w:name="_Toc80719379"/>
      <w:r>
        <w:rPr>
          <w:rFonts w:hint="eastAsia"/>
        </w:rPr>
        <w:t>水生态现状</w:t>
      </w:r>
      <w:bookmarkEnd w:id="66"/>
      <w:bookmarkEnd w:id="67"/>
    </w:p>
    <w:p>
      <w:pPr>
        <w:ind w:firstLine="480"/>
      </w:pPr>
      <w:r>
        <w:rPr>
          <w:rFonts w:hint="eastAsia"/>
        </w:rPr>
        <w:t>（</w:t>
      </w:r>
      <w:r>
        <w:t>1</w:t>
      </w:r>
      <w:r>
        <w:rPr>
          <w:rFonts w:hint="eastAsia"/>
        </w:rPr>
        <w:t>）水生态特点</w:t>
      </w:r>
    </w:p>
    <w:p>
      <w:pPr>
        <w:ind w:firstLine="480"/>
      </w:pPr>
      <w:r>
        <w:rPr>
          <w:rFonts w:hint="eastAsia"/>
        </w:rPr>
        <w:t>盐井河为高山峡谷河流，</w:t>
      </w:r>
      <w:r>
        <w:t>河道弯曲、流态紊乱、比降较大、水流</w:t>
      </w:r>
      <w:r>
        <w:rPr>
          <w:rFonts w:hint="eastAsia"/>
        </w:rPr>
        <w:t>湍</w:t>
      </w:r>
      <w:r>
        <w:t>急，形成了多样性的河床地貌和沿岸带生境；</w:t>
      </w:r>
      <w:r>
        <w:rPr>
          <w:rFonts w:hint="eastAsia"/>
        </w:rPr>
        <w:t>两岸植被覆盖较高，</w:t>
      </w:r>
      <w:r>
        <w:t>水质清澈，</w:t>
      </w:r>
      <w:r>
        <w:rPr>
          <w:rFonts w:hint="eastAsia"/>
        </w:rPr>
        <w:t>河流沿线</w:t>
      </w:r>
      <w:r>
        <w:t>基本无工业污染，浅滩、坑、沱、槽、深凼分布，适宜多种鱼类繁衍生息，生境多样性相对丰富，</w:t>
      </w:r>
      <w:r>
        <w:rPr>
          <w:rFonts w:hint="eastAsia"/>
        </w:rPr>
        <w:t>水环境质量及水生态状况较好。</w:t>
      </w:r>
    </w:p>
    <w:p>
      <w:pPr>
        <w:ind w:firstLine="480"/>
      </w:pPr>
      <w:r>
        <w:rPr>
          <w:rFonts w:hint="eastAsia"/>
        </w:rPr>
        <w:t>（</w:t>
      </w:r>
      <w:r>
        <w:t>2</w:t>
      </w:r>
      <w:r>
        <w:rPr>
          <w:rFonts w:hint="eastAsia"/>
        </w:rPr>
        <w:t>）河流水生态流量</w:t>
      </w:r>
    </w:p>
    <w:p>
      <w:pPr>
        <w:ind w:firstLine="480"/>
      </w:pPr>
      <w:r>
        <w:rPr>
          <w:rFonts w:hint="eastAsia"/>
        </w:rPr>
        <w:t>盐井河旺苍境内河段有福鑫和盐河两座小型水电站。</w:t>
      </w:r>
    </w:p>
    <w:p>
      <w:pPr>
        <w:ind w:firstLine="480"/>
      </w:pPr>
      <w:r>
        <w:rPr>
          <w:rFonts w:hint="eastAsia"/>
        </w:rPr>
        <w:t>福鑫水电站坝址处多年平均流量为10.6m</w:t>
      </w:r>
      <w:r>
        <w:rPr>
          <w:rFonts w:cs="Times New Roman"/>
        </w:rPr>
        <w:t>³</w:t>
      </w:r>
      <w:r>
        <w:rPr>
          <w:rFonts w:hint="eastAsia"/>
        </w:rPr>
        <w:t>/s。该电站在主体工程设计中设置了生态流量下泄措施，具体为：在电站首部枢纽左岸冲沙闸孔处开启闸门泄放生态流量（冲沙孔净空尺寸1.5m×1.5m），闸门开度为0.1m,设计下泄流量为1.12m</w:t>
      </w:r>
      <w:r>
        <w:rPr>
          <w:rFonts w:cs="Times New Roman"/>
        </w:rPr>
        <w:t>³</w:t>
      </w:r>
      <w:r>
        <w:rPr>
          <w:rFonts w:hint="eastAsia"/>
        </w:rPr>
        <w:t>/s，下泄生态流量为坝址多年平均径流量的1</w:t>
      </w:r>
      <w:r>
        <w:t>0.56</w:t>
      </w:r>
      <w:r>
        <w:rPr>
          <w:rFonts w:hint="eastAsia"/>
        </w:rPr>
        <w:t>%。</w:t>
      </w:r>
    </w:p>
    <w:p>
      <w:pPr>
        <w:ind w:firstLine="480"/>
      </w:pPr>
      <w:r>
        <w:rPr>
          <w:rFonts w:hint="eastAsia"/>
        </w:rPr>
        <w:t>盐河水电站多年平均流量为12.07m</w:t>
      </w:r>
      <w:r>
        <w:rPr>
          <w:rFonts w:ascii="Calibri" w:hAnsi="Calibri" w:cs="Calibri"/>
        </w:rPr>
        <w:t>³</w:t>
      </w:r>
      <w:r>
        <w:rPr>
          <w:rFonts w:hint="eastAsia"/>
        </w:rPr>
        <w:t>/s。</w:t>
      </w:r>
      <w:r>
        <w:t>该电站在主体工程设计中设置了生态流量下泄措施，具体为：在电站首部枢纽左岸冲沙闸孔处开启闸门泄放生态流量（冲沙孔净空尺寸</w:t>
      </w:r>
      <w:r>
        <w:rPr>
          <w:rFonts w:hint="eastAsia"/>
        </w:rPr>
        <w:t>1.5</w:t>
      </w:r>
      <w:r>
        <w:t>m</w:t>
      </w:r>
      <w:r>
        <w:rPr>
          <w:rFonts w:hint="eastAsia"/>
        </w:rPr>
        <w:t>×0</w:t>
      </w:r>
      <w:r>
        <w:t>.</w:t>
      </w:r>
      <w:r>
        <w:rPr>
          <w:rFonts w:hint="eastAsia"/>
        </w:rPr>
        <w:t>8</w:t>
      </w:r>
      <w:r>
        <w:t>m），闸门开度为0.</w:t>
      </w:r>
      <w:r>
        <w:rPr>
          <w:rFonts w:hint="eastAsia"/>
        </w:rPr>
        <w:t>3</w:t>
      </w:r>
      <w:r>
        <w:t>m,设计下泄流量为</w:t>
      </w:r>
      <w:r>
        <w:rPr>
          <w:rFonts w:hint="eastAsia"/>
        </w:rPr>
        <w:t>1.27</w:t>
      </w:r>
      <w:r>
        <w:t>m³/s，</w:t>
      </w:r>
      <w:r>
        <w:rPr>
          <w:rFonts w:hint="eastAsia"/>
        </w:rPr>
        <w:t>下泄生态流量为坝址多年平均径流量的1</w:t>
      </w:r>
      <w:r>
        <w:t>0.52</w:t>
      </w:r>
      <w:r>
        <w:rPr>
          <w:rFonts w:hint="eastAsia"/>
        </w:rPr>
        <w:t>%。</w:t>
      </w:r>
    </w:p>
    <w:p>
      <w:pPr>
        <w:ind w:firstLine="480"/>
      </w:pPr>
      <w:r>
        <w:rPr>
          <w:rFonts w:hint="eastAsia"/>
        </w:rPr>
        <w:t>（3）水土流失现状</w:t>
      </w:r>
    </w:p>
    <w:p>
      <w:pPr>
        <w:ind w:firstLine="480"/>
      </w:pPr>
      <w:r>
        <w:rPr>
          <w:rFonts w:hint="eastAsia"/>
        </w:rPr>
        <w:t>盐井河流域内水土流失主要为水力侵蚀，局部还有重力侵蚀，以水力侵蚀为主。水力侵蚀的主要形式为坡面面蚀（片蚀）和沟道侵蚀，以中度和轻度为主，占侵蚀面积的</w:t>
      </w:r>
      <w:r>
        <w:t>95.99%</w:t>
      </w:r>
      <w:r>
        <w:rPr>
          <w:rFonts w:hint="eastAsia"/>
        </w:rPr>
        <w:t>，主要分布在国华镇、盐河镇等乡镇及河流两岸山体的极险陡坡地带。流域内水土流失治理生态环境建设初见成效，水土流失趋势得到有效控制，但局部地方还存在水土流失的情况</w:t>
      </w:r>
      <w:r>
        <w:t>。</w:t>
      </w:r>
      <w:r>
        <w:rPr>
          <w:rFonts w:hint="eastAsia"/>
        </w:rPr>
        <w:t>通过建设沟道治理及水土保持工程为改善生态环境、加快水土流失区群众脱贫致富步伐、促进旺苍县国民经济社会发展发挥了重要作用，“破坏大于治理”的局面得到扭转。</w:t>
      </w:r>
    </w:p>
    <w:p>
      <w:pPr>
        <w:ind w:firstLine="480"/>
      </w:pPr>
      <w:r>
        <w:rPr>
          <w:rFonts w:hint="eastAsia"/>
        </w:rPr>
        <w:t>（4）水生生物多样性情况</w:t>
      </w:r>
    </w:p>
    <w:p>
      <w:pPr>
        <w:ind w:firstLine="480"/>
      </w:pPr>
      <w:r>
        <w:rPr>
          <w:rFonts w:hint="eastAsia"/>
        </w:rPr>
        <w:t>盐井河</w:t>
      </w:r>
      <w:r>
        <w:t>水质清澈，基本无工业污染，浅滩、坑、沱、槽、深凼分布，适宜多种鱼类繁衍生息，且生境多样性相对丰富。从分布上来看，副鳅属、山鳅属、高原鳅属、华吸鳅属、裂腹鱼属等的鱼类在盐井河的中、上游段均有分布；鲤科、鮎科、鲿科、合鳃鱼科、鳢科、鱼旨科、钝头鮠科等的鱼类在河段都广泛分布。</w:t>
      </w:r>
      <w:r>
        <w:rPr>
          <w:rFonts w:hint="eastAsia"/>
        </w:rPr>
        <w:t>盐井河</w:t>
      </w:r>
      <w:r>
        <w:t>共分布鱼类60种，两栖类和爬行类等动物种类繁多，区内物种多样性丰富。</w:t>
      </w:r>
    </w:p>
    <w:p>
      <w:pPr>
        <w:pStyle w:val="4"/>
        <w:ind w:left="240"/>
      </w:pPr>
      <w:bookmarkStart w:id="68" w:name="_Toc80719380"/>
      <w:bookmarkStart w:id="69" w:name="_Toc86049164"/>
      <w:r>
        <w:rPr>
          <w:rFonts w:hint="eastAsia"/>
        </w:rPr>
        <w:t>存在的主要问题</w:t>
      </w:r>
      <w:bookmarkEnd w:id="68"/>
      <w:bookmarkEnd w:id="69"/>
    </w:p>
    <w:p>
      <w:pPr>
        <w:ind w:firstLine="480"/>
      </w:pPr>
      <w:r>
        <w:rPr>
          <w:rFonts w:hint="eastAsia"/>
        </w:rPr>
        <w:t>（</w:t>
      </w:r>
      <w:r>
        <w:t>1</w:t>
      </w:r>
      <w:r>
        <w:rPr>
          <w:rFonts w:hint="eastAsia"/>
        </w:rPr>
        <w:t>）水资源保护问题</w:t>
      </w:r>
    </w:p>
    <w:p>
      <w:pPr>
        <w:ind w:firstLine="480"/>
        <w:rPr>
          <w:rFonts w:cs="Arial Unicode MS"/>
        </w:rPr>
      </w:pPr>
      <w:r>
        <w:rPr>
          <w:rFonts w:hint="eastAsia"/>
        </w:rPr>
        <w:t>目前，根据旺苍县水资源保护情况，水价改革中还未施行阶梯水价制度，没有制定节水型社会建设规划和措施；虽有明确节水管理人员，但没有设立相应的节水管理机构，节水型社会建设进度相对滞后，需要进一步加大力度，继续全面推进节水型社会建设。</w:t>
      </w:r>
    </w:p>
    <w:p>
      <w:pPr>
        <w:ind w:firstLine="480"/>
      </w:pPr>
      <w:r>
        <w:rPr>
          <w:rFonts w:hint="eastAsia"/>
        </w:rPr>
        <w:t>（</w:t>
      </w:r>
      <w:r>
        <w:t>2</w:t>
      </w:r>
      <w:r>
        <w:rPr>
          <w:rFonts w:hint="eastAsia"/>
        </w:rPr>
        <w:t>）水污染问题</w:t>
      </w:r>
    </w:p>
    <w:p>
      <w:pPr>
        <w:ind w:firstLine="480"/>
      </w:pPr>
      <w:r>
        <w:rPr>
          <w:rFonts w:hint="eastAsia"/>
        </w:rPr>
        <w:t>流域内</w:t>
      </w:r>
      <w:r>
        <w:t>耕地面积少，农药、化肥施用量低，对下游水质污染轻微</w:t>
      </w:r>
      <w:r>
        <w:rPr>
          <w:rFonts w:hint="eastAsia"/>
        </w:rPr>
        <w:t>。盐井河内无工业企业和工业园区，不存在工业企业污染源。</w:t>
      </w:r>
    </w:p>
    <w:p>
      <w:pPr>
        <w:ind w:firstLine="480"/>
      </w:pPr>
      <w:r>
        <w:rPr>
          <w:rFonts w:hint="eastAsia"/>
        </w:rPr>
        <w:t>旺苍县加强了入河排污口的建设管理，出台入河排污口管理办法或细则，开展入河排污口登记、备案工作，开展入河排污口设置审批。但部分点位如盐井河国华镇段污水处理设施被人为分割，零星新建楼房生活污水排放未接入污水管网，直接排放入河现象，存在监管不到位。</w:t>
      </w:r>
    </w:p>
    <w:p>
      <w:pPr>
        <w:ind w:firstLine="480"/>
      </w:pPr>
      <w:r>
        <w:rPr>
          <w:rFonts w:hint="eastAsia"/>
        </w:rPr>
        <w:t>（</w:t>
      </w:r>
      <w:r>
        <w:t>3</w:t>
      </w:r>
      <w:r>
        <w:rPr>
          <w:rFonts w:hint="eastAsia"/>
        </w:rPr>
        <w:t>）水环境问题</w:t>
      </w:r>
    </w:p>
    <w:p>
      <w:pPr>
        <w:ind w:firstLine="480"/>
      </w:pPr>
      <w:r>
        <w:rPr>
          <w:rFonts w:hint="eastAsia"/>
        </w:rPr>
        <w:t>旺苍县盐井河干流水质监测断面仅有</w:t>
      </w:r>
      <w:r>
        <w:t>1</w:t>
      </w:r>
      <w:r>
        <w:rPr>
          <w:rFonts w:hint="eastAsia"/>
        </w:rPr>
        <w:t>处，且位于水功能区划的保留区，监测断面较少，监测频次太低，不能全面反映河流整体的水质情况，应增加入境监测断面并实行在线水质实时监测，保证对盐井河水质进行实时监控。</w:t>
      </w:r>
    </w:p>
    <w:p>
      <w:pPr>
        <w:ind w:firstLine="480"/>
      </w:pPr>
      <w:r>
        <w:rPr>
          <w:rFonts w:hint="eastAsia"/>
        </w:rPr>
        <w:t>（</w:t>
      </w:r>
      <w:r>
        <w:t>4</w:t>
      </w:r>
      <w:r>
        <w:rPr>
          <w:rFonts w:hint="eastAsia"/>
        </w:rPr>
        <w:t>）水土流失问题</w:t>
      </w:r>
    </w:p>
    <w:p>
      <w:pPr>
        <w:ind w:firstLine="480"/>
      </w:pPr>
      <w:r>
        <w:rPr>
          <w:rFonts w:hint="eastAsia"/>
        </w:rPr>
        <w:t>通过沟道治理及水土保持工程，流域内水土流失趋势现已得到有效控制，为改善生态环境、加快水土流失区群众脱贫致富步伐、促进旺苍县国民经济社会发展发挥了重要作用，“破坏大于治理”的局面得到扭转。但局部河段还存在水土流失情况。</w:t>
      </w:r>
    </w:p>
    <w:p>
      <w:pPr>
        <w:pStyle w:val="3"/>
        <w:ind w:left="301" w:hanging="301"/>
      </w:pPr>
      <w:bookmarkStart w:id="70" w:name="_Toc80719381"/>
      <w:bookmarkStart w:id="71" w:name="_Toc86049165"/>
      <w:r>
        <w:rPr>
          <w:rFonts w:hint="eastAsia"/>
        </w:rPr>
        <w:t>河湖健康评价工作现状</w:t>
      </w:r>
      <w:bookmarkEnd w:id="70"/>
      <w:bookmarkEnd w:id="71"/>
    </w:p>
    <w:p>
      <w:pPr>
        <w:pStyle w:val="4"/>
        <w:ind w:left="240"/>
      </w:pPr>
      <w:bookmarkStart w:id="72" w:name="_Toc80719382"/>
      <w:bookmarkStart w:id="73" w:name="_Toc86049166"/>
      <w:r>
        <w:rPr>
          <w:rFonts w:hint="eastAsia"/>
        </w:rPr>
        <w:t>组织单位</w:t>
      </w:r>
      <w:bookmarkEnd w:id="72"/>
      <w:bookmarkEnd w:id="73"/>
    </w:p>
    <w:p>
      <w:pPr>
        <w:ind w:firstLine="480"/>
      </w:pPr>
      <w:r>
        <w:rPr>
          <w:rFonts w:hint="eastAsia"/>
        </w:rPr>
        <w:t>河湖健康评价是河湖管理的重要内容，是检验河长制湖长制“有名”“有实”的重要手段。为深入贯彻落实中共中央办公厅、国务院办公厅印发的《关于全面推行河长制的意见》《关于在湖泊实施湖长制的指导意见》，指导各地做好河湖健康评价工作，水利部河湖管理司于</w:t>
      </w:r>
      <w:r>
        <w:t>2020</w:t>
      </w:r>
      <w:r>
        <w:rPr>
          <w:rFonts w:hint="eastAsia"/>
        </w:rPr>
        <w:t>年</w:t>
      </w:r>
      <w:r>
        <w:t>8</w:t>
      </w:r>
      <w:r>
        <w:rPr>
          <w:rFonts w:hint="eastAsia"/>
        </w:rPr>
        <w:t>月印发了《河湖健康评价指南（试行）》。</w:t>
      </w:r>
    </w:p>
    <w:p>
      <w:pPr>
        <w:ind w:firstLine="480"/>
      </w:pPr>
      <w:r>
        <w:rPr>
          <w:rFonts w:hint="eastAsia"/>
        </w:rPr>
        <w:t>为深入贯彻落实水利部河长办《关于印发</w:t>
      </w:r>
      <w:r>
        <w:t>&lt;</w:t>
      </w:r>
      <w:r>
        <w:rPr>
          <w:rFonts w:hint="eastAsia"/>
        </w:rPr>
        <w:t>河湖健康评价指南（试行）</w:t>
      </w:r>
      <w:r>
        <w:t>&gt;</w:t>
      </w:r>
      <w:r>
        <w:rPr>
          <w:rFonts w:hint="eastAsia"/>
        </w:rPr>
        <w:t>的通知》要求，</w:t>
      </w:r>
      <w:r>
        <w:t>2021</w:t>
      </w:r>
      <w:r>
        <w:rPr>
          <w:rFonts w:hint="eastAsia"/>
        </w:rPr>
        <w:t>年</w:t>
      </w:r>
      <w:r>
        <w:t>1</w:t>
      </w:r>
      <w:r>
        <w:rPr>
          <w:rFonts w:hint="eastAsia"/>
        </w:rPr>
        <w:t>月，四川省河长制办公室印发《四川省河长制办公室关于在全省开展河流（湖库）健康评价工作的通知》。</w:t>
      </w:r>
    </w:p>
    <w:p>
      <w:pPr>
        <w:ind w:firstLine="480"/>
      </w:pPr>
      <w:r>
        <w:rPr>
          <w:rFonts w:hint="eastAsia"/>
        </w:rPr>
        <w:t>经研究，四川省广元市旺苍县盐井河为本次河流（湖库）健康评价试点工作，由旺苍县水利科技服务中心负责组织和协调，由中达建诚工程管理集团有限公司编制《旺苍县盐井河河湖健康评价报告》。</w:t>
      </w:r>
    </w:p>
    <w:p>
      <w:pPr>
        <w:ind w:firstLine="480"/>
      </w:pPr>
      <w:r>
        <w:rPr>
          <w:rFonts w:hint="eastAsia"/>
        </w:rPr>
        <w:t>旺苍县盐井河河湖健康评价的组织单位及编制单位分别如下：</w:t>
      </w:r>
    </w:p>
    <w:p>
      <w:pPr>
        <w:ind w:firstLine="480"/>
      </w:pPr>
      <w:r>
        <w:rPr>
          <w:rFonts w:hint="eastAsia"/>
        </w:rPr>
        <w:t>组织单位：旺苍县水利科技服务中心</w:t>
      </w:r>
    </w:p>
    <w:p>
      <w:pPr>
        <w:ind w:firstLine="480"/>
      </w:pPr>
      <w:r>
        <w:rPr>
          <w:rFonts w:hint="eastAsia"/>
        </w:rPr>
        <w:t>编制单位：中达建诚工程管理集团有限公司</w:t>
      </w:r>
    </w:p>
    <w:p>
      <w:pPr>
        <w:pStyle w:val="4"/>
        <w:ind w:left="240"/>
      </w:pPr>
      <w:bookmarkStart w:id="74" w:name="_Toc80719383"/>
      <w:bookmarkStart w:id="75" w:name="_Toc86049167"/>
      <w:r>
        <w:rPr>
          <w:rFonts w:hint="eastAsia"/>
        </w:rPr>
        <w:t>主要工作内容</w:t>
      </w:r>
      <w:bookmarkEnd w:id="74"/>
      <w:bookmarkEnd w:id="75"/>
    </w:p>
    <w:p>
      <w:pPr>
        <w:ind w:firstLine="480"/>
      </w:pPr>
      <w:r>
        <w:rPr>
          <w:rFonts w:hint="eastAsia"/>
        </w:rPr>
        <w:t>本次盐井河河湖健康评价工作流程为：资料及数据收集→确定评价指标→河流健康评价调查及专项监测→编制评价报告。</w:t>
      </w:r>
    </w:p>
    <w:p>
      <w:pPr>
        <w:ind w:firstLine="480"/>
      </w:pPr>
      <w:r>
        <w:rPr>
          <w:rFonts w:hint="eastAsia"/>
        </w:rPr>
        <w:t>通过实地调查走访，收集到盐井河健康评价相关资料，主要包括：</w:t>
      </w:r>
    </w:p>
    <w:p>
      <w:pPr>
        <w:ind w:firstLine="480"/>
      </w:pPr>
      <w:r>
        <w:rPr>
          <w:rFonts w:hint="eastAsia"/>
        </w:rPr>
        <w:t>（</w:t>
      </w:r>
      <w:r>
        <w:rPr>
          <w:rFonts w:eastAsiaTheme="minorEastAsia"/>
        </w:rPr>
        <w:t>1</w:t>
      </w:r>
      <w:r>
        <w:rPr>
          <w:rFonts w:hint="eastAsia"/>
        </w:rPr>
        <w:t>）流域概况和水文气象资料；</w:t>
      </w:r>
    </w:p>
    <w:p>
      <w:pPr>
        <w:ind w:firstLine="480"/>
      </w:pPr>
      <w:r>
        <w:rPr>
          <w:rFonts w:hint="eastAsia"/>
        </w:rPr>
        <w:t>（</w:t>
      </w:r>
      <w:r>
        <w:t>2</w:t>
      </w:r>
      <w:r>
        <w:rPr>
          <w:rFonts w:hint="eastAsia"/>
        </w:rPr>
        <w:t>）暴雨洪水及水文站网基础资料；</w:t>
      </w:r>
    </w:p>
    <w:p>
      <w:pPr>
        <w:ind w:firstLine="480"/>
      </w:pPr>
      <w:r>
        <w:rPr>
          <w:rFonts w:hint="eastAsia"/>
        </w:rPr>
        <w:t>（</w:t>
      </w:r>
      <w:r>
        <w:t>3</w:t>
      </w:r>
      <w:r>
        <w:rPr>
          <w:rFonts w:hint="eastAsia"/>
        </w:rPr>
        <w:t>）河流水利工程规划、建设情况等；</w:t>
      </w:r>
    </w:p>
    <w:p>
      <w:pPr>
        <w:ind w:firstLine="480"/>
      </w:pPr>
      <w:r>
        <w:rPr>
          <w:rFonts w:hint="eastAsia"/>
        </w:rPr>
        <w:t>（</w:t>
      </w:r>
      <w:r>
        <w:t>4</w:t>
      </w:r>
      <w:r>
        <w:rPr>
          <w:rFonts w:hint="eastAsia"/>
        </w:rPr>
        <w:t>）经济社会状况；</w:t>
      </w:r>
    </w:p>
    <w:p>
      <w:pPr>
        <w:ind w:firstLine="480"/>
      </w:pPr>
      <w:r>
        <w:rPr>
          <w:rFonts w:hint="eastAsia"/>
        </w:rPr>
        <w:t>（</w:t>
      </w:r>
      <w:r>
        <w:t>5</w:t>
      </w:r>
      <w:r>
        <w:rPr>
          <w:rFonts w:hint="eastAsia"/>
        </w:rPr>
        <w:t>）县级河长水质检测报告（近1年）；</w:t>
      </w:r>
    </w:p>
    <w:p>
      <w:pPr>
        <w:ind w:firstLine="480"/>
        <w:rPr>
          <w:szCs w:val="24"/>
        </w:rPr>
      </w:pPr>
      <w:r>
        <w:rPr>
          <w:rFonts w:hint="eastAsia"/>
        </w:rPr>
        <w:t>（</w:t>
      </w:r>
      <w:r>
        <w:t>6</w:t>
      </w:r>
      <w:r>
        <w:rPr>
          <w:rFonts w:hint="eastAsia"/>
        </w:rPr>
        <w:t>）</w:t>
      </w:r>
      <w:r>
        <w:rPr>
          <w:rFonts w:hint="eastAsia"/>
          <w:szCs w:val="24"/>
        </w:rPr>
        <w:t>《汉王山省级湿地自然保护区总体规划报告》；</w:t>
      </w:r>
    </w:p>
    <w:p>
      <w:pPr>
        <w:ind w:firstLine="480"/>
      </w:pPr>
      <w:r>
        <w:rPr>
          <w:rFonts w:hint="eastAsia"/>
          <w:szCs w:val="24"/>
        </w:rPr>
        <w:t>（</w:t>
      </w:r>
      <w:r>
        <w:rPr>
          <w:szCs w:val="24"/>
        </w:rPr>
        <w:t>7</w:t>
      </w:r>
      <w:r>
        <w:rPr>
          <w:rFonts w:hint="eastAsia"/>
          <w:szCs w:val="24"/>
        </w:rPr>
        <w:t>）《盐井河“一河一策”管理保护方案》</w:t>
      </w:r>
      <w:r>
        <w:rPr>
          <w:rFonts w:hint="eastAsia"/>
        </w:rPr>
        <w:t>等。</w:t>
      </w:r>
    </w:p>
    <w:p>
      <w:pPr>
        <w:ind w:firstLine="480"/>
      </w:pPr>
      <w:r>
        <w:rPr>
          <w:rFonts w:hint="eastAsia"/>
        </w:rPr>
        <w:t>以上资料均由旺苍县水利局提供。根据收集到的相关资料，分析盐井河流域水资源开发利用概况以及存在的主要问题。</w:t>
      </w:r>
    </w:p>
    <w:p>
      <w:pPr>
        <w:ind w:firstLine="480"/>
      </w:pPr>
      <w:r>
        <w:rPr>
          <w:rFonts w:hint="eastAsia"/>
        </w:rPr>
        <w:t>根据盐井河流域实际情况，选定合理的评价指标体系，本次评价河流位于四川省广元市旺苍县，评价体系采用《四川省河流（湖库）健康评价指南（试行）》（以下简称“《指南》”）中的河湖库健康评估指标体系，结合盐井河河流特征，对河流进行评价，明确具体范围，并说明各评价河段地形地貌、水文地质、河流形态、水环境及水生态的分段特点。</w:t>
      </w:r>
    </w:p>
    <w:p>
      <w:pPr>
        <w:ind w:firstLine="480"/>
      </w:pPr>
      <w:r>
        <w:rPr>
          <w:rFonts w:hint="eastAsia"/>
        </w:rPr>
        <w:t>针对各评价河段制定合理的专项调查及监测方案，根据选定的评价指标确定各监测断面、监测点位及监测断面的布置方案，并分析各指标数据的代表性、准确性、可靠性及客观性。</w:t>
      </w:r>
    </w:p>
    <w:p>
      <w:pPr>
        <w:ind w:firstLine="480"/>
      </w:pPr>
      <w:r>
        <w:rPr>
          <w:rFonts w:hint="eastAsia"/>
        </w:rPr>
        <w:t>以专项调查与监测数据为依据，按照《指南》规定的评价方法与评价标准，形成评价河段为单元的健康状况及准则层赋分结果，最终给出盐井河健康状况得分，给出盐井河健康综合评价结论，编制盐井河河湖健康评价报告。</w:t>
      </w:r>
    </w:p>
    <w:p>
      <w:pPr>
        <w:pStyle w:val="4"/>
        <w:ind w:left="240"/>
      </w:pPr>
      <w:bookmarkStart w:id="76" w:name="_Toc80719384"/>
      <w:bookmarkStart w:id="77" w:name="_Toc86049168"/>
      <w:r>
        <w:rPr>
          <w:rFonts w:hint="eastAsia"/>
        </w:rPr>
        <w:t>取得的主要成果</w:t>
      </w:r>
      <w:bookmarkEnd w:id="76"/>
      <w:bookmarkEnd w:id="77"/>
    </w:p>
    <w:p>
      <w:pPr>
        <w:ind w:firstLine="480"/>
      </w:pPr>
      <w:r>
        <w:rPr>
          <w:rFonts w:hint="eastAsia"/>
        </w:rPr>
        <w:t>在前期准备工作中，收集到了盐井河自然地理、水文气象以及社会经济等方面的基础资料，在当地水利局收集到盐井河流域的工程建设相关设计报告以及规划文件；项目现场实地调查过程中，沿河道全程踏勘，了解了河道整体情况，并对河道周边居民进行问卷调查，了解到公众对河道环境的满意程度；在实施河道监测的工作方面，在上、下游河段各新增了一处水质监测点，下游河段收集到了已有水质监测点近1年的监测数据，可用作本次评价工作的依据。根据上述收集到的资料以及监测调查所得成果，对盐井河展开健康评价工作，对各项指标进行赋分，并得出最终结论：</w:t>
      </w:r>
    </w:p>
    <w:p>
      <w:pPr>
        <w:ind w:firstLine="480"/>
      </w:pPr>
      <w:r>
        <w:rPr>
          <w:rFonts w:hint="eastAsia"/>
        </w:rPr>
        <w:t>盐井河健康评价综合得分为</w:t>
      </w:r>
      <w:r>
        <w:rPr>
          <w:rFonts w:hint="eastAsia"/>
          <w:lang w:eastAsia="zh-CN"/>
        </w:rPr>
        <w:t>66.75</w:t>
      </w:r>
      <w:r>
        <w:rPr>
          <w:rFonts w:hint="eastAsia"/>
        </w:rPr>
        <w:t>分，根据上表中评价分类标准，盐井河为三类河流，河流整体状态表现为亚健康，盐井河在形态结构完整性、水生态完整性与抗扰动弹性、社会服务功能可持续性等方面存在缺陷，处于亚健康状态，应在现有河流健康的基础上，加强日常维护和监管力度，及时对局部存在的缺陷进行治理，消除健康隐患。</w:t>
      </w:r>
    </w:p>
    <w:p>
      <w:pPr>
        <w:ind w:firstLine="480"/>
        <w:sectPr>
          <w:headerReference r:id="rId10" w:type="even"/>
          <w:footerReference r:id="rId11" w:type="even"/>
          <w:pgSz w:w="11906" w:h="16838"/>
          <w:pgMar w:top="1417" w:right="1417" w:bottom="1417" w:left="1417" w:header="499" w:footer="1134" w:gutter="0"/>
          <w:cols w:space="720" w:num="1"/>
          <w:docGrid w:linePitch="312" w:charSpace="0"/>
        </w:sectPr>
      </w:pPr>
    </w:p>
    <w:p>
      <w:pPr>
        <w:pStyle w:val="2"/>
      </w:pPr>
      <w:bookmarkStart w:id="78" w:name="_Toc86049169"/>
      <w:bookmarkStart w:id="79" w:name="_Toc80719385"/>
      <w:r>
        <w:rPr>
          <w:rFonts w:hint="eastAsia"/>
        </w:rPr>
        <w:t>河湖健康评价方案</w:t>
      </w:r>
      <w:bookmarkEnd w:id="78"/>
      <w:bookmarkEnd w:id="79"/>
    </w:p>
    <w:p>
      <w:pPr>
        <w:pStyle w:val="3"/>
        <w:ind w:left="301" w:hanging="301"/>
      </w:pPr>
      <w:bookmarkStart w:id="80" w:name="_Toc80719396"/>
      <w:bookmarkStart w:id="81" w:name="_Toc86049170"/>
      <w:r>
        <w:rPr>
          <w:rFonts w:hint="eastAsia"/>
        </w:rPr>
        <w:t>评价指标体系</w:t>
      </w:r>
      <w:bookmarkEnd w:id="80"/>
      <w:r>
        <w:rPr>
          <w:rFonts w:hint="eastAsia"/>
        </w:rPr>
        <w:t>、评价方法及评价标准</w:t>
      </w:r>
      <w:bookmarkEnd w:id="81"/>
    </w:p>
    <w:p>
      <w:pPr>
        <w:pStyle w:val="4"/>
        <w:ind w:left="240"/>
      </w:pPr>
      <w:bookmarkStart w:id="82" w:name="_Toc86049171"/>
      <w:bookmarkStart w:id="83" w:name="_Toc80719397"/>
      <w:r>
        <w:rPr>
          <w:rFonts w:hint="eastAsia"/>
        </w:rPr>
        <w:t>评价指标体系</w:t>
      </w:r>
      <w:bookmarkEnd w:id="82"/>
      <w:bookmarkEnd w:id="83"/>
    </w:p>
    <w:p>
      <w:pPr>
        <w:ind w:firstLine="480"/>
      </w:pPr>
      <w:r>
        <w:rPr>
          <w:rFonts w:hint="eastAsia"/>
        </w:rPr>
        <w:t>根据《指南》评价要求，盐井河健康评价评价指标体系包括目标层、准则层</w:t>
      </w:r>
      <w:bookmarkStart w:id="209" w:name="_GoBack"/>
      <w:bookmarkEnd w:id="209"/>
      <w:r>
        <w:rPr>
          <w:rFonts w:hint="eastAsia"/>
        </w:rPr>
        <w:t>及指标层。盐井河健康评价指标体系见</w:t>
      </w:r>
      <w:r>
        <w:fldChar w:fldCharType="begin"/>
      </w:r>
      <w:r>
        <w:instrText xml:space="preserve"> </w:instrText>
      </w:r>
      <w:r>
        <w:rPr>
          <w:rFonts w:hint="eastAsia"/>
        </w:rPr>
        <w:instrText xml:space="preserve">REF _Ref80716660 \h</w:instrText>
      </w:r>
      <w:r>
        <w:instrText xml:space="preserve"> </w:instrText>
      </w:r>
      <w:r>
        <w:fldChar w:fldCharType="separate"/>
      </w:r>
      <w:r>
        <w:rPr>
          <w:rFonts w:hint="eastAsia"/>
        </w:rPr>
        <w:t>表</w:t>
      </w:r>
      <w:r>
        <w:t>3.1</w:t>
      </w:r>
      <w:r>
        <w:noBreakHyphen/>
      </w:r>
      <w:r>
        <w:t>1</w:t>
      </w:r>
      <w:r>
        <w:fldChar w:fldCharType="end"/>
      </w:r>
      <w:r>
        <w:rPr>
          <w:rFonts w:hint="eastAsia"/>
        </w:rPr>
        <w:t>。</w:t>
      </w:r>
    </w:p>
    <w:p>
      <w:pPr>
        <w:pStyle w:val="58"/>
        <w:rPr>
          <w:color w:val="auto"/>
        </w:rPr>
      </w:pPr>
      <w:bookmarkStart w:id="84" w:name="_Ref80716660"/>
      <w:r>
        <w:rPr>
          <w:rFonts w:hint="eastAsia"/>
          <w:color w:val="auto"/>
        </w:rPr>
        <w:t>表</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3.1</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1</w:t>
      </w:r>
      <w:r>
        <w:rPr>
          <w:color w:val="auto"/>
        </w:rPr>
        <w:fldChar w:fldCharType="end"/>
      </w:r>
      <w:bookmarkEnd w:id="84"/>
      <w:r>
        <w:rPr>
          <w:rFonts w:hint="eastAsia"/>
          <w:color w:val="auto"/>
        </w:rPr>
        <w:t>盐井河健康评价指标体系表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9"/>
        <w:gridCol w:w="1600"/>
        <w:gridCol w:w="2332"/>
        <w:gridCol w:w="2018"/>
        <w:gridCol w:w="17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vAlign w:val="center"/>
          </w:tcPr>
          <w:p>
            <w:pPr>
              <w:spacing w:line="240" w:lineRule="auto"/>
              <w:ind w:firstLine="0" w:firstLineChars="0"/>
              <w:jc w:val="center"/>
              <w:rPr>
                <w:sz w:val="21"/>
                <w:szCs w:val="21"/>
              </w:rPr>
            </w:pPr>
            <w:r>
              <w:rPr>
                <w:rFonts w:hint="eastAsia"/>
                <w:sz w:val="21"/>
                <w:szCs w:val="21"/>
              </w:rPr>
              <w:t>目标层</w:t>
            </w:r>
          </w:p>
        </w:tc>
        <w:tc>
          <w:tcPr>
            <w:tcW w:w="939" w:type="pct"/>
            <w:vAlign w:val="center"/>
          </w:tcPr>
          <w:p>
            <w:pPr>
              <w:spacing w:line="240" w:lineRule="auto"/>
              <w:ind w:firstLine="0" w:firstLineChars="0"/>
              <w:jc w:val="center"/>
              <w:rPr>
                <w:sz w:val="21"/>
                <w:szCs w:val="21"/>
              </w:rPr>
            </w:pPr>
            <w:r>
              <w:rPr>
                <w:rFonts w:hint="eastAsia"/>
                <w:sz w:val="21"/>
                <w:szCs w:val="21"/>
              </w:rPr>
              <w:t>准则层</w:t>
            </w:r>
          </w:p>
        </w:tc>
        <w:tc>
          <w:tcPr>
            <w:tcW w:w="1368" w:type="pct"/>
            <w:vAlign w:val="center"/>
          </w:tcPr>
          <w:p>
            <w:pPr>
              <w:spacing w:line="240" w:lineRule="auto"/>
              <w:ind w:firstLine="0" w:firstLineChars="0"/>
              <w:jc w:val="center"/>
              <w:rPr>
                <w:sz w:val="21"/>
                <w:szCs w:val="21"/>
              </w:rPr>
            </w:pPr>
            <w:r>
              <w:rPr>
                <w:rFonts w:hint="eastAsia"/>
                <w:sz w:val="21"/>
                <w:szCs w:val="21"/>
              </w:rPr>
              <w:t>指标层</w:t>
            </w:r>
          </w:p>
        </w:tc>
        <w:tc>
          <w:tcPr>
            <w:tcW w:w="1184" w:type="pct"/>
            <w:vAlign w:val="center"/>
          </w:tcPr>
          <w:p>
            <w:pPr>
              <w:spacing w:line="240" w:lineRule="auto"/>
              <w:ind w:firstLine="0" w:firstLineChars="0"/>
              <w:jc w:val="center"/>
              <w:rPr>
                <w:sz w:val="21"/>
                <w:szCs w:val="21"/>
              </w:rPr>
            </w:pPr>
            <w:r>
              <w:rPr>
                <w:rFonts w:hint="eastAsia"/>
                <w:sz w:val="21"/>
                <w:szCs w:val="21"/>
              </w:rPr>
              <w:t>河长制任务准则层</w:t>
            </w:r>
          </w:p>
        </w:tc>
        <w:tc>
          <w:tcPr>
            <w:tcW w:w="999" w:type="pct"/>
            <w:vAlign w:val="center"/>
          </w:tcPr>
          <w:p>
            <w:pPr>
              <w:spacing w:line="240" w:lineRule="auto"/>
              <w:ind w:firstLine="0" w:firstLineChars="0"/>
              <w:jc w:val="center"/>
              <w:rPr>
                <w:sz w:val="21"/>
                <w:szCs w:val="21"/>
              </w:rPr>
            </w:pPr>
            <w:r>
              <w:rPr>
                <w:rFonts w:hint="eastAsia"/>
                <w:sz w:val="21"/>
                <w:szCs w:val="21"/>
              </w:rPr>
              <w:t>指标类型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vMerge w:val="restart"/>
            <w:vAlign w:val="center"/>
          </w:tcPr>
          <w:p>
            <w:pPr>
              <w:spacing w:line="240" w:lineRule="auto"/>
              <w:ind w:firstLine="0" w:firstLineChars="0"/>
              <w:jc w:val="center"/>
              <w:rPr>
                <w:sz w:val="21"/>
                <w:szCs w:val="21"/>
              </w:rPr>
            </w:pPr>
            <w:r>
              <w:rPr>
                <w:rFonts w:hint="eastAsia"/>
                <w:sz w:val="21"/>
                <w:szCs w:val="21"/>
              </w:rPr>
              <w:t>河流健康</w:t>
            </w:r>
          </w:p>
        </w:tc>
        <w:tc>
          <w:tcPr>
            <w:tcW w:w="939" w:type="pct"/>
            <w:vMerge w:val="restart"/>
            <w:vAlign w:val="center"/>
          </w:tcPr>
          <w:p>
            <w:pPr>
              <w:spacing w:line="240" w:lineRule="auto"/>
              <w:ind w:firstLine="0" w:firstLineChars="0"/>
              <w:jc w:val="center"/>
              <w:rPr>
                <w:sz w:val="21"/>
                <w:szCs w:val="21"/>
              </w:rPr>
            </w:pPr>
            <w:r>
              <w:rPr>
                <w:rFonts w:hint="eastAsia"/>
                <w:sz w:val="21"/>
                <w:szCs w:val="21"/>
              </w:rPr>
              <w:t>水文水资源</w:t>
            </w:r>
          </w:p>
        </w:tc>
        <w:tc>
          <w:tcPr>
            <w:tcW w:w="1368" w:type="pct"/>
            <w:vAlign w:val="center"/>
          </w:tcPr>
          <w:p>
            <w:pPr>
              <w:spacing w:line="240" w:lineRule="auto"/>
              <w:ind w:firstLine="0" w:firstLineChars="0"/>
              <w:jc w:val="center"/>
              <w:rPr>
                <w:sz w:val="21"/>
                <w:szCs w:val="21"/>
              </w:rPr>
            </w:pPr>
            <w:r>
              <w:rPr>
                <w:rFonts w:hint="eastAsia"/>
                <w:sz w:val="21"/>
                <w:szCs w:val="21"/>
              </w:rPr>
              <w:t>水资源开发利用率</w:t>
            </w:r>
          </w:p>
        </w:tc>
        <w:tc>
          <w:tcPr>
            <w:tcW w:w="1184" w:type="pct"/>
            <w:vMerge w:val="restart"/>
            <w:vAlign w:val="center"/>
          </w:tcPr>
          <w:p>
            <w:pPr>
              <w:spacing w:line="240" w:lineRule="auto"/>
              <w:ind w:firstLine="0" w:firstLineChars="0"/>
              <w:jc w:val="center"/>
              <w:rPr>
                <w:sz w:val="21"/>
                <w:szCs w:val="21"/>
              </w:rPr>
            </w:pPr>
            <w:r>
              <w:rPr>
                <w:rFonts w:hint="eastAsia"/>
                <w:sz w:val="21"/>
                <w:szCs w:val="21"/>
              </w:rPr>
              <w:t>水资源保护</w:t>
            </w:r>
          </w:p>
        </w:tc>
        <w:tc>
          <w:tcPr>
            <w:tcW w:w="999" w:type="pct"/>
            <w:vAlign w:val="center"/>
          </w:tcPr>
          <w:p>
            <w:pPr>
              <w:spacing w:line="240" w:lineRule="auto"/>
              <w:ind w:firstLine="0" w:firstLineChars="0"/>
              <w:jc w:val="center"/>
              <w:rPr>
                <w:sz w:val="21"/>
                <w:szCs w:val="21"/>
              </w:rPr>
            </w:pPr>
            <w:r>
              <w:rPr>
                <w:rFonts w:hint="eastAsia"/>
                <w:sz w:val="21"/>
                <w:szCs w:val="21"/>
              </w:rPr>
              <w:t>基本指标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vMerge w:val="continue"/>
            <w:vAlign w:val="center"/>
          </w:tcPr>
          <w:p>
            <w:pPr>
              <w:spacing w:line="240" w:lineRule="auto"/>
              <w:ind w:firstLine="0" w:firstLineChars="0"/>
              <w:jc w:val="center"/>
              <w:rPr>
                <w:sz w:val="21"/>
                <w:szCs w:val="21"/>
              </w:rPr>
            </w:pPr>
          </w:p>
        </w:tc>
        <w:tc>
          <w:tcPr>
            <w:tcW w:w="939" w:type="pct"/>
            <w:vMerge w:val="continue"/>
            <w:vAlign w:val="center"/>
          </w:tcPr>
          <w:p>
            <w:pPr>
              <w:spacing w:line="240" w:lineRule="auto"/>
              <w:ind w:firstLine="0" w:firstLineChars="0"/>
              <w:jc w:val="center"/>
              <w:rPr>
                <w:sz w:val="21"/>
                <w:szCs w:val="21"/>
              </w:rPr>
            </w:pPr>
          </w:p>
        </w:tc>
        <w:tc>
          <w:tcPr>
            <w:tcW w:w="1368" w:type="pct"/>
            <w:vAlign w:val="center"/>
          </w:tcPr>
          <w:p>
            <w:pPr>
              <w:spacing w:line="240" w:lineRule="auto"/>
              <w:ind w:firstLine="0" w:firstLineChars="0"/>
              <w:jc w:val="center"/>
              <w:rPr>
                <w:sz w:val="21"/>
                <w:szCs w:val="21"/>
              </w:rPr>
            </w:pPr>
            <w:r>
              <w:rPr>
                <w:rFonts w:hint="eastAsia"/>
                <w:sz w:val="21"/>
                <w:szCs w:val="21"/>
              </w:rPr>
              <w:t>生态用水满足程度</w:t>
            </w:r>
          </w:p>
        </w:tc>
        <w:tc>
          <w:tcPr>
            <w:tcW w:w="1184" w:type="pct"/>
            <w:vMerge w:val="continue"/>
            <w:vAlign w:val="center"/>
          </w:tcPr>
          <w:p>
            <w:pPr>
              <w:spacing w:line="240" w:lineRule="auto"/>
              <w:ind w:firstLine="0" w:firstLineChars="0"/>
              <w:jc w:val="center"/>
              <w:rPr>
                <w:sz w:val="21"/>
                <w:szCs w:val="21"/>
              </w:rPr>
            </w:pPr>
          </w:p>
        </w:tc>
        <w:tc>
          <w:tcPr>
            <w:tcW w:w="999" w:type="pct"/>
            <w:vAlign w:val="center"/>
          </w:tcPr>
          <w:p>
            <w:pPr>
              <w:spacing w:line="240" w:lineRule="auto"/>
              <w:ind w:firstLine="0" w:firstLineChars="0"/>
              <w:jc w:val="center"/>
              <w:rPr>
                <w:sz w:val="21"/>
                <w:szCs w:val="21"/>
              </w:rPr>
            </w:pPr>
            <w:r>
              <w:rPr>
                <w:rFonts w:hint="eastAsia"/>
                <w:sz w:val="21"/>
                <w:szCs w:val="21"/>
              </w:rPr>
              <w:t>基本指标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vMerge w:val="continue"/>
            <w:vAlign w:val="center"/>
          </w:tcPr>
          <w:p>
            <w:pPr>
              <w:spacing w:line="240" w:lineRule="auto"/>
              <w:ind w:firstLine="0" w:firstLineChars="0"/>
              <w:jc w:val="center"/>
              <w:rPr>
                <w:sz w:val="21"/>
                <w:szCs w:val="21"/>
              </w:rPr>
            </w:pPr>
          </w:p>
        </w:tc>
        <w:tc>
          <w:tcPr>
            <w:tcW w:w="939" w:type="pct"/>
            <w:vMerge w:val="restart"/>
            <w:vAlign w:val="center"/>
          </w:tcPr>
          <w:p>
            <w:pPr>
              <w:spacing w:line="240" w:lineRule="auto"/>
              <w:ind w:firstLine="0" w:firstLineChars="0"/>
              <w:jc w:val="center"/>
              <w:rPr>
                <w:sz w:val="21"/>
                <w:szCs w:val="21"/>
              </w:rPr>
            </w:pPr>
            <w:r>
              <w:rPr>
                <w:rFonts w:hint="eastAsia"/>
                <w:sz w:val="21"/>
                <w:szCs w:val="21"/>
              </w:rPr>
              <w:t>物理结构</w:t>
            </w:r>
          </w:p>
        </w:tc>
        <w:tc>
          <w:tcPr>
            <w:tcW w:w="1368" w:type="pct"/>
            <w:vAlign w:val="center"/>
          </w:tcPr>
          <w:p>
            <w:pPr>
              <w:spacing w:line="240" w:lineRule="auto"/>
              <w:ind w:firstLine="0" w:firstLineChars="0"/>
              <w:jc w:val="center"/>
              <w:rPr>
                <w:sz w:val="21"/>
                <w:szCs w:val="21"/>
              </w:rPr>
            </w:pPr>
            <w:r>
              <w:rPr>
                <w:rFonts w:hint="eastAsia"/>
                <w:sz w:val="21"/>
                <w:szCs w:val="21"/>
              </w:rPr>
              <w:t>河岸带稳定性指标</w:t>
            </w:r>
          </w:p>
        </w:tc>
        <w:tc>
          <w:tcPr>
            <w:tcW w:w="1184" w:type="pct"/>
            <w:vMerge w:val="restart"/>
            <w:vAlign w:val="center"/>
          </w:tcPr>
          <w:p>
            <w:pPr>
              <w:spacing w:line="240" w:lineRule="auto"/>
              <w:ind w:firstLine="0" w:firstLineChars="0"/>
              <w:jc w:val="center"/>
              <w:rPr>
                <w:sz w:val="21"/>
                <w:szCs w:val="21"/>
              </w:rPr>
            </w:pPr>
            <w:r>
              <w:rPr>
                <w:rFonts w:hint="eastAsia"/>
                <w:sz w:val="21"/>
                <w:szCs w:val="21"/>
              </w:rPr>
              <w:t>水域岸线保护</w:t>
            </w:r>
          </w:p>
        </w:tc>
        <w:tc>
          <w:tcPr>
            <w:tcW w:w="999" w:type="pct"/>
            <w:vAlign w:val="center"/>
          </w:tcPr>
          <w:p>
            <w:pPr>
              <w:spacing w:line="240" w:lineRule="auto"/>
              <w:ind w:firstLine="0" w:firstLineChars="0"/>
              <w:jc w:val="center"/>
              <w:rPr>
                <w:sz w:val="21"/>
                <w:szCs w:val="21"/>
              </w:rPr>
            </w:pPr>
            <w:r>
              <w:rPr>
                <w:rFonts w:hint="eastAsia"/>
                <w:sz w:val="21"/>
                <w:szCs w:val="21"/>
              </w:rPr>
              <w:t>备选指标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vMerge w:val="continue"/>
            <w:vAlign w:val="center"/>
          </w:tcPr>
          <w:p>
            <w:pPr>
              <w:spacing w:line="240" w:lineRule="auto"/>
              <w:ind w:firstLine="0" w:firstLineChars="0"/>
              <w:jc w:val="center"/>
              <w:rPr>
                <w:sz w:val="21"/>
                <w:szCs w:val="21"/>
              </w:rPr>
            </w:pPr>
          </w:p>
        </w:tc>
        <w:tc>
          <w:tcPr>
            <w:tcW w:w="939" w:type="pct"/>
            <w:vMerge w:val="continue"/>
            <w:vAlign w:val="center"/>
          </w:tcPr>
          <w:p>
            <w:pPr>
              <w:spacing w:line="240" w:lineRule="auto"/>
              <w:ind w:firstLine="0" w:firstLineChars="0"/>
              <w:jc w:val="center"/>
              <w:rPr>
                <w:sz w:val="21"/>
                <w:szCs w:val="21"/>
              </w:rPr>
            </w:pPr>
          </w:p>
        </w:tc>
        <w:tc>
          <w:tcPr>
            <w:tcW w:w="1368" w:type="pct"/>
            <w:vAlign w:val="center"/>
          </w:tcPr>
          <w:p>
            <w:pPr>
              <w:spacing w:line="240" w:lineRule="auto"/>
              <w:ind w:firstLine="0" w:firstLineChars="0"/>
              <w:jc w:val="center"/>
              <w:rPr>
                <w:sz w:val="21"/>
                <w:szCs w:val="21"/>
              </w:rPr>
            </w:pPr>
            <w:r>
              <w:rPr>
                <w:rFonts w:hint="eastAsia"/>
                <w:sz w:val="21"/>
                <w:szCs w:val="21"/>
              </w:rPr>
              <w:t>河流纵向连通性指标</w:t>
            </w:r>
          </w:p>
        </w:tc>
        <w:tc>
          <w:tcPr>
            <w:tcW w:w="1184" w:type="pct"/>
            <w:vMerge w:val="continue"/>
            <w:vAlign w:val="center"/>
          </w:tcPr>
          <w:p>
            <w:pPr>
              <w:spacing w:line="240" w:lineRule="auto"/>
              <w:ind w:firstLine="0" w:firstLineChars="0"/>
              <w:jc w:val="center"/>
              <w:rPr>
                <w:sz w:val="21"/>
                <w:szCs w:val="21"/>
              </w:rPr>
            </w:pPr>
          </w:p>
        </w:tc>
        <w:tc>
          <w:tcPr>
            <w:tcW w:w="999" w:type="pct"/>
            <w:vAlign w:val="center"/>
          </w:tcPr>
          <w:p>
            <w:pPr>
              <w:spacing w:line="240" w:lineRule="auto"/>
              <w:ind w:firstLine="0" w:firstLineChars="0"/>
              <w:jc w:val="center"/>
              <w:rPr>
                <w:sz w:val="21"/>
                <w:szCs w:val="21"/>
              </w:rPr>
            </w:pPr>
            <w:r>
              <w:rPr>
                <w:rFonts w:hint="eastAsia"/>
                <w:sz w:val="21"/>
                <w:szCs w:val="21"/>
              </w:rPr>
              <w:t>基本指标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vMerge w:val="continue"/>
            <w:vAlign w:val="center"/>
          </w:tcPr>
          <w:p>
            <w:pPr>
              <w:spacing w:line="240" w:lineRule="auto"/>
              <w:ind w:firstLine="0" w:firstLineChars="0"/>
              <w:jc w:val="center"/>
              <w:rPr>
                <w:sz w:val="21"/>
                <w:szCs w:val="21"/>
              </w:rPr>
            </w:pPr>
          </w:p>
        </w:tc>
        <w:tc>
          <w:tcPr>
            <w:tcW w:w="939" w:type="pct"/>
            <w:vMerge w:val="restart"/>
            <w:vAlign w:val="center"/>
          </w:tcPr>
          <w:p>
            <w:pPr>
              <w:spacing w:line="240" w:lineRule="auto"/>
              <w:ind w:firstLine="0" w:firstLineChars="0"/>
              <w:jc w:val="center"/>
              <w:rPr>
                <w:sz w:val="21"/>
                <w:szCs w:val="21"/>
              </w:rPr>
            </w:pPr>
            <w:r>
              <w:rPr>
                <w:rFonts w:hint="eastAsia"/>
                <w:sz w:val="21"/>
                <w:szCs w:val="21"/>
              </w:rPr>
              <w:t>水质</w:t>
            </w:r>
          </w:p>
        </w:tc>
        <w:tc>
          <w:tcPr>
            <w:tcW w:w="1368" w:type="pct"/>
            <w:vAlign w:val="center"/>
          </w:tcPr>
          <w:p>
            <w:pPr>
              <w:spacing w:line="240" w:lineRule="auto"/>
              <w:ind w:firstLine="0" w:firstLineChars="0"/>
              <w:jc w:val="center"/>
              <w:rPr>
                <w:sz w:val="21"/>
                <w:szCs w:val="21"/>
              </w:rPr>
            </w:pPr>
            <w:r>
              <w:rPr>
                <w:rFonts w:hint="eastAsia"/>
                <w:sz w:val="21"/>
                <w:szCs w:val="21"/>
              </w:rPr>
              <w:t>水体整洁程度</w:t>
            </w:r>
          </w:p>
        </w:tc>
        <w:tc>
          <w:tcPr>
            <w:tcW w:w="1184" w:type="pct"/>
            <w:vMerge w:val="restart"/>
            <w:vAlign w:val="center"/>
          </w:tcPr>
          <w:p>
            <w:pPr>
              <w:spacing w:line="240" w:lineRule="auto"/>
              <w:ind w:firstLine="0" w:firstLineChars="0"/>
              <w:jc w:val="center"/>
              <w:rPr>
                <w:sz w:val="21"/>
                <w:szCs w:val="21"/>
              </w:rPr>
            </w:pPr>
            <w:r>
              <w:rPr>
                <w:rFonts w:hint="eastAsia"/>
                <w:sz w:val="21"/>
                <w:szCs w:val="21"/>
              </w:rPr>
              <w:t>水污染防治</w:t>
            </w:r>
          </w:p>
        </w:tc>
        <w:tc>
          <w:tcPr>
            <w:tcW w:w="999" w:type="pct"/>
            <w:vAlign w:val="center"/>
          </w:tcPr>
          <w:p>
            <w:pPr>
              <w:spacing w:line="240" w:lineRule="auto"/>
              <w:ind w:firstLine="0" w:firstLineChars="0"/>
              <w:jc w:val="center"/>
              <w:rPr>
                <w:sz w:val="21"/>
                <w:szCs w:val="21"/>
              </w:rPr>
            </w:pPr>
            <w:r>
              <w:rPr>
                <w:rFonts w:hint="eastAsia"/>
                <w:sz w:val="21"/>
                <w:szCs w:val="21"/>
              </w:rPr>
              <w:t>基本指标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vMerge w:val="continue"/>
            <w:vAlign w:val="center"/>
          </w:tcPr>
          <w:p>
            <w:pPr>
              <w:spacing w:line="240" w:lineRule="auto"/>
              <w:ind w:firstLine="0" w:firstLineChars="0"/>
              <w:jc w:val="center"/>
              <w:rPr>
                <w:sz w:val="21"/>
                <w:szCs w:val="21"/>
              </w:rPr>
            </w:pPr>
          </w:p>
        </w:tc>
        <w:tc>
          <w:tcPr>
            <w:tcW w:w="939" w:type="pct"/>
            <w:vMerge w:val="continue"/>
            <w:vAlign w:val="center"/>
          </w:tcPr>
          <w:p>
            <w:pPr>
              <w:spacing w:line="240" w:lineRule="auto"/>
              <w:ind w:firstLine="0" w:firstLineChars="0"/>
              <w:jc w:val="center"/>
              <w:rPr>
                <w:sz w:val="21"/>
                <w:szCs w:val="21"/>
              </w:rPr>
            </w:pPr>
          </w:p>
        </w:tc>
        <w:tc>
          <w:tcPr>
            <w:tcW w:w="1368" w:type="pct"/>
            <w:vAlign w:val="center"/>
          </w:tcPr>
          <w:p>
            <w:pPr>
              <w:spacing w:line="240" w:lineRule="auto"/>
              <w:ind w:firstLine="0" w:firstLineChars="0"/>
              <w:jc w:val="center"/>
              <w:rPr>
                <w:sz w:val="21"/>
                <w:szCs w:val="21"/>
              </w:rPr>
            </w:pPr>
            <w:r>
              <w:rPr>
                <w:rFonts w:hint="eastAsia"/>
                <w:sz w:val="21"/>
                <w:szCs w:val="21"/>
              </w:rPr>
              <w:t>水质优劣程度</w:t>
            </w:r>
          </w:p>
        </w:tc>
        <w:tc>
          <w:tcPr>
            <w:tcW w:w="1184" w:type="pct"/>
            <w:vMerge w:val="continue"/>
            <w:vAlign w:val="center"/>
          </w:tcPr>
          <w:p>
            <w:pPr>
              <w:spacing w:line="240" w:lineRule="auto"/>
              <w:ind w:firstLine="0" w:firstLineChars="0"/>
              <w:jc w:val="center"/>
              <w:rPr>
                <w:sz w:val="21"/>
                <w:szCs w:val="21"/>
              </w:rPr>
            </w:pPr>
          </w:p>
        </w:tc>
        <w:tc>
          <w:tcPr>
            <w:tcW w:w="999" w:type="pct"/>
            <w:vAlign w:val="center"/>
          </w:tcPr>
          <w:p>
            <w:pPr>
              <w:spacing w:line="240" w:lineRule="auto"/>
              <w:ind w:firstLine="0" w:firstLineChars="0"/>
              <w:jc w:val="center"/>
              <w:rPr>
                <w:sz w:val="21"/>
                <w:szCs w:val="21"/>
              </w:rPr>
            </w:pPr>
            <w:r>
              <w:rPr>
                <w:rFonts w:hint="eastAsia"/>
                <w:sz w:val="21"/>
                <w:szCs w:val="21"/>
              </w:rPr>
              <w:t>基本指标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vMerge w:val="continue"/>
            <w:vAlign w:val="center"/>
          </w:tcPr>
          <w:p>
            <w:pPr>
              <w:spacing w:line="240" w:lineRule="auto"/>
              <w:ind w:firstLine="0" w:firstLineChars="0"/>
              <w:jc w:val="center"/>
              <w:rPr>
                <w:sz w:val="21"/>
                <w:szCs w:val="21"/>
              </w:rPr>
            </w:pPr>
          </w:p>
        </w:tc>
        <w:tc>
          <w:tcPr>
            <w:tcW w:w="939" w:type="pct"/>
            <w:vMerge w:val="continue"/>
            <w:vAlign w:val="center"/>
          </w:tcPr>
          <w:p>
            <w:pPr>
              <w:spacing w:line="240" w:lineRule="auto"/>
              <w:ind w:firstLine="0" w:firstLineChars="0"/>
              <w:jc w:val="center"/>
              <w:rPr>
                <w:sz w:val="21"/>
                <w:szCs w:val="21"/>
              </w:rPr>
            </w:pPr>
          </w:p>
        </w:tc>
        <w:tc>
          <w:tcPr>
            <w:tcW w:w="1368" w:type="pct"/>
            <w:vAlign w:val="center"/>
          </w:tcPr>
          <w:p>
            <w:pPr>
              <w:spacing w:line="240" w:lineRule="auto"/>
              <w:ind w:firstLine="0" w:firstLineChars="0"/>
              <w:jc w:val="center"/>
              <w:rPr>
                <w:sz w:val="21"/>
                <w:szCs w:val="21"/>
              </w:rPr>
            </w:pPr>
            <w:r>
              <w:rPr>
                <w:rFonts w:hint="eastAsia"/>
                <w:sz w:val="21"/>
                <w:szCs w:val="21"/>
              </w:rPr>
              <w:t>水质变化趋势</w:t>
            </w:r>
          </w:p>
        </w:tc>
        <w:tc>
          <w:tcPr>
            <w:tcW w:w="1184" w:type="pct"/>
            <w:vMerge w:val="continue"/>
            <w:vAlign w:val="center"/>
          </w:tcPr>
          <w:p>
            <w:pPr>
              <w:spacing w:line="240" w:lineRule="auto"/>
              <w:ind w:firstLine="0" w:firstLineChars="0"/>
              <w:jc w:val="center"/>
              <w:rPr>
                <w:sz w:val="21"/>
                <w:szCs w:val="21"/>
              </w:rPr>
            </w:pPr>
          </w:p>
        </w:tc>
        <w:tc>
          <w:tcPr>
            <w:tcW w:w="999" w:type="pct"/>
            <w:vAlign w:val="center"/>
          </w:tcPr>
          <w:p>
            <w:pPr>
              <w:spacing w:line="240" w:lineRule="auto"/>
              <w:ind w:firstLine="0" w:firstLineChars="0"/>
              <w:jc w:val="center"/>
              <w:rPr>
                <w:sz w:val="21"/>
                <w:szCs w:val="21"/>
              </w:rPr>
            </w:pPr>
            <w:r>
              <w:rPr>
                <w:rFonts w:hint="eastAsia"/>
                <w:sz w:val="21"/>
                <w:szCs w:val="21"/>
              </w:rPr>
              <w:t>基本指标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vMerge w:val="continue"/>
            <w:vAlign w:val="center"/>
          </w:tcPr>
          <w:p>
            <w:pPr>
              <w:spacing w:line="240" w:lineRule="auto"/>
              <w:ind w:firstLine="0" w:firstLineChars="0"/>
              <w:jc w:val="center"/>
              <w:rPr>
                <w:sz w:val="21"/>
                <w:szCs w:val="21"/>
              </w:rPr>
            </w:pPr>
          </w:p>
        </w:tc>
        <w:tc>
          <w:tcPr>
            <w:tcW w:w="939" w:type="pct"/>
            <w:vMerge w:val="restart"/>
            <w:vAlign w:val="center"/>
          </w:tcPr>
          <w:p>
            <w:pPr>
              <w:spacing w:line="240" w:lineRule="auto"/>
              <w:ind w:firstLine="0" w:firstLineChars="0"/>
              <w:jc w:val="center"/>
              <w:rPr>
                <w:sz w:val="21"/>
                <w:szCs w:val="21"/>
              </w:rPr>
            </w:pPr>
            <w:r>
              <w:rPr>
                <w:rFonts w:hint="eastAsia"/>
                <w:sz w:val="21"/>
                <w:szCs w:val="21"/>
              </w:rPr>
              <w:t>生物</w:t>
            </w:r>
          </w:p>
        </w:tc>
        <w:tc>
          <w:tcPr>
            <w:tcW w:w="1368" w:type="pct"/>
            <w:vAlign w:val="center"/>
          </w:tcPr>
          <w:p>
            <w:pPr>
              <w:spacing w:line="240" w:lineRule="auto"/>
              <w:ind w:firstLine="0" w:firstLineChars="0"/>
              <w:jc w:val="center"/>
              <w:rPr>
                <w:sz w:val="21"/>
                <w:szCs w:val="21"/>
              </w:rPr>
            </w:pPr>
            <w:r>
              <w:rPr>
                <w:rFonts w:hint="eastAsia"/>
                <w:sz w:val="21"/>
                <w:szCs w:val="21"/>
              </w:rPr>
              <w:t>鱼类保有指数</w:t>
            </w:r>
          </w:p>
        </w:tc>
        <w:tc>
          <w:tcPr>
            <w:tcW w:w="1184" w:type="pct"/>
            <w:vMerge w:val="restart"/>
            <w:vAlign w:val="center"/>
          </w:tcPr>
          <w:p>
            <w:pPr>
              <w:spacing w:line="240" w:lineRule="auto"/>
              <w:ind w:firstLine="0" w:firstLineChars="0"/>
              <w:jc w:val="center"/>
              <w:rPr>
                <w:sz w:val="21"/>
                <w:szCs w:val="21"/>
              </w:rPr>
            </w:pPr>
            <w:r>
              <w:rPr>
                <w:rFonts w:hint="eastAsia"/>
                <w:sz w:val="21"/>
                <w:szCs w:val="21"/>
              </w:rPr>
              <w:t>水生态保护</w:t>
            </w:r>
          </w:p>
        </w:tc>
        <w:tc>
          <w:tcPr>
            <w:tcW w:w="999" w:type="pct"/>
            <w:vAlign w:val="center"/>
          </w:tcPr>
          <w:p>
            <w:pPr>
              <w:spacing w:line="240" w:lineRule="auto"/>
              <w:ind w:firstLine="0" w:firstLineChars="0"/>
              <w:jc w:val="center"/>
              <w:rPr>
                <w:sz w:val="21"/>
                <w:szCs w:val="21"/>
              </w:rPr>
            </w:pPr>
            <w:r>
              <w:rPr>
                <w:rFonts w:hint="eastAsia"/>
                <w:sz w:val="21"/>
                <w:szCs w:val="21"/>
              </w:rPr>
              <w:t>基本指标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vMerge w:val="continue"/>
            <w:vAlign w:val="center"/>
          </w:tcPr>
          <w:p>
            <w:pPr>
              <w:spacing w:line="240" w:lineRule="auto"/>
              <w:ind w:firstLine="0" w:firstLineChars="0"/>
              <w:jc w:val="center"/>
              <w:rPr>
                <w:sz w:val="21"/>
                <w:szCs w:val="21"/>
              </w:rPr>
            </w:pPr>
          </w:p>
        </w:tc>
        <w:tc>
          <w:tcPr>
            <w:tcW w:w="939" w:type="pct"/>
            <w:vMerge w:val="continue"/>
            <w:vAlign w:val="center"/>
          </w:tcPr>
          <w:p>
            <w:pPr>
              <w:spacing w:line="240" w:lineRule="auto"/>
              <w:ind w:firstLine="0" w:firstLineChars="0"/>
              <w:jc w:val="center"/>
              <w:rPr>
                <w:sz w:val="21"/>
                <w:szCs w:val="21"/>
              </w:rPr>
            </w:pPr>
          </w:p>
        </w:tc>
        <w:tc>
          <w:tcPr>
            <w:tcW w:w="1368" w:type="pct"/>
            <w:vAlign w:val="center"/>
          </w:tcPr>
          <w:p>
            <w:pPr>
              <w:spacing w:line="240" w:lineRule="auto"/>
              <w:ind w:firstLine="0" w:firstLineChars="0"/>
              <w:jc w:val="center"/>
              <w:rPr>
                <w:sz w:val="21"/>
                <w:szCs w:val="21"/>
              </w:rPr>
            </w:pPr>
            <w:r>
              <w:rPr>
                <w:rFonts w:hint="eastAsia"/>
                <w:sz w:val="21"/>
                <w:szCs w:val="21"/>
              </w:rPr>
              <w:t>外来水生动植物</w:t>
            </w:r>
          </w:p>
        </w:tc>
        <w:tc>
          <w:tcPr>
            <w:tcW w:w="1184" w:type="pct"/>
            <w:vMerge w:val="continue"/>
            <w:vAlign w:val="center"/>
          </w:tcPr>
          <w:p>
            <w:pPr>
              <w:spacing w:line="240" w:lineRule="auto"/>
              <w:ind w:firstLine="0" w:firstLineChars="0"/>
              <w:jc w:val="center"/>
              <w:rPr>
                <w:sz w:val="21"/>
                <w:szCs w:val="21"/>
              </w:rPr>
            </w:pPr>
          </w:p>
        </w:tc>
        <w:tc>
          <w:tcPr>
            <w:tcW w:w="999" w:type="pct"/>
            <w:vAlign w:val="center"/>
          </w:tcPr>
          <w:p>
            <w:pPr>
              <w:spacing w:line="240" w:lineRule="auto"/>
              <w:ind w:firstLine="0" w:firstLineChars="0"/>
              <w:jc w:val="center"/>
              <w:rPr>
                <w:sz w:val="21"/>
                <w:szCs w:val="21"/>
              </w:rPr>
            </w:pPr>
            <w:r>
              <w:rPr>
                <w:rFonts w:hint="eastAsia"/>
                <w:sz w:val="21"/>
                <w:szCs w:val="21"/>
              </w:rPr>
              <w:t>基本指标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vMerge w:val="continue"/>
            <w:vAlign w:val="center"/>
          </w:tcPr>
          <w:p>
            <w:pPr>
              <w:spacing w:line="240" w:lineRule="auto"/>
              <w:ind w:firstLine="0" w:firstLineChars="0"/>
              <w:jc w:val="center"/>
              <w:rPr>
                <w:sz w:val="21"/>
                <w:szCs w:val="21"/>
              </w:rPr>
            </w:pPr>
          </w:p>
        </w:tc>
        <w:tc>
          <w:tcPr>
            <w:tcW w:w="939" w:type="pct"/>
            <w:vMerge w:val="restart"/>
            <w:vAlign w:val="center"/>
          </w:tcPr>
          <w:p>
            <w:pPr>
              <w:spacing w:line="240" w:lineRule="auto"/>
              <w:ind w:firstLine="0" w:firstLineChars="0"/>
              <w:jc w:val="center"/>
              <w:rPr>
                <w:sz w:val="21"/>
                <w:szCs w:val="21"/>
              </w:rPr>
            </w:pPr>
            <w:r>
              <w:rPr>
                <w:rFonts w:hint="eastAsia"/>
                <w:sz w:val="21"/>
                <w:szCs w:val="21"/>
              </w:rPr>
              <w:t>河湖管理与社会服务功能</w:t>
            </w:r>
          </w:p>
        </w:tc>
        <w:tc>
          <w:tcPr>
            <w:tcW w:w="1368" w:type="pct"/>
            <w:vAlign w:val="center"/>
          </w:tcPr>
          <w:p>
            <w:pPr>
              <w:spacing w:line="240" w:lineRule="auto"/>
              <w:ind w:firstLine="0" w:firstLineChars="0"/>
              <w:jc w:val="center"/>
              <w:rPr>
                <w:sz w:val="21"/>
                <w:szCs w:val="21"/>
              </w:rPr>
            </w:pPr>
            <w:r>
              <w:rPr>
                <w:rFonts w:hint="eastAsia"/>
                <w:sz w:val="21"/>
                <w:szCs w:val="21"/>
              </w:rPr>
              <w:t>公众满意度</w:t>
            </w:r>
          </w:p>
        </w:tc>
        <w:tc>
          <w:tcPr>
            <w:tcW w:w="1184" w:type="pct"/>
            <w:vMerge w:val="restart"/>
            <w:vAlign w:val="center"/>
          </w:tcPr>
          <w:p>
            <w:pPr>
              <w:spacing w:line="240" w:lineRule="auto"/>
              <w:ind w:firstLine="0" w:firstLineChars="0"/>
              <w:jc w:val="center"/>
              <w:rPr>
                <w:sz w:val="21"/>
                <w:szCs w:val="21"/>
              </w:rPr>
            </w:pPr>
            <w:r>
              <w:rPr>
                <w:rFonts w:hint="eastAsia"/>
                <w:sz w:val="21"/>
                <w:szCs w:val="21"/>
              </w:rPr>
              <w:t>社会服务</w:t>
            </w:r>
          </w:p>
        </w:tc>
        <w:tc>
          <w:tcPr>
            <w:tcW w:w="999" w:type="pct"/>
            <w:vAlign w:val="center"/>
          </w:tcPr>
          <w:p>
            <w:pPr>
              <w:spacing w:line="240" w:lineRule="auto"/>
              <w:ind w:firstLine="0" w:firstLineChars="0"/>
              <w:jc w:val="center"/>
              <w:rPr>
                <w:sz w:val="21"/>
                <w:szCs w:val="21"/>
              </w:rPr>
            </w:pPr>
            <w:r>
              <w:rPr>
                <w:rFonts w:hint="eastAsia"/>
                <w:sz w:val="21"/>
                <w:szCs w:val="21"/>
              </w:rPr>
              <w:t>基本指标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vMerge w:val="continue"/>
            <w:vAlign w:val="center"/>
          </w:tcPr>
          <w:p>
            <w:pPr>
              <w:spacing w:line="240" w:lineRule="auto"/>
              <w:ind w:firstLine="0" w:firstLineChars="0"/>
              <w:jc w:val="center"/>
              <w:rPr>
                <w:sz w:val="21"/>
                <w:szCs w:val="21"/>
              </w:rPr>
            </w:pPr>
          </w:p>
        </w:tc>
        <w:tc>
          <w:tcPr>
            <w:tcW w:w="939" w:type="pct"/>
            <w:vMerge w:val="continue"/>
            <w:vAlign w:val="center"/>
          </w:tcPr>
          <w:p>
            <w:pPr>
              <w:spacing w:line="240" w:lineRule="auto"/>
              <w:ind w:firstLine="0" w:firstLineChars="0"/>
              <w:jc w:val="center"/>
              <w:rPr>
                <w:sz w:val="21"/>
                <w:szCs w:val="21"/>
              </w:rPr>
            </w:pPr>
          </w:p>
        </w:tc>
        <w:tc>
          <w:tcPr>
            <w:tcW w:w="1368" w:type="pct"/>
            <w:vAlign w:val="center"/>
          </w:tcPr>
          <w:p>
            <w:pPr>
              <w:spacing w:line="240" w:lineRule="auto"/>
              <w:ind w:firstLine="0" w:firstLineChars="0"/>
              <w:jc w:val="center"/>
              <w:rPr>
                <w:sz w:val="21"/>
                <w:szCs w:val="21"/>
              </w:rPr>
            </w:pPr>
            <w:r>
              <w:rPr>
                <w:rFonts w:hint="eastAsia"/>
                <w:sz w:val="21"/>
                <w:szCs w:val="21"/>
              </w:rPr>
              <w:t>防洪指标</w:t>
            </w:r>
          </w:p>
        </w:tc>
        <w:tc>
          <w:tcPr>
            <w:tcW w:w="1184" w:type="pct"/>
            <w:vMerge w:val="continue"/>
            <w:vAlign w:val="center"/>
          </w:tcPr>
          <w:p>
            <w:pPr>
              <w:spacing w:line="240" w:lineRule="auto"/>
              <w:ind w:firstLine="0" w:firstLineChars="0"/>
              <w:jc w:val="center"/>
              <w:rPr>
                <w:sz w:val="21"/>
                <w:szCs w:val="21"/>
              </w:rPr>
            </w:pPr>
          </w:p>
        </w:tc>
        <w:tc>
          <w:tcPr>
            <w:tcW w:w="999" w:type="pct"/>
            <w:vAlign w:val="center"/>
          </w:tcPr>
          <w:p>
            <w:pPr>
              <w:spacing w:line="240" w:lineRule="auto"/>
              <w:ind w:firstLine="0" w:firstLineChars="0"/>
              <w:jc w:val="center"/>
              <w:rPr>
                <w:sz w:val="21"/>
                <w:szCs w:val="21"/>
              </w:rPr>
            </w:pPr>
            <w:r>
              <w:rPr>
                <w:rFonts w:hint="eastAsia"/>
                <w:sz w:val="21"/>
                <w:szCs w:val="21"/>
              </w:rPr>
              <w:t>基本指标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vMerge w:val="continue"/>
            <w:vAlign w:val="center"/>
          </w:tcPr>
          <w:p>
            <w:pPr>
              <w:spacing w:line="240" w:lineRule="auto"/>
              <w:ind w:firstLine="0" w:firstLineChars="0"/>
              <w:jc w:val="center"/>
              <w:rPr>
                <w:sz w:val="21"/>
                <w:szCs w:val="21"/>
              </w:rPr>
            </w:pPr>
          </w:p>
        </w:tc>
        <w:tc>
          <w:tcPr>
            <w:tcW w:w="939" w:type="pct"/>
            <w:vMerge w:val="continue"/>
            <w:vAlign w:val="center"/>
          </w:tcPr>
          <w:p>
            <w:pPr>
              <w:spacing w:line="240" w:lineRule="auto"/>
              <w:ind w:firstLine="0" w:firstLineChars="0"/>
              <w:jc w:val="center"/>
              <w:rPr>
                <w:sz w:val="21"/>
                <w:szCs w:val="21"/>
              </w:rPr>
            </w:pPr>
          </w:p>
        </w:tc>
        <w:tc>
          <w:tcPr>
            <w:tcW w:w="1368" w:type="pct"/>
            <w:vAlign w:val="center"/>
          </w:tcPr>
          <w:p>
            <w:pPr>
              <w:spacing w:line="240" w:lineRule="auto"/>
              <w:ind w:firstLine="0" w:firstLineChars="0"/>
              <w:jc w:val="center"/>
              <w:rPr>
                <w:sz w:val="21"/>
                <w:szCs w:val="21"/>
              </w:rPr>
            </w:pPr>
            <w:r>
              <w:rPr>
                <w:rFonts w:hint="eastAsia"/>
                <w:sz w:val="21"/>
                <w:szCs w:val="21"/>
              </w:rPr>
              <w:t>供水指标</w:t>
            </w:r>
          </w:p>
        </w:tc>
        <w:tc>
          <w:tcPr>
            <w:tcW w:w="1184" w:type="pct"/>
            <w:vMerge w:val="continue"/>
            <w:vAlign w:val="center"/>
          </w:tcPr>
          <w:p>
            <w:pPr>
              <w:spacing w:line="240" w:lineRule="auto"/>
              <w:ind w:firstLine="0" w:firstLineChars="0"/>
              <w:jc w:val="center"/>
              <w:rPr>
                <w:sz w:val="21"/>
                <w:szCs w:val="21"/>
              </w:rPr>
            </w:pPr>
          </w:p>
        </w:tc>
        <w:tc>
          <w:tcPr>
            <w:tcW w:w="999" w:type="pct"/>
            <w:vAlign w:val="center"/>
          </w:tcPr>
          <w:p>
            <w:pPr>
              <w:spacing w:line="240" w:lineRule="auto"/>
              <w:ind w:firstLine="0" w:firstLineChars="0"/>
              <w:jc w:val="center"/>
              <w:rPr>
                <w:sz w:val="21"/>
                <w:szCs w:val="21"/>
              </w:rPr>
            </w:pPr>
            <w:r>
              <w:rPr>
                <w:rFonts w:hint="eastAsia"/>
                <w:sz w:val="21"/>
                <w:szCs w:val="21"/>
              </w:rPr>
              <w:t>基本指标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vMerge w:val="continue"/>
            <w:vAlign w:val="center"/>
          </w:tcPr>
          <w:p>
            <w:pPr>
              <w:spacing w:line="240" w:lineRule="auto"/>
              <w:ind w:firstLine="0" w:firstLineChars="0"/>
              <w:jc w:val="center"/>
              <w:rPr>
                <w:sz w:val="21"/>
                <w:szCs w:val="21"/>
              </w:rPr>
            </w:pPr>
          </w:p>
        </w:tc>
        <w:tc>
          <w:tcPr>
            <w:tcW w:w="939" w:type="pct"/>
            <w:vMerge w:val="continue"/>
            <w:vAlign w:val="center"/>
          </w:tcPr>
          <w:p>
            <w:pPr>
              <w:spacing w:line="240" w:lineRule="auto"/>
              <w:ind w:firstLine="0" w:firstLineChars="0"/>
              <w:jc w:val="center"/>
              <w:rPr>
                <w:sz w:val="21"/>
                <w:szCs w:val="21"/>
              </w:rPr>
            </w:pPr>
          </w:p>
        </w:tc>
        <w:tc>
          <w:tcPr>
            <w:tcW w:w="1368" w:type="pct"/>
            <w:vAlign w:val="center"/>
          </w:tcPr>
          <w:p>
            <w:pPr>
              <w:spacing w:line="240" w:lineRule="auto"/>
              <w:ind w:firstLine="0" w:firstLineChars="0"/>
              <w:jc w:val="center"/>
              <w:rPr>
                <w:sz w:val="21"/>
                <w:szCs w:val="21"/>
              </w:rPr>
            </w:pPr>
            <w:r>
              <w:rPr>
                <w:rFonts w:hint="eastAsia"/>
                <w:sz w:val="21"/>
                <w:szCs w:val="21"/>
              </w:rPr>
              <w:t>开发利用现状与规划的符合性</w:t>
            </w:r>
          </w:p>
        </w:tc>
        <w:tc>
          <w:tcPr>
            <w:tcW w:w="1184" w:type="pct"/>
            <w:vAlign w:val="center"/>
          </w:tcPr>
          <w:p>
            <w:pPr>
              <w:spacing w:line="240" w:lineRule="auto"/>
              <w:ind w:firstLine="0" w:firstLineChars="0"/>
              <w:jc w:val="center"/>
              <w:rPr>
                <w:sz w:val="21"/>
                <w:szCs w:val="21"/>
              </w:rPr>
            </w:pPr>
            <w:r>
              <w:rPr>
                <w:rFonts w:hint="eastAsia"/>
                <w:sz w:val="21"/>
                <w:szCs w:val="21"/>
              </w:rPr>
              <w:t>河湖管理</w:t>
            </w:r>
          </w:p>
        </w:tc>
        <w:tc>
          <w:tcPr>
            <w:tcW w:w="999" w:type="pct"/>
            <w:vAlign w:val="center"/>
          </w:tcPr>
          <w:p>
            <w:pPr>
              <w:spacing w:line="240" w:lineRule="auto"/>
              <w:ind w:firstLine="0" w:firstLineChars="0"/>
              <w:jc w:val="center"/>
              <w:rPr>
                <w:sz w:val="21"/>
                <w:szCs w:val="21"/>
              </w:rPr>
            </w:pPr>
            <w:r>
              <w:rPr>
                <w:rFonts w:hint="eastAsia"/>
                <w:sz w:val="21"/>
                <w:szCs w:val="21"/>
              </w:rPr>
              <w:t>基本指标</w:t>
            </w:r>
          </w:p>
        </w:tc>
      </w:tr>
    </w:tbl>
    <w:p>
      <w:pPr>
        <w:ind w:firstLine="482"/>
        <w:jc w:val="center"/>
        <w:rPr>
          <w:b/>
        </w:rPr>
      </w:pPr>
    </w:p>
    <w:p>
      <w:pPr>
        <w:pStyle w:val="4"/>
        <w:ind w:left="240"/>
      </w:pPr>
      <w:bookmarkStart w:id="85" w:name="_Toc86049172"/>
      <w:bookmarkStart w:id="86" w:name="_Toc80719398"/>
      <w:r>
        <w:rPr>
          <w:rFonts w:hint="eastAsia"/>
        </w:rPr>
        <w:t>评价方法及评价标准</w:t>
      </w:r>
      <w:bookmarkEnd w:id="85"/>
      <w:bookmarkEnd w:id="86"/>
    </w:p>
    <w:p>
      <w:pPr>
        <w:ind w:firstLine="482"/>
        <w:rPr>
          <w:b/>
        </w:rPr>
      </w:pPr>
      <w:r>
        <w:rPr>
          <w:rFonts w:hint="eastAsia"/>
          <w:b/>
        </w:rPr>
        <w:t>1、水文与水资源</w:t>
      </w:r>
    </w:p>
    <w:p>
      <w:pPr>
        <w:ind w:firstLine="480"/>
      </w:pPr>
      <w:r>
        <w:rPr>
          <w:rFonts w:hint="eastAsia"/>
        </w:rPr>
        <w:t>（1）水资源开发利用率</w:t>
      </w:r>
    </w:p>
    <w:p>
      <w:pPr>
        <w:ind w:firstLine="480"/>
      </w:pPr>
      <w:r>
        <w:rPr>
          <w:rFonts w:hint="eastAsia"/>
        </w:rPr>
        <w:t>评估河湖河道外用水量及跨流域调水量占评价河湖下断面上游地表水资源量的百分比，按公式计算。</w:t>
      </w:r>
    </w:p>
    <w:p>
      <w:pPr>
        <w:ind w:firstLine="0" w:firstLineChars="0"/>
        <w:jc w:val="center"/>
        <w:rPr>
          <w:i/>
        </w:rPr>
      </w:pPr>
      <w:r>
        <w:rPr>
          <w:rFonts w:hint="eastAsia"/>
          <w:i/>
        </w:rPr>
        <w:t>W</w:t>
      </w:r>
      <w:r>
        <w:rPr>
          <w:i/>
        </w:rPr>
        <w:t>RU=WU/WR</w:t>
      </w:r>
    </w:p>
    <w:p>
      <w:pPr>
        <w:ind w:firstLine="480"/>
      </w:pPr>
      <w:r>
        <w:rPr>
          <w:rFonts w:hint="eastAsia"/>
        </w:rPr>
        <w:t>式中:</w:t>
      </w:r>
    </w:p>
    <w:p>
      <w:pPr>
        <w:ind w:firstLine="480"/>
      </w:pPr>
      <w:r>
        <w:rPr>
          <w:rFonts w:hint="eastAsia"/>
        </w:rPr>
        <w:t>WRU—地表水资源开发利用率；</w:t>
      </w:r>
    </w:p>
    <w:p>
      <w:pPr>
        <w:ind w:firstLine="480"/>
      </w:pPr>
      <w:r>
        <w:rPr>
          <w:rFonts w:hint="eastAsia"/>
        </w:rPr>
        <w:t>WU—河湖流域地表水取水量；</w:t>
      </w:r>
    </w:p>
    <w:p>
      <w:pPr>
        <w:ind w:firstLine="480"/>
      </w:pPr>
      <w:r>
        <w:rPr>
          <w:rFonts w:hint="eastAsia"/>
        </w:rPr>
        <w:t>WR—河湖流域地表水资源总量。</w:t>
      </w:r>
    </w:p>
    <w:p>
      <w:pPr>
        <w:ind w:firstLine="480"/>
      </w:pPr>
      <w:r>
        <w:rPr>
          <w:rFonts w:hint="eastAsia"/>
        </w:rPr>
        <w:t>水资源开发利用率赋分标准见</w:t>
      </w:r>
      <w:r>
        <w:fldChar w:fldCharType="begin"/>
      </w:r>
      <w:r>
        <w:instrText xml:space="preserve"> </w:instrText>
      </w:r>
      <w:r>
        <w:rPr>
          <w:rFonts w:hint="eastAsia"/>
        </w:rPr>
        <w:instrText xml:space="preserve">REF _Ref80716677 \h</w:instrText>
      </w:r>
      <w:r>
        <w:instrText xml:space="preserve"> </w:instrText>
      </w:r>
      <w:r>
        <w:fldChar w:fldCharType="separate"/>
      </w:r>
      <w:r>
        <w:rPr>
          <w:rFonts w:hint="eastAsia"/>
        </w:rPr>
        <w:t>表</w:t>
      </w:r>
      <w:r>
        <w:t>3.1</w:t>
      </w:r>
      <w:r>
        <w:noBreakHyphen/>
      </w:r>
      <w:r>
        <w:t>2</w:t>
      </w:r>
      <w:r>
        <w:fldChar w:fldCharType="end"/>
      </w:r>
      <w:r>
        <w:rPr>
          <w:rFonts w:hint="eastAsia"/>
        </w:rPr>
        <w:t>。</w:t>
      </w:r>
    </w:p>
    <w:p>
      <w:pPr>
        <w:ind w:firstLine="480"/>
      </w:pPr>
    </w:p>
    <w:p>
      <w:pPr>
        <w:pStyle w:val="58"/>
        <w:rPr>
          <w:color w:val="auto"/>
        </w:rPr>
      </w:pPr>
      <w:bookmarkStart w:id="87" w:name="_Ref80716677"/>
      <w:r>
        <w:rPr>
          <w:rFonts w:hint="eastAsia"/>
          <w:color w:val="auto"/>
        </w:rPr>
        <w:t>表</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3.1</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2</w:t>
      </w:r>
      <w:r>
        <w:rPr>
          <w:color w:val="auto"/>
        </w:rPr>
        <w:fldChar w:fldCharType="end"/>
      </w:r>
      <w:bookmarkEnd w:id="87"/>
      <w:r>
        <w:rPr>
          <w:rFonts w:hint="eastAsia"/>
          <w:color w:val="auto"/>
        </w:rPr>
        <w:t>水资源开发利用率赋分标准表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4"/>
        <w:gridCol w:w="956"/>
        <w:gridCol w:w="1364"/>
        <w:gridCol w:w="1364"/>
        <w:gridCol w:w="1364"/>
        <w:gridCol w:w="11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64" w:type="pct"/>
            <w:vAlign w:val="center"/>
          </w:tcPr>
          <w:p>
            <w:pPr>
              <w:spacing w:line="240" w:lineRule="auto"/>
              <w:ind w:firstLine="0" w:firstLineChars="0"/>
              <w:jc w:val="center"/>
              <w:rPr>
                <w:sz w:val="21"/>
                <w:szCs w:val="21"/>
              </w:rPr>
            </w:pPr>
            <w:r>
              <w:rPr>
                <w:rFonts w:hint="eastAsia"/>
                <w:sz w:val="21"/>
                <w:szCs w:val="21"/>
              </w:rPr>
              <w:t>水资源开发利用率</w:t>
            </w:r>
          </w:p>
        </w:tc>
        <w:tc>
          <w:tcPr>
            <w:tcW w:w="561" w:type="pct"/>
            <w:vAlign w:val="center"/>
          </w:tcPr>
          <w:p>
            <w:pPr>
              <w:spacing w:line="240" w:lineRule="auto"/>
              <w:ind w:firstLine="0" w:firstLineChars="0"/>
              <w:jc w:val="center"/>
              <w:rPr>
                <w:sz w:val="21"/>
                <w:szCs w:val="21"/>
              </w:rPr>
            </w:pPr>
            <w:r>
              <w:rPr>
                <w:rFonts w:hint="eastAsia"/>
                <w:sz w:val="21"/>
                <w:szCs w:val="21"/>
              </w:rPr>
              <w:t>≤2</w:t>
            </w:r>
            <w:r>
              <w:rPr>
                <w:sz w:val="21"/>
                <w:szCs w:val="21"/>
              </w:rPr>
              <w:t>0%</w:t>
            </w:r>
          </w:p>
        </w:tc>
        <w:tc>
          <w:tcPr>
            <w:tcW w:w="800" w:type="pct"/>
            <w:vAlign w:val="center"/>
          </w:tcPr>
          <w:p>
            <w:pPr>
              <w:spacing w:line="240" w:lineRule="auto"/>
              <w:ind w:firstLine="0" w:firstLineChars="0"/>
              <w:jc w:val="center"/>
              <w:rPr>
                <w:sz w:val="21"/>
                <w:szCs w:val="21"/>
              </w:rPr>
            </w:pPr>
            <w:r>
              <w:rPr>
                <w:rFonts w:hint="eastAsia"/>
                <w:sz w:val="21"/>
                <w:szCs w:val="21"/>
              </w:rPr>
              <w:t>2</w:t>
            </w:r>
            <w:r>
              <w:rPr>
                <w:sz w:val="21"/>
                <w:szCs w:val="21"/>
              </w:rPr>
              <w:t>0%~30%</w:t>
            </w:r>
          </w:p>
        </w:tc>
        <w:tc>
          <w:tcPr>
            <w:tcW w:w="800" w:type="pct"/>
            <w:vAlign w:val="center"/>
          </w:tcPr>
          <w:p>
            <w:pPr>
              <w:spacing w:line="240" w:lineRule="auto"/>
              <w:ind w:firstLine="0" w:firstLineChars="0"/>
              <w:jc w:val="center"/>
              <w:rPr>
                <w:sz w:val="21"/>
                <w:szCs w:val="21"/>
              </w:rPr>
            </w:pPr>
            <w:r>
              <w:rPr>
                <w:rFonts w:hint="eastAsia"/>
                <w:sz w:val="21"/>
                <w:szCs w:val="21"/>
              </w:rPr>
              <w:t>3</w:t>
            </w:r>
            <w:r>
              <w:rPr>
                <w:sz w:val="21"/>
                <w:szCs w:val="21"/>
              </w:rPr>
              <w:t>0%~40%</w:t>
            </w:r>
          </w:p>
        </w:tc>
        <w:tc>
          <w:tcPr>
            <w:tcW w:w="800" w:type="pct"/>
            <w:vAlign w:val="center"/>
          </w:tcPr>
          <w:p>
            <w:pPr>
              <w:spacing w:line="240" w:lineRule="auto"/>
              <w:ind w:firstLine="0" w:firstLineChars="0"/>
              <w:jc w:val="center"/>
              <w:rPr>
                <w:sz w:val="21"/>
                <w:szCs w:val="21"/>
              </w:rPr>
            </w:pPr>
            <w:r>
              <w:rPr>
                <w:sz w:val="21"/>
                <w:szCs w:val="21"/>
              </w:rPr>
              <w:t>40%~60%</w:t>
            </w:r>
          </w:p>
        </w:tc>
        <w:tc>
          <w:tcPr>
            <w:tcW w:w="676" w:type="pct"/>
            <w:vAlign w:val="center"/>
          </w:tcPr>
          <w:p>
            <w:pPr>
              <w:spacing w:line="240" w:lineRule="auto"/>
              <w:ind w:firstLine="0" w:firstLineChars="0"/>
              <w:jc w:val="center"/>
              <w:rPr>
                <w:sz w:val="21"/>
                <w:szCs w:val="21"/>
              </w:rPr>
            </w:pPr>
            <w:r>
              <w:rPr>
                <w:rFonts w:hint="eastAsia"/>
                <w:sz w:val="21"/>
                <w:szCs w:val="21"/>
              </w:rPr>
              <w:t>≥</w:t>
            </w:r>
            <w:r>
              <w:rPr>
                <w:sz w:val="21"/>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4" w:type="pct"/>
            <w:vAlign w:val="center"/>
          </w:tcPr>
          <w:p>
            <w:pPr>
              <w:spacing w:line="240" w:lineRule="auto"/>
              <w:ind w:firstLine="0" w:firstLineChars="0"/>
              <w:jc w:val="center"/>
              <w:rPr>
                <w:sz w:val="21"/>
                <w:szCs w:val="21"/>
              </w:rPr>
            </w:pPr>
            <w:r>
              <w:rPr>
                <w:rFonts w:hint="eastAsia"/>
                <w:sz w:val="21"/>
                <w:szCs w:val="21"/>
              </w:rPr>
              <w:t>赋分</w:t>
            </w:r>
          </w:p>
        </w:tc>
        <w:tc>
          <w:tcPr>
            <w:tcW w:w="561" w:type="pct"/>
            <w:vAlign w:val="center"/>
          </w:tcPr>
          <w:p>
            <w:pPr>
              <w:spacing w:line="240" w:lineRule="auto"/>
              <w:ind w:firstLine="0" w:firstLineChars="0"/>
              <w:jc w:val="center"/>
              <w:rPr>
                <w:sz w:val="21"/>
                <w:szCs w:val="21"/>
              </w:rPr>
            </w:pPr>
            <w:r>
              <w:rPr>
                <w:rFonts w:hint="eastAsia"/>
                <w:sz w:val="21"/>
                <w:szCs w:val="21"/>
              </w:rPr>
              <w:t>1</w:t>
            </w:r>
            <w:r>
              <w:rPr>
                <w:sz w:val="21"/>
                <w:szCs w:val="21"/>
              </w:rPr>
              <w:t>00</w:t>
            </w:r>
          </w:p>
        </w:tc>
        <w:tc>
          <w:tcPr>
            <w:tcW w:w="800" w:type="pct"/>
            <w:vAlign w:val="center"/>
          </w:tcPr>
          <w:p>
            <w:pPr>
              <w:spacing w:line="240" w:lineRule="auto"/>
              <w:ind w:firstLine="0" w:firstLineChars="0"/>
              <w:jc w:val="center"/>
              <w:rPr>
                <w:sz w:val="21"/>
                <w:szCs w:val="21"/>
              </w:rPr>
            </w:pPr>
            <w:r>
              <w:rPr>
                <w:rFonts w:hint="eastAsia"/>
                <w:sz w:val="21"/>
                <w:szCs w:val="21"/>
              </w:rPr>
              <w:t>8</w:t>
            </w:r>
            <w:r>
              <w:rPr>
                <w:sz w:val="21"/>
                <w:szCs w:val="21"/>
              </w:rPr>
              <w:t>0</w:t>
            </w:r>
          </w:p>
        </w:tc>
        <w:tc>
          <w:tcPr>
            <w:tcW w:w="800" w:type="pct"/>
            <w:vAlign w:val="center"/>
          </w:tcPr>
          <w:p>
            <w:pPr>
              <w:spacing w:line="240" w:lineRule="auto"/>
              <w:ind w:firstLine="0" w:firstLineChars="0"/>
              <w:jc w:val="center"/>
              <w:rPr>
                <w:sz w:val="21"/>
                <w:szCs w:val="21"/>
              </w:rPr>
            </w:pPr>
            <w:r>
              <w:rPr>
                <w:rFonts w:hint="eastAsia"/>
                <w:sz w:val="21"/>
                <w:szCs w:val="21"/>
              </w:rPr>
              <w:t>5</w:t>
            </w:r>
            <w:r>
              <w:rPr>
                <w:sz w:val="21"/>
                <w:szCs w:val="21"/>
              </w:rPr>
              <w:t>0</w:t>
            </w:r>
          </w:p>
        </w:tc>
        <w:tc>
          <w:tcPr>
            <w:tcW w:w="800" w:type="pct"/>
            <w:vAlign w:val="center"/>
          </w:tcPr>
          <w:p>
            <w:pPr>
              <w:spacing w:line="240" w:lineRule="auto"/>
              <w:ind w:firstLine="0" w:firstLineChars="0"/>
              <w:jc w:val="center"/>
              <w:rPr>
                <w:sz w:val="21"/>
                <w:szCs w:val="21"/>
              </w:rPr>
            </w:pPr>
            <w:r>
              <w:rPr>
                <w:rFonts w:hint="eastAsia"/>
                <w:sz w:val="21"/>
                <w:szCs w:val="21"/>
              </w:rPr>
              <w:t>2</w:t>
            </w:r>
            <w:r>
              <w:rPr>
                <w:sz w:val="21"/>
                <w:szCs w:val="21"/>
              </w:rPr>
              <w:t>0</w:t>
            </w:r>
          </w:p>
        </w:tc>
        <w:tc>
          <w:tcPr>
            <w:tcW w:w="676" w:type="pct"/>
            <w:vAlign w:val="center"/>
          </w:tcPr>
          <w:p>
            <w:pPr>
              <w:spacing w:line="240" w:lineRule="auto"/>
              <w:ind w:firstLine="0" w:firstLineChars="0"/>
              <w:jc w:val="center"/>
              <w:rPr>
                <w:sz w:val="21"/>
                <w:szCs w:val="21"/>
              </w:rPr>
            </w:pPr>
            <w:r>
              <w:rPr>
                <w:rFonts w:hint="eastAsia"/>
                <w:sz w:val="21"/>
                <w:szCs w:val="21"/>
              </w:rPr>
              <w:t>0</w:t>
            </w:r>
          </w:p>
        </w:tc>
      </w:tr>
    </w:tbl>
    <w:p>
      <w:pPr>
        <w:ind w:firstLine="480"/>
      </w:pPr>
    </w:p>
    <w:p>
      <w:pPr>
        <w:ind w:firstLine="480"/>
      </w:pPr>
      <w:r>
        <w:rPr>
          <w:rFonts w:hint="eastAsia"/>
        </w:rPr>
        <w:t>（2）生态用水</w:t>
      </w:r>
    </w:p>
    <w:p>
      <w:pPr>
        <w:ind w:firstLine="480"/>
      </w:pPr>
      <w:r>
        <w:rPr>
          <w:rFonts w:hint="eastAsia"/>
        </w:rPr>
        <w:t>河流生态用水满足程度旨在评估河流流量过程生态适宜程度，分别计算4~9月及10~3月最小日均流量占多年平均流量的百分比，根据</w:t>
      </w:r>
      <w:r>
        <w:fldChar w:fldCharType="begin"/>
      </w:r>
      <w:r>
        <w:instrText xml:space="preserve"> </w:instrText>
      </w:r>
      <w:r>
        <w:rPr>
          <w:rFonts w:hint="eastAsia"/>
        </w:rPr>
        <w:instrText xml:space="preserve">REF _Ref80716698 \h</w:instrText>
      </w:r>
      <w:r>
        <w:instrText xml:space="preserve"> </w:instrText>
      </w:r>
      <w:r>
        <w:fldChar w:fldCharType="separate"/>
      </w:r>
      <w:r>
        <w:rPr>
          <w:rFonts w:hint="eastAsia"/>
        </w:rPr>
        <w:t>表</w:t>
      </w:r>
      <w:r>
        <w:t>3.1</w:t>
      </w:r>
      <w:r>
        <w:noBreakHyphen/>
      </w:r>
      <w:r>
        <w:t>3</w:t>
      </w:r>
      <w:r>
        <w:fldChar w:fldCharType="end"/>
      </w:r>
      <w:r>
        <w:rPr>
          <w:rFonts w:hint="eastAsia"/>
        </w:rPr>
        <w:t>分别计算赋分值，取二者的最低赋分为河流生态用水满足程度赋分。评估断面应选择国家有明确要求、具有重要生态保护价值、重要敏感物种的水域或行政区界断面。</w:t>
      </w:r>
    </w:p>
    <w:p>
      <w:pPr>
        <w:pStyle w:val="58"/>
        <w:rPr>
          <w:color w:val="auto"/>
        </w:rPr>
      </w:pPr>
      <w:bookmarkStart w:id="88" w:name="_Ref80716698"/>
      <w:r>
        <w:rPr>
          <w:rFonts w:hint="eastAsia"/>
          <w:color w:val="auto"/>
        </w:rPr>
        <w:t>表</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3.1</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3</w:t>
      </w:r>
      <w:r>
        <w:rPr>
          <w:color w:val="auto"/>
        </w:rPr>
        <w:fldChar w:fldCharType="end"/>
      </w:r>
      <w:bookmarkEnd w:id="88"/>
      <w:r>
        <w:rPr>
          <w:rFonts w:hint="eastAsia"/>
          <w:color w:val="auto"/>
        </w:rPr>
        <w:t>河流生态用水满足程度评估赋分标准表</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7"/>
        <w:gridCol w:w="1309"/>
        <w:gridCol w:w="1524"/>
        <w:gridCol w:w="1130"/>
        <w:gridCol w:w="1304"/>
        <w:gridCol w:w="859"/>
        <w:gridCol w:w="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pct"/>
            <w:vAlign w:val="center"/>
          </w:tcPr>
          <w:p>
            <w:pPr>
              <w:spacing w:line="240" w:lineRule="auto"/>
              <w:ind w:firstLine="0" w:firstLineChars="0"/>
              <w:jc w:val="center"/>
              <w:rPr>
                <w:sz w:val="21"/>
                <w:szCs w:val="21"/>
              </w:rPr>
            </w:pPr>
            <w:r>
              <w:rPr>
                <w:rFonts w:hint="eastAsia"/>
                <w:sz w:val="21"/>
                <w:szCs w:val="21"/>
              </w:rPr>
              <w:t>1</w:t>
            </w:r>
            <w:r>
              <w:rPr>
                <w:sz w:val="21"/>
                <w:szCs w:val="21"/>
              </w:rPr>
              <w:t>0</w:t>
            </w:r>
            <w:r>
              <w:rPr>
                <w:rFonts w:hint="eastAsia"/>
                <w:sz w:val="21"/>
                <w:szCs w:val="21"/>
              </w:rPr>
              <w:t>~</w:t>
            </w:r>
            <w:r>
              <w:rPr>
                <w:sz w:val="21"/>
                <w:szCs w:val="21"/>
              </w:rPr>
              <w:t>3</w:t>
            </w:r>
            <w:r>
              <w:rPr>
                <w:rFonts w:hint="eastAsia"/>
                <w:sz w:val="21"/>
                <w:szCs w:val="21"/>
              </w:rPr>
              <w:t>月最小日均流量占比</w:t>
            </w:r>
          </w:p>
        </w:tc>
        <w:tc>
          <w:tcPr>
            <w:tcW w:w="768" w:type="pct"/>
            <w:vAlign w:val="center"/>
          </w:tcPr>
          <w:p>
            <w:pPr>
              <w:spacing w:line="240" w:lineRule="auto"/>
              <w:ind w:firstLine="0" w:firstLineChars="0"/>
              <w:jc w:val="center"/>
              <w:rPr>
                <w:sz w:val="21"/>
                <w:szCs w:val="21"/>
              </w:rPr>
            </w:pPr>
            <w:r>
              <w:rPr>
                <w:rFonts w:hint="eastAsia"/>
                <w:sz w:val="21"/>
                <w:szCs w:val="21"/>
              </w:rPr>
              <w:t>≥2</w:t>
            </w:r>
            <w:r>
              <w:rPr>
                <w:sz w:val="21"/>
                <w:szCs w:val="21"/>
              </w:rPr>
              <w:t>0</w:t>
            </w:r>
            <w:r>
              <w:rPr>
                <w:rFonts w:hint="eastAsia"/>
                <w:sz w:val="21"/>
                <w:szCs w:val="21"/>
              </w:rPr>
              <w:t>%</w:t>
            </w:r>
          </w:p>
        </w:tc>
        <w:tc>
          <w:tcPr>
            <w:tcW w:w="894" w:type="pct"/>
            <w:vAlign w:val="center"/>
          </w:tcPr>
          <w:p>
            <w:pPr>
              <w:spacing w:line="240" w:lineRule="auto"/>
              <w:ind w:firstLine="0" w:firstLineChars="0"/>
              <w:jc w:val="center"/>
              <w:rPr>
                <w:sz w:val="21"/>
                <w:szCs w:val="21"/>
              </w:rPr>
            </w:pPr>
            <w:r>
              <w:rPr>
                <w:sz w:val="21"/>
                <w:szCs w:val="21"/>
              </w:rPr>
              <w:t>15%~20%</w:t>
            </w:r>
          </w:p>
        </w:tc>
        <w:tc>
          <w:tcPr>
            <w:tcW w:w="663" w:type="pct"/>
            <w:vAlign w:val="center"/>
          </w:tcPr>
          <w:p>
            <w:pPr>
              <w:spacing w:line="240" w:lineRule="auto"/>
              <w:ind w:firstLine="0" w:firstLineChars="0"/>
              <w:jc w:val="center"/>
              <w:rPr>
                <w:sz w:val="21"/>
                <w:szCs w:val="21"/>
              </w:rPr>
            </w:pPr>
            <w:r>
              <w:rPr>
                <w:sz w:val="21"/>
                <w:szCs w:val="21"/>
              </w:rPr>
              <w:t>10%~15%</w:t>
            </w:r>
          </w:p>
        </w:tc>
        <w:tc>
          <w:tcPr>
            <w:tcW w:w="765" w:type="pct"/>
            <w:vAlign w:val="center"/>
          </w:tcPr>
          <w:p>
            <w:pPr>
              <w:spacing w:line="240" w:lineRule="auto"/>
              <w:ind w:firstLine="0" w:firstLineChars="0"/>
              <w:jc w:val="center"/>
              <w:rPr>
                <w:sz w:val="21"/>
                <w:szCs w:val="21"/>
              </w:rPr>
            </w:pPr>
            <w:r>
              <w:rPr>
                <w:sz w:val="21"/>
                <w:szCs w:val="21"/>
              </w:rPr>
              <w:t>5%~10%</w:t>
            </w:r>
          </w:p>
        </w:tc>
        <w:tc>
          <w:tcPr>
            <w:tcW w:w="504" w:type="pct"/>
            <w:vAlign w:val="center"/>
          </w:tcPr>
          <w:p>
            <w:pPr>
              <w:spacing w:line="240" w:lineRule="auto"/>
              <w:ind w:firstLine="0" w:firstLineChars="0"/>
              <w:jc w:val="center"/>
              <w:rPr>
                <w:sz w:val="21"/>
                <w:szCs w:val="21"/>
              </w:rPr>
            </w:pPr>
            <w:r>
              <w:rPr>
                <w:rFonts w:hint="eastAsia"/>
                <w:sz w:val="21"/>
                <w:szCs w:val="21"/>
              </w:rPr>
              <w:t>＜5%</w:t>
            </w:r>
          </w:p>
        </w:tc>
        <w:tc>
          <w:tcPr>
            <w:tcW w:w="467" w:type="pct"/>
            <w:vAlign w:val="center"/>
          </w:tcPr>
          <w:p>
            <w:pPr>
              <w:spacing w:line="240" w:lineRule="auto"/>
              <w:ind w:firstLine="0" w:firstLineChars="0"/>
              <w:jc w:val="center"/>
              <w:rPr>
                <w:sz w:val="21"/>
                <w:szCs w:val="21"/>
              </w:rPr>
            </w:pPr>
            <w:r>
              <w:rPr>
                <w:rFonts w:hint="eastAsia"/>
                <w:sz w:val="21"/>
                <w:szCs w:val="21"/>
              </w:rPr>
              <w:t>人为断流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pct"/>
            <w:vAlign w:val="center"/>
          </w:tcPr>
          <w:p>
            <w:pPr>
              <w:spacing w:line="240" w:lineRule="auto"/>
              <w:ind w:firstLine="0" w:firstLineChars="0"/>
              <w:jc w:val="center"/>
              <w:rPr>
                <w:sz w:val="21"/>
                <w:szCs w:val="21"/>
              </w:rPr>
            </w:pPr>
            <w:r>
              <w:rPr>
                <w:rFonts w:hint="eastAsia"/>
                <w:sz w:val="21"/>
                <w:szCs w:val="21"/>
              </w:rPr>
              <w:t>赋分</w:t>
            </w:r>
          </w:p>
        </w:tc>
        <w:tc>
          <w:tcPr>
            <w:tcW w:w="768" w:type="pct"/>
            <w:vAlign w:val="center"/>
          </w:tcPr>
          <w:p>
            <w:pPr>
              <w:spacing w:line="240" w:lineRule="auto"/>
              <w:ind w:firstLine="0" w:firstLineChars="0"/>
              <w:jc w:val="center"/>
              <w:rPr>
                <w:sz w:val="21"/>
                <w:szCs w:val="21"/>
              </w:rPr>
            </w:pPr>
            <w:r>
              <w:rPr>
                <w:rFonts w:hint="eastAsia"/>
                <w:sz w:val="21"/>
                <w:szCs w:val="21"/>
              </w:rPr>
              <w:t>1</w:t>
            </w:r>
            <w:r>
              <w:rPr>
                <w:sz w:val="21"/>
                <w:szCs w:val="21"/>
              </w:rPr>
              <w:t>00</w:t>
            </w:r>
          </w:p>
        </w:tc>
        <w:tc>
          <w:tcPr>
            <w:tcW w:w="894" w:type="pct"/>
            <w:vAlign w:val="center"/>
          </w:tcPr>
          <w:p>
            <w:pPr>
              <w:spacing w:line="240" w:lineRule="auto"/>
              <w:ind w:firstLine="0" w:firstLineChars="0"/>
              <w:jc w:val="center"/>
              <w:rPr>
                <w:sz w:val="21"/>
                <w:szCs w:val="21"/>
              </w:rPr>
            </w:pPr>
            <w:r>
              <w:rPr>
                <w:rFonts w:hint="eastAsia"/>
                <w:sz w:val="21"/>
                <w:szCs w:val="21"/>
              </w:rPr>
              <w:t>9</w:t>
            </w:r>
            <w:r>
              <w:rPr>
                <w:sz w:val="21"/>
                <w:szCs w:val="21"/>
              </w:rPr>
              <w:t>0</w:t>
            </w:r>
          </w:p>
        </w:tc>
        <w:tc>
          <w:tcPr>
            <w:tcW w:w="663" w:type="pct"/>
            <w:vAlign w:val="center"/>
          </w:tcPr>
          <w:p>
            <w:pPr>
              <w:spacing w:line="240" w:lineRule="auto"/>
              <w:ind w:firstLine="0" w:firstLineChars="0"/>
              <w:jc w:val="center"/>
              <w:rPr>
                <w:sz w:val="21"/>
                <w:szCs w:val="21"/>
              </w:rPr>
            </w:pPr>
            <w:r>
              <w:rPr>
                <w:rFonts w:hint="eastAsia"/>
                <w:sz w:val="21"/>
                <w:szCs w:val="21"/>
              </w:rPr>
              <w:t>8</w:t>
            </w:r>
            <w:r>
              <w:rPr>
                <w:sz w:val="21"/>
                <w:szCs w:val="21"/>
              </w:rPr>
              <w:t>0</w:t>
            </w:r>
          </w:p>
        </w:tc>
        <w:tc>
          <w:tcPr>
            <w:tcW w:w="765" w:type="pct"/>
            <w:vAlign w:val="center"/>
          </w:tcPr>
          <w:p>
            <w:pPr>
              <w:spacing w:line="240" w:lineRule="auto"/>
              <w:ind w:firstLine="0" w:firstLineChars="0"/>
              <w:jc w:val="center"/>
              <w:rPr>
                <w:sz w:val="21"/>
                <w:szCs w:val="21"/>
              </w:rPr>
            </w:pPr>
            <w:r>
              <w:rPr>
                <w:rFonts w:hint="eastAsia"/>
                <w:sz w:val="21"/>
                <w:szCs w:val="21"/>
              </w:rPr>
              <w:t>6</w:t>
            </w:r>
            <w:r>
              <w:rPr>
                <w:sz w:val="21"/>
                <w:szCs w:val="21"/>
              </w:rPr>
              <w:t>0</w:t>
            </w:r>
          </w:p>
        </w:tc>
        <w:tc>
          <w:tcPr>
            <w:tcW w:w="504" w:type="pct"/>
            <w:vAlign w:val="center"/>
          </w:tcPr>
          <w:p>
            <w:pPr>
              <w:spacing w:line="240" w:lineRule="auto"/>
              <w:ind w:firstLine="0" w:firstLineChars="0"/>
              <w:jc w:val="center"/>
              <w:rPr>
                <w:sz w:val="21"/>
                <w:szCs w:val="21"/>
              </w:rPr>
            </w:pPr>
            <w:r>
              <w:rPr>
                <w:rFonts w:hint="eastAsia"/>
                <w:sz w:val="21"/>
                <w:szCs w:val="21"/>
              </w:rPr>
              <w:t>4</w:t>
            </w:r>
            <w:r>
              <w:rPr>
                <w:sz w:val="21"/>
                <w:szCs w:val="21"/>
              </w:rPr>
              <w:t>0</w:t>
            </w:r>
          </w:p>
        </w:tc>
        <w:tc>
          <w:tcPr>
            <w:tcW w:w="467" w:type="pct"/>
            <w:vAlign w:val="center"/>
          </w:tcPr>
          <w:p>
            <w:pPr>
              <w:spacing w:line="240" w:lineRule="auto"/>
              <w:ind w:firstLine="0" w:firstLineChars="0"/>
              <w:jc w:val="center"/>
              <w:rPr>
                <w:sz w:val="21"/>
                <w:szCs w:val="21"/>
              </w:rPr>
            </w:pPr>
            <w:r>
              <w:rPr>
                <w:rFonts w:hint="eastAsia"/>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pct"/>
            <w:vAlign w:val="center"/>
          </w:tcPr>
          <w:p>
            <w:pPr>
              <w:spacing w:line="240" w:lineRule="auto"/>
              <w:ind w:firstLine="0" w:firstLineChars="0"/>
              <w:jc w:val="center"/>
              <w:rPr>
                <w:sz w:val="21"/>
                <w:szCs w:val="21"/>
              </w:rPr>
            </w:pPr>
            <w:r>
              <w:rPr>
                <w:sz w:val="21"/>
                <w:szCs w:val="21"/>
              </w:rPr>
              <w:t>4</w:t>
            </w:r>
            <w:r>
              <w:rPr>
                <w:rFonts w:hint="eastAsia"/>
                <w:sz w:val="21"/>
                <w:szCs w:val="21"/>
              </w:rPr>
              <w:t>~</w:t>
            </w:r>
            <w:r>
              <w:rPr>
                <w:sz w:val="21"/>
                <w:szCs w:val="21"/>
              </w:rPr>
              <w:t>9</w:t>
            </w:r>
            <w:r>
              <w:rPr>
                <w:rFonts w:hint="eastAsia"/>
                <w:sz w:val="21"/>
                <w:szCs w:val="21"/>
              </w:rPr>
              <w:t>月最小日均流量占比</w:t>
            </w:r>
          </w:p>
        </w:tc>
        <w:tc>
          <w:tcPr>
            <w:tcW w:w="768" w:type="pct"/>
            <w:vAlign w:val="center"/>
          </w:tcPr>
          <w:p>
            <w:pPr>
              <w:spacing w:line="240" w:lineRule="auto"/>
              <w:ind w:firstLine="0" w:firstLineChars="0"/>
              <w:jc w:val="center"/>
              <w:rPr>
                <w:sz w:val="21"/>
                <w:szCs w:val="21"/>
              </w:rPr>
            </w:pPr>
            <w:r>
              <w:rPr>
                <w:rFonts w:hint="eastAsia"/>
                <w:sz w:val="21"/>
                <w:szCs w:val="21"/>
              </w:rPr>
              <w:t>≥</w:t>
            </w:r>
            <w:r>
              <w:rPr>
                <w:sz w:val="21"/>
                <w:szCs w:val="21"/>
              </w:rPr>
              <w:t>50</w:t>
            </w:r>
            <w:r>
              <w:rPr>
                <w:rFonts w:hint="eastAsia"/>
                <w:sz w:val="21"/>
                <w:szCs w:val="21"/>
              </w:rPr>
              <w:t>%</w:t>
            </w:r>
          </w:p>
        </w:tc>
        <w:tc>
          <w:tcPr>
            <w:tcW w:w="894" w:type="pct"/>
            <w:vAlign w:val="center"/>
          </w:tcPr>
          <w:p>
            <w:pPr>
              <w:spacing w:line="240" w:lineRule="auto"/>
              <w:ind w:firstLine="0" w:firstLineChars="0"/>
              <w:jc w:val="center"/>
              <w:rPr>
                <w:sz w:val="21"/>
                <w:szCs w:val="21"/>
              </w:rPr>
            </w:pPr>
            <w:r>
              <w:rPr>
                <w:sz w:val="21"/>
                <w:szCs w:val="21"/>
              </w:rPr>
              <w:t>40%~50%</w:t>
            </w:r>
          </w:p>
        </w:tc>
        <w:tc>
          <w:tcPr>
            <w:tcW w:w="663" w:type="pct"/>
            <w:vAlign w:val="center"/>
          </w:tcPr>
          <w:p>
            <w:pPr>
              <w:spacing w:line="240" w:lineRule="auto"/>
              <w:ind w:firstLine="0" w:firstLineChars="0"/>
              <w:jc w:val="center"/>
              <w:rPr>
                <w:sz w:val="21"/>
                <w:szCs w:val="21"/>
              </w:rPr>
            </w:pPr>
            <w:r>
              <w:rPr>
                <w:sz w:val="21"/>
                <w:szCs w:val="21"/>
              </w:rPr>
              <w:t>30%~40%</w:t>
            </w:r>
          </w:p>
        </w:tc>
        <w:tc>
          <w:tcPr>
            <w:tcW w:w="765" w:type="pct"/>
            <w:vAlign w:val="center"/>
          </w:tcPr>
          <w:p>
            <w:pPr>
              <w:spacing w:line="240" w:lineRule="auto"/>
              <w:ind w:firstLine="0" w:firstLineChars="0"/>
              <w:jc w:val="center"/>
              <w:rPr>
                <w:sz w:val="21"/>
                <w:szCs w:val="21"/>
              </w:rPr>
            </w:pPr>
            <w:r>
              <w:rPr>
                <w:sz w:val="21"/>
                <w:szCs w:val="21"/>
              </w:rPr>
              <w:t>10%~30%</w:t>
            </w:r>
          </w:p>
        </w:tc>
        <w:tc>
          <w:tcPr>
            <w:tcW w:w="972" w:type="pct"/>
            <w:gridSpan w:val="2"/>
            <w:vAlign w:val="center"/>
          </w:tcPr>
          <w:p>
            <w:pPr>
              <w:spacing w:line="240" w:lineRule="auto"/>
              <w:ind w:firstLine="0" w:firstLineChars="0"/>
              <w:jc w:val="center"/>
              <w:rPr>
                <w:sz w:val="21"/>
                <w:szCs w:val="21"/>
              </w:rPr>
            </w:pPr>
            <w:r>
              <w:rPr>
                <w:rFonts w:hint="eastAsia"/>
                <w:sz w:val="21"/>
                <w:szCs w:val="21"/>
              </w:rPr>
              <w:t>＜</w:t>
            </w:r>
            <w:r>
              <w:rPr>
                <w:sz w:val="21"/>
                <w:szCs w:val="21"/>
              </w:rPr>
              <w:t>10</w:t>
            </w: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pct"/>
            <w:vAlign w:val="center"/>
          </w:tcPr>
          <w:p>
            <w:pPr>
              <w:spacing w:line="240" w:lineRule="auto"/>
              <w:ind w:firstLine="0" w:firstLineChars="0"/>
              <w:jc w:val="center"/>
              <w:rPr>
                <w:sz w:val="21"/>
                <w:szCs w:val="21"/>
              </w:rPr>
            </w:pPr>
            <w:r>
              <w:rPr>
                <w:rFonts w:hint="eastAsia"/>
                <w:sz w:val="21"/>
                <w:szCs w:val="21"/>
              </w:rPr>
              <w:t>赋分</w:t>
            </w:r>
          </w:p>
        </w:tc>
        <w:tc>
          <w:tcPr>
            <w:tcW w:w="768" w:type="pct"/>
            <w:vAlign w:val="center"/>
          </w:tcPr>
          <w:p>
            <w:pPr>
              <w:spacing w:line="240" w:lineRule="auto"/>
              <w:ind w:firstLine="0" w:firstLineChars="0"/>
              <w:jc w:val="center"/>
              <w:rPr>
                <w:sz w:val="21"/>
                <w:szCs w:val="21"/>
              </w:rPr>
            </w:pPr>
            <w:r>
              <w:rPr>
                <w:rFonts w:hint="eastAsia"/>
                <w:sz w:val="21"/>
                <w:szCs w:val="21"/>
              </w:rPr>
              <w:t>1</w:t>
            </w:r>
            <w:r>
              <w:rPr>
                <w:sz w:val="21"/>
                <w:szCs w:val="21"/>
              </w:rPr>
              <w:t>00</w:t>
            </w:r>
          </w:p>
        </w:tc>
        <w:tc>
          <w:tcPr>
            <w:tcW w:w="894" w:type="pct"/>
            <w:vAlign w:val="center"/>
          </w:tcPr>
          <w:p>
            <w:pPr>
              <w:spacing w:line="240" w:lineRule="auto"/>
              <w:ind w:firstLine="0" w:firstLineChars="0"/>
              <w:jc w:val="center"/>
              <w:rPr>
                <w:sz w:val="21"/>
                <w:szCs w:val="21"/>
              </w:rPr>
            </w:pPr>
            <w:r>
              <w:rPr>
                <w:rFonts w:hint="eastAsia"/>
                <w:sz w:val="21"/>
                <w:szCs w:val="21"/>
              </w:rPr>
              <w:t>8</w:t>
            </w:r>
            <w:r>
              <w:rPr>
                <w:sz w:val="21"/>
                <w:szCs w:val="21"/>
              </w:rPr>
              <w:t>0</w:t>
            </w:r>
          </w:p>
        </w:tc>
        <w:tc>
          <w:tcPr>
            <w:tcW w:w="663" w:type="pct"/>
            <w:vAlign w:val="center"/>
          </w:tcPr>
          <w:p>
            <w:pPr>
              <w:spacing w:line="240" w:lineRule="auto"/>
              <w:ind w:firstLine="0" w:firstLineChars="0"/>
              <w:jc w:val="center"/>
              <w:rPr>
                <w:sz w:val="21"/>
                <w:szCs w:val="21"/>
              </w:rPr>
            </w:pPr>
            <w:r>
              <w:rPr>
                <w:rFonts w:hint="eastAsia"/>
                <w:sz w:val="21"/>
                <w:szCs w:val="21"/>
              </w:rPr>
              <w:t>6</w:t>
            </w:r>
            <w:r>
              <w:rPr>
                <w:sz w:val="21"/>
                <w:szCs w:val="21"/>
              </w:rPr>
              <w:t>0</w:t>
            </w:r>
          </w:p>
        </w:tc>
        <w:tc>
          <w:tcPr>
            <w:tcW w:w="765" w:type="pct"/>
            <w:vAlign w:val="center"/>
          </w:tcPr>
          <w:p>
            <w:pPr>
              <w:spacing w:line="240" w:lineRule="auto"/>
              <w:ind w:firstLine="0" w:firstLineChars="0"/>
              <w:jc w:val="center"/>
              <w:rPr>
                <w:sz w:val="21"/>
                <w:szCs w:val="21"/>
              </w:rPr>
            </w:pPr>
            <w:r>
              <w:rPr>
                <w:rFonts w:hint="eastAsia"/>
                <w:sz w:val="21"/>
                <w:szCs w:val="21"/>
              </w:rPr>
              <w:t>4</w:t>
            </w:r>
            <w:r>
              <w:rPr>
                <w:sz w:val="21"/>
                <w:szCs w:val="21"/>
              </w:rPr>
              <w:t>0</w:t>
            </w:r>
          </w:p>
        </w:tc>
        <w:tc>
          <w:tcPr>
            <w:tcW w:w="972" w:type="pct"/>
            <w:gridSpan w:val="2"/>
            <w:vAlign w:val="center"/>
          </w:tcPr>
          <w:p>
            <w:pPr>
              <w:spacing w:line="240" w:lineRule="auto"/>
              <w:ind w:firstLine="0" w:firstLineChars="0"/>
              <w:jc w:val="center"/>
              <w:rPr>
                <w:sz w:val="21"/>
                <w:szCs w:val="21"/>
              </w:rPr>
            </w:pPr>
            <w:r>
              <w:rPr>
                <w:rFonts w:hint="eastAsia"/>
                <w:sz w:val="21"/>
                <w:szCs w:val="21"/>
              </w:rPr>
              <w:t>0</w:t>
            </w:r>
          </w:p>
        </w:tc>
      </w:tr>
    </w:tbl>
    <w:p>
      <w:pPr>
        <w:ind w:firstLine="482"/>
        <w:rPr>
          <w:b/>
        </w:rPr>
      </w:pPr>
    </w:p>
    <w:p>
      <w:pPr>
        <w:ind w:firstLine="482"/>
        <w:rPr>
          <w:b/>
        </w:rPr>
      </w:pPr>
      <w:r>
        <w:rPr>
          <w:rFonts w:hint="eastAsia"/>
          <w:b/>
        </w:rPr>
        <w:t>2、物理结构</w:t>
      </w:r>
    </w:p>
    <w:p>
      <w:pPr>
        <w:ind w:firstLine="480"/>
      </w:pPr>
      <w:r>
        <w:rPr>
          <w:rFonts w:hint="eastAsia"/>
        </w:rPr>
        <w:t>（1）河岸带稳定性指标</w:t>
      </w:r>
    </w:p>
    <w:p>
      <w:pPr>
        <w:ind w:firstLine="480"/>
      </w:pPr>
      <w:r>
        <w:rPr>
          <w:rFonts w:hint="eastAsia"/>
        </w:rPr>
        <w:t>根据河（湖、库）岸坡侵蚀现状（包括已经发生的或潜在发生的河岸侵蚀）进行评估，评估要素包括:岸坡倾角、河岸高度、基质特征、岸坡植被覆盖度和坡脚冲刷强度，采用以下公式计算。</w:t>
      </w:r>
    </w:p>
    <w:p>
      <w:pPr>
        <w:ind w:firstLine="0" w:firstLineChars="0"/>
        <w:jc w:val="center"/>
        <w:rPr>
          <w:i/>
        </w:rPr>
      </w:pPr>
      <w:r>
        <w:rPr>
          <w:rFonts w:hint="eastAsia"/>
          <w:i/>
        </w:rPr>
        <w:t>BKS</w:t>
      </w:r>
      <w:r>
        <w:rPr>
          <w:rFonts w:hint="eastAsia"/>
          <w:i/>
          <w:vertAlign w:val="subscript"/>
        </w:rPr>
        <w:t>r</w:t>
      </w:r>
      <w:r>
        <w:rPr>
          <w:rFonts w:hint="eastAsia"/>
          <w:i/>
        </w:rPr>
        <w:t>=</w:t>
      </w:r>
      <w:r>
        <w:rPr>
          <w:rFonts w:hint="eastAsia"/>
        </w:rPr>
        <w:t>(</w:t>
      </w:r>
      <w:r>
        <w:rPr>
          <w:rFonts w:hint="eastAsia"/>
          <w:i/>
        </w:rPr>
        <w:t>SA</w:t>
      </w:r>
      <w:r>
        <w:rPr>
          <w:rFonts w:hint="eastAsia"/>
          <w:i/>
          <w:vertAlign w:val="subscript"/>
        </w:rPr>
        <w:t>r</w:t>
      </w:r>
      <w:r>
        <w:rPr>
          <w:rFonts w:hint="eastAsia"/>
          <w:i/>
        </w:rPr>
        <w:t>+SC</w:t>
      </w:r>
      <w:r>
        <w:rPr>
          <w:rFonts w:hint="eastAsia"/>
          <w:i/>
          <w:vertAlign w:val="subscript"/>
        </w:rPr>
        <w:t>r</w:t>
      </w:r>
      <w:r>
        <w:rPr>
          <w:rFonts w:hint="eastAsia"/>
          <w:i/>
        </w:rPr>
        <w:t>+SH</w:t>
      </w:r>
      <w:r>
        <w:rPr>
          <w:rFonts w:hint="eastAsia"/>
          <w:i/>
          <w:vertAlign w:val="subscript"/>
        </w:rPr>
        <w:t>r</w:t>
      </w:r>
      <w:r>
        <w:rPr>
          <w:rFonts w:hint="eastAsia"/>
          <w:i/>
        </w:rPr>
        <w:t>+SM</w:t>
      </w:r>
      <w:r>
        <w:rPr>
          <w:rFonts w:hint="eastAsia"/>
          <w:i/>
          <w:vertAlign w:val="subscript"/>
        </w:rPr>
        <w:t>r</w:t>
      </w:r>
      <w:r>
        <w:rPr>
          <w:rFonts w:hint="eastAsia"/>
          <w:i/>
        </w:rPr>
        <w:t>+ST</w:t>
      </w:r>
      <w:r>
        <w:rPr>
          <w:rFonts w:hint="eastAsia"/>
          <w:i/>
          <w:vertAlign w:val="subscript"/>
        </w:rPr>
        <w:t>r</w:t>
      </w:r>
      <w:r>
        <w:rPr>
          <w:rFonts w:hint="eastAsia"/>
        </w:rPr>
        <w:t>)</w:t>
      </w:r>
      <w:r>
        <w:rPr>
          <w:i/>
        </w:rPr>
        <w:t>/5</w:t>
      </w:r>
    </w:p>
    <w:p>
      <w:pPr>
        <w:ind w:firstLine="480"/>
      </w:pPr>
      <w:r>
        <w:rPr>
          <w:rFonts w:hint="eastAsia"/>
        </w:rPr>
        <w:t>式中:</w:t>
      </w:r>
    </w:p>
    <w:p>
      <w:pPr>
        <w:ind w:firstLine="480"/>
      </w:pPr>
      <w:r>
        <w:rPr>
          <w:rFonts w:hint="eastAsia"/>
        </w:rPr>
        <w:t>BKS</w:t>
      </w:r>
      <w:r>
        <w:rPr>
          <w:vertAlign w:val="subscript"/>
        </w:rPr>
        <w:t>r</w:t>
      </w:r>
      <w:r>
        <w:rPr>
          <w:rFonts w:hint="eastAsia"/>
        </w:rPr>
        <w:t>—岸坡稳定性指标赋分；</w:t>
      </w:r>
    </w:p>
    <w:p>
      <w:pPr>
        <w:ind w:firstLine="480"/>
      </w:pPr>
      <w:r>
        <w:rPr>
          <w:rFonts w:hint="eastAsia"/>
        </w:rPr>
        <w:t>SA</w:t>
      </w:r>
      <w:r>
        <w:rPr>
          <w:vertAlign w:val="subscript"/>
        </w:rPr>
        <w:t>r</w:t>
      </w:r>
      <w:r>
        <w:rPr>
          <w:rFonts w:hint="eastAsia"/>
        </w:rPr>
        <w:t>—岸坡倾角分值；</w:t>
      </w:r>
    </w:p>
    <w:p>
      <w:pPr>
        <w:ind w:firstLine="480"/>
      </w:pPr>
      <w:r>
        <w:rPr>
          <w:rFonts w:hint="eastAsia"/>
        </w:rPr>
        <w:t>SC</w:t>
      </w:r>
      <w:r>
        <w:rPr>
          <w:vertAlign w:val="subscript"/>
        </w:rPr>
        <w:t>r</w:t>
      </w:r>
      <w:r>
        <w:rPr>
          <w:rFonts w:hint="eastAsia"/>
        </w:rPr>
        <w:t>—岸坡植被覆盖度分值；</w:t>
      </w:r>
    </w:p>
    <w:p>
      <w:pPr>
        <w:ind w:firstLine="480"/>
      </w:pPr>
      <w:r>
        <w:rPr>
          <w:rFonts w:hint="eastAsia"/>
        </w:rPr>
        <w:t>SH</w:t>
      </w:r>
      <w:r>
        <w:rPr>
          <w:vertAlign w:val="subscript"/>
        </w:rPr>
        <w:t>r</w:t>
      </w:r>
      <w:r>
        <w:rPr>
          <w:rFonts w:hint="eastAsia"/>
        </w:rPr>
        <w:t>—岸坡高度分值；</w:t>
      </w:r>
    </w:p>
    <w:p>
      <w:pPr>
        <w:ind w:firstLine="480"/>
      </w:pPr>
      <w:r>
        <w:rPr>
          <w:rFonts w:hint="eastAsia"/>
        </w:rPr>
        <w:t>SM</w:t>
      </w:r>
      <w:r>
        <w:rPr>
          <w:vertAlign w:val="subscript"/>
        </w:rPr>
        <w:t>r</w:t>
      </w:r>
      <w:r>
        <w:rPr>
          <w:rFonts w:hint="eastAsia"/>
        </w:rPr>
        <w:t>—河岸基质分值；</w:t>
      </w:r>
    </w:p>
    <w:p>
      <w:pPr>
        <w:ind w:firstLine="480"/>
      </w:pPr>
      <w:r>
        <w:rPr>
          <w:rFonts w:hint="eastAsia"/>
        </w:rPr>
        <w:t>ST</w:t>
      </w:r>
      <w:r>
        <w:rPr>
          <w:vertAlign w:val="subscript"/>
        </w:rPr>
        <w:t>r</w:t>
      </w:r>
      <w:r>
        <w:rPr>
          <w:rFonts w:hint="eastAsia"/>
        </w:rPr>
        <w:t>—坡脚冲刷强度分值。</w:t>
      </w:r>
    </w:p>
    <w:p>
      <w:pPr>
        <w:ind w:firstLine="480"/>
      </w:pPr>
    </w:p>
    <w:p>
      <w:pPr>
        <w:ind w:firstLine="480"/>
      </w:pPr>
    </w:p>
    <w:p>
      <w:pPr>
        <w:pStyle w:val="58"/>
        <w:rPr>
          <w:color w:val="auto"/>
        </w:rPr>
      </w:pPr>
      <w:r>
        <w:rPr>
          <w:rFonts w:hint="eastAsia"/>
          <w:color w:val="auto"/>
        </w:rPr>
        <w:t>表</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3.1</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4</w:t>
      </w:r>
      <w:r>
        <w:rPr>
          <w:color w:val="auto"/>
        </w:rPr>
        <w:fldChar w:fldCharType="end"/>
      </w:r>
      <w:r>
        <w:rPr>
          <w:rFonts w:hint="eastAsia"/>
          <w:color w:val="auto"/>
        </w:rPr>
        <w:t>河岸稳定性评估分指标评估赋分标准表</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0"/>
        <w:gridCol w:w="1276"/>
        <w:gridCol w:w="1721"/>
        <w:gridCol w:w="1659"/>
        <w:gridCol w:w="1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vAlign w:val="center"/>
          </w:tcPr>
          <w:p>
            <w:pPr>
              <w:spacing w:line="240" w:lineRule="auto"/>
              <w:ind w:firstLine="0" w:firstLineChars="0"/>
              <w:jc w:val="center"/>
              <w:rPr>
                <w:sz w:val="21"/>
                <w:szCs w:val="21"/>
              </w:rPr>
            </w:pPr>
            <w:r>
              <w:rPr>
                <w:rFonts w:hint="eastAsia"/>
                <w:sz w:val="21"/>
                <w:szCs w:val="21"/>
              </w:rPr>
              <w:t>岸坡特征</w:t>
            </w:r>
          </w:p>
        </w:tc>
        <w:tc>
          <w:tcPr>
            <w:tcW w:w="1276" w:type="dxa"/>
            <w:vAlign w:val="center"/>
          </w:tcPr>
          <w:p>
            <w:pPr>
              <w:spacing w:line="240" w:lineRule="auto"/>
              <w:ind w:firstLine="0" w:firstLineChars="0"/>
              <w:jc w:val="center"/>
              <w:rPr>
                <w:sz w:val="21"/>
                <w:szCs w:val="21"/>
              </w:rPr>
            </w:pPr>
            <w:r>
              <w:rPr>
                <w:rFonts w:hint="eastAsia"/>
                <w:sz w:val="21"/>
                <w:szCs w:val="21"/>
              </w:rPr>
              <w:t>稳定</w:t>
            </w:r>
          </w:p>
        </w:tc>
        <w:tc>
          <w:tcPr>
            <w:tcW w:w="1721" w:type="dxa"/>
            <w:vAlign w:val="center"/>
          </w:tcPr>
          <w:p>
            <w:pPr>
              <w:spacing w:line="240" w:lineRule="auto"/>
              <w:ind w:firstLine="0" w:firstLineChars="0"/>
              <w:jc w:val="center"/>
              <w:rPr>
                <w:sz w:val="21"/>
                <w:szCs w:val="21"/>
              </w:rPr>
            </w:pPr>
            <w:r>
              <w:rPr>
                <w:rFonts w:hint="eastAsia"/>
                <w:sz w:val="21"/>
                <w:szCs w:val="21"/>
              </w:rPr>
              <w:t>基本稳定</w:t>
            </w:r>
          </w:p>
        </w:tc>
        <w:tc>
          <w:tcPr>
            <w:tcW w:w="1659" w:type="dxa"/>
            <w:vAlign w:val="center"/>
          </w:tcPr>
          <w:p>
            <w:pPr>
              <w:spacing w:line="240" w:lineRule="auto"/>
              <w:ind w:firstLine="0" w:firstLineChars="0"/>
              <w:jc w:val="center"/>
              <w:rPr>
                <w:sz w:val="21"/>
                <w:szCs w:val="21"/>
              </w:rPr>
            </w:pPr>
            <w:r>
              <w:rPr>
                <w:rFonts w:hint="eastAsia"/>
                <w:sz w:val="21"/>
                <w:szCs w:val="21"/>
              </w:rPr>
              <w:t>次不稳定</w:t>
            </w:r>
          </w:p>
        </w:tc>
        <w:tc>
          <w:tcPr>
            <w:tcW w:w="1660" w:type="dxa"/>
            <w:vAlign w:val="center"/>
          </w:tcPr>
          <w:p>
            <w:pPr>
              <w:spacing w:line="240" w:lineRule="auto"/>
              <w:ind w:firstLine="0" w:firstLineChars="0"/>
              <w:jc w:val="center"/>
              <w:rPr>
                <w:sz w:val="21"/>
                <w:szCs w:val="21"/>
              </w:rPr>
            </w:pPr>
            <w:r>
              <w:rPr>
                <w:rFonts w:hint="eastAsia"/>
                <w:sz w:val="21"/>
                <w:szCs w:val="21"/>
              </w:rPr>
              <w:t>不稳定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vAlign w:val="center"/>
          </w:tcPr>
          <w:p>
            <w:pPr>
              <w:spacing w:line="240" w:lineRule="auto"/>
              <w:ind w:firstLine="0" w:firstLineChars="0"/>
              <w:jc w:val="center"/>
              <w:rPr>
                <w:sz w:val="21"/>
                <w:szCs w:val="21"/>
              </w:rPr>
            </w:pPr>
            <w:r>
              <w:rPr>
                <w:rFonts w:hint="eastAsia"/>
                <w:sz w:val="21"/>
                <w:szCs w:val="21"/>
              </w:rPr>
              <w:t>分值</w:t>
            </w:r>
          </w:p>
        </w:tc>
        <w:tc>
          <w:tcPr>
            <w:tcW w:w="1276" w:type="dxa"/>
            <w:vAlign w:val="center"/>
          </w:tcPr>
          <w:p>
            <w:pPr>
              <w:spacing w:line="240" w:lineRule="auto"/>
              <w:ind w:firstLine="0" w:firstLineChars="0"/>
              <w:jc w:val="center"/>
              <w:rPr>
                <w:sz w:val="21"/>
                <w:szCs w:val="21"/>
              </w:rPr>
            </w:pPr>
            <w:r>
              <w:rPr>
                <w:rFonts w:hint="eastAsia"/>
                <w:sz w:val="21"/>
                <w:szCs w:val="21"/>
              </w:rPr>
              <w:t>1</w:t>
            </w:r>
            <w:r>
              <w:rPr>
                <w:sz w:val="21"/>
                <w:szCs w:val="21"/>
              </w:rPr>
              <w:t>00</w:t>
            </w:r>
          </w:p>
        </w:tc>
        <w:tc>
          <w:tcPr>
            <w:tcW w:w="1721" w:type="dxa"/>
            <w:vAlign w:val="center"/>
          </w:tcPr>
          <w:p>
            <w:pPr>
              <w:spacing w:line="240" w:lineRule="auto"/>
              <w:ind w:firstLine="0" w:firstLineChars="0"/>
              <w:jc w:val="center"/>
              <w:rPr>
                <w:sz w:val="21"/>
                <w:szCs w:val="21"/>
              </w:rPr>
            </w:pPr>
            <w:r>
              <w:rPr>
                <w:rFonts w:hint="eastAsia"/>
                <w:sz w:val="21"/>
                <w:szCs w:val="21"/>
              </w:rPr>
              <w:t>7</w:t>
            </w:r>
            <w:r>
              <w:rPr>
                <w:sz w:val="21"/>
                <w:szCs w:val="21"/>
              </w:rPr>
              <w:t>5</w:t>
            </w:r>
          </w:p>
        </w:tc>
        <w:tc>
          <w:tcPr>
            <w:tcW w:w="1659" w:type="dxa"/>
            <w:vAlign w:val="center"/>
          </w:tcPr>
          <w:p>
            <w:pPr>
              <w:spacing w:line="240" w:lineRule="auto"/>
              <w:ind w:firstLine="0" w:firstLineChars="0"/>
              <w:jc w:val="center"/>
              <w:rPr>
                <w:sz w:val="21"/>
                <w:szCs w:val="21"/>
              </w:rPr>
            </w:pPr>
            <w:r>
              <w:rPr>
                <w:rFonts w:hint="eastAsia"/>
                <w:sz w:val="21"/>
                <w:szCs w:val="21"/>
              </w:rPr>
              <w:t>2</w:t>
            </w:r>
            <w:r>
              <w:rPr>
                <w:sz w:val="21"/>
                <w:szCs w:val="21"/>
              </w:rPr>
              <w:t>5</w:t>
            </w:r>
          </w:p>
        </w:tc>
        <w:tc>
          <w:tcPr>
            <w:tcW w:w="1660" w:type="dxa"/>
            <w:vAlign w:val="center"/>
          </w:tcPr>
          <w:p>
            <w:pPr>
              <w:spacing w:line="240" w:lineRule="auto"/>
              <w:ind w:firstLine="0" w:firstLineChars="0"/>
              <w:jc w:val="center"/>
              <w:rPr>
                <w:sz w:val="21"/>
                <w:szCs w:val="21"/>
              </w:rPr>
            </w:pPr>
            <w:r>
              <w:rPr>
                <w:rFonts w:hint="eastAsia"/>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vAlign w:val="center"/>
          </w:tcPr>
          <w:p>
            <w:pPr>
              <w:spacing w:line="240" w:lineRule="auto"/>
              <w:ind w:firstLine="0" w:firstLineChars="0"/>
              <w:jc w:val="center"/>
              <w:rPr>
                <w:sz w:val="21"/>
                <w:szCs w:val="21"/>
              </w:rPr>
            </w:pPr>
            <w:r>
              <w:rPr>
                <w:rFonts w:hint="eastAsia"/>
                <w:sz w:val="21"/>
                <w:szCs w:val="21"/>
              </w:rPr>
              <w:t>斜坡角度（度）</w:t>
            </w:r>
          </w:p>
        </w:tc>
        <w:tc>
          <w:tcPr>
            <w:tcW w:w="1276" w:type="dxa"/>
            <w:vAlign w:val="center"/>
          </w:tcPr>
          <w:p>
            <w:pPr>
              <w:spacing w:line="240" w:lineRule="auto"/>
              <w:ind w:firstLine="0" w:firstLineChars="0"/>
              <w:jc w:val="center"/>
              <w:rPr>
                <w:sz w:val="21"/>
                <w:szCs w:val="21"/>
              </w:rPr>
            </w:pPr>
            <w:r>
              <w:rPr>
                <w:rFonts w:hint="eastAsia"/>
                <w:sz w:val="21"/>
                <w:szCs w:val="21"/>
              </w:rPr>
              <w:t>&lt;</w:t>
            </w:r>
            <w:r>
              <w:rPr>
                <w:sz w:val="21"/>
                <w:szCs w:val="21"/>
              </w:rPr>
              <w:t>15</w:t>
            </w:r>
          </w:p>
        </w:tc>
        <w:tc>
          <w:tcPr>
            <w:tcW w:w="1721" w:type="dxa"/>
            <w:vAlign w:val="center"/>
          </w:tcPr>
          <w:p>
            <w:pPr>
              <w:spacing w:line="240" w:lineRule="auto"/>
              <w:ind w:firstLine="0" w:firstLineChars="0"/>
              <w:jc w:val="center"/>
              <w:rPr>
                <w:sz w:val="21"/>
                <w:szCs w:val="21"/>
              </w:rPr>
            </w:pPr>
            <w:r>
              <w:rPr>
                <w:rFonts w:hint="eastAsia"/>
                <w:sz w:val="21"/>
                <w:szCs w:val="21"/>
              </w:rPr>
              <w:t>1</w:t>
            </w:r>
            <w:r>
              <w:rPr>
                <w:sz w:val="21"/>
                <w:szCs w:val="21"/>
              </w:rPr>
              <w:t>5</w:t>
            </w:r>
            <w:r>
              <w:rPr>
                <w:rFonts w:hint="eastAsia"/>
                <w:sz w:val="21"/>
                <w:szCs w:val="21"/>
              </w:rPr>
              <w:t>~</w:t>
            </w:r>
            <w:r>
              <w:rPr>
                <w:sz w:val="21"/>
                <w:szCs w:val="21"/>
              </w:rPr>
              <w:t>30</w:t>
            </w:r>
          </w:p>
        </w:tc>
        <w:tc>
          <w:tcPr>
            <w:tcW w:w="1659" w:type="dxa"/>
            <w:vAlign w:val="center"/>
          </w:tcPr>
          <w:p>
            <w:pPr>
              <w:spacing w:line="240" w:lineRule="auto"/>
              <w:ind w:firstLine="0" w:firstLineChars="0"/>
              <w:jc w:val="center"/>
              <w:rPr>
                <w:sz w:val="21"/>
                <w:szCs w:val="21"/>
              </w:rPr>
            </w:pPr>
            <w:r>
              <w:rPr>
                <w:rFonts w:hint="eastAsia"/>
                <w:sz w:val="21"/>
                <w:szCs w:val="21"/>
              </w:rPr>
              <w:t>3</w:t>
            </w:r>
            <w:r>
              <w:rPr>
                <w:sz w:val="21"/>
                <w:szCs w:val="21"/>
              </w:rPr>
              <w:t>0</w:t>
            </w:r>
            <w:r>
              <w:rPr>
                <w:rFonts w:hint="eastAsia"/>
                <w:sz w:val="21"/>
                <w:szCs w:val="21"/>
              </w:rPr>
              <w:t>~</w:t>
            </w:r>
            <w:r>
              <w:rPr>
                <w:sz w:val="21"/>
                <w:szCs w:val="21"/>
              </w:rPr>
              <w:t>45</w:t>
            </w:r>
          </w:p>
        </w:tc>
        <w:tc>
          <w:tcPr>
            <w:tcW w:w="1660" w:type="dxa"/>
            <w:vAlign w:val="center"/>
          </w:tcPr>
          <w:p>
            <w:pPr>
              <w:spacing w:line="240" w:lineRule="auto"/>
              <w:ind w:firstLine="0" w:firstLineChars="0"/>
              <w:jc w:val="center"/>
              <w:rPr>
                <w:sz w:val="21"/>
                <w:szCs w:val="21"/>
              </w:rPr>
            </w:pPr>
            <w:r>
              <w:rPr>
                <w:rFonts w:hint="eastAsia"/>
                <w:sz w:val="21"/>
                <w:szCs w:val="21"/>
              </w:rPr>
              <w:t>4</w:t>
            </w:r>
            <w:r>
              <w:rPr>
                <w:sz w:val="21"/>
                <w:szCs w:val="21"/>
              </w:rPr>
              <w:t>5</w:t>
            </w:r>
            <w:r>
              <w:rPr>
                <w:rFonts w:hint="eastAsia"/>
                <w:sz w:val="21"/>
                <w:szCs w:val="21"/>
              </w:rPr>
              <w:t>~</w:t>
            </w:r>
            <w:r>
              <w:rPr>
                <w:sz w:val="21"/>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vAlign w:val="center"/>
          </w:tcPr>
          <w:p>
            <w:pPr>
              <w:spacing w:line="240" w:lineRule="auto"/>
              <w:ind w:firstLine="0" w:firstLineChars="0"/>
              <w:jc w:val="center"/>
              <w:rPr>
                <w:sz w:val="21"/>
                <w:szCs w:val="21"/>
              </w:rPr>
            </w:pPr>
            <w:r>
              <w:rPr>
                <w:rFonts w:hint="eastAsia"/>
                <w:sz w:val="21"/>
                <w:szCs w:val="21"/>
              </w:rPr>
              <w:t>植被覆盖率（%）</w:t>
            </w:r>
          </w:p>
        </w:tc>
        <w:tc>
          <w:tcPr>
            <w:tcW w:w="1276" w:type="dxa"/>
            <w:vAlign w:val="center"/>
          </w:tcPr>
          <w:p>
            <w:pPr>
              <w:spacing w:line="240" w:lineRule="auto"/>
              <w:ind w:firstLine="0" w:firstLineChars="0"/>
              <w:jc w:val="center"/>
              <w:rPr>
                <w:sz w:val="21"/>
                <w:szCs w:val="21"/>
              </w:rPr>
            </w:pPr>
            <w:r>
              <w:rPr>
                <w:rFonts w:hint="eastAsia"/>
                <w:sz w:val="21"/>
                <w:szCs w:val="21"/>
              </w:rPr>
              <w:t>&gt;</w:t>
            </w:r>
            <w:r>
              <w:rPr>
                <w:sz w:val="21"/>
                <w:szCs w:val="21"/>
              </w:rPr>
              <w:t>75</w:t>
            </w:r>
          </w:p>
        </w:tc>
        <w:tc>
          <w:tcPr>
            <w:tcW w:w="1721" w:type="dxa"/>
            <w:vAlign w:val="center"/>
          </w:tcPr>
          <w:p>
            <w:pPr>
              <w:spacing w:line="240" w:lineRule="auto"/>
              <w:ind w:firstLine="0" w:firstLineChars="0"/>
              <w:jc w:val="center"/>
              <w:rPr>
                <w:sz w:val="21"/>
                <w:szCs w:val="21"/>
              </w:rPr>
            </w:pPr>
            <w:r>
              <w:rPr>
                <w:rFonts w:hint="eastAsia"/>
                <w:sz w:val="21"/>
                <w:szCs w:val="21"/>
              </w:rPr>
              <w:t>5</w:t>
            </w:r>
            <w:r>
              <w:rPr>
                <w:sz w:val="21"/>
                <w:szCs w:val="21"/>
              </w:rPr>
              <w:t>0~75</w:t>
            </w:r>
          </w:p>
        </w:tc>
        <w:tc>
          <w:tcPr>
            <w:tcW w:w="1659" w:type="dxa"/>
            <w:vAlign w:val="center"/>
          </w:tcPr>
          <w:p>
            <w:pPr>
              <w:spacing w:line="240" w:lineRule="auto"/>
              <w:ind w:firstLine="0" w:firstLineChars="0"/>
              <w:jc w:val="center"/>
              <w:rPr>
                <w:sz w:val="21"/>
                <w:szCs w:val="21"/>
              </w:rPr>
            </w:pPr>
            <w:r>
              <w:rPr>
                <w:rFonts w:hint="eastAsia"/>
                <w:sz w:val="21"/>
                <w:szCs w:val="21"/>
              </w:rPr>
              <w:t>2</w:t>
            </w:r>
            <w:r>
              <w:rPr>
                <w:sz w:val="21"/>
                <w:szCs w:val="21"/>
              </w:rPr>
              <w:t>5~50</w:t>
            </w:r>
          </w:p>
        </w:tc>
        <w:tc>
          <w:tcPr>
            <w:tcW w:w="1660" w:type="dxa"/>
            <w:vAlign w:val="center"/>
          </w:tcPr>
          <w:p>
            <w:pPr>
              <w:spacing w:line="240" w:lineRule="auto"/>
              <w:ind w:firstLine="0" w:firstLineChars="0"/>
              <w:jc w:val="center"/>
              <w:rPr>
                <w:sz w:val="21"/>
                <w:szCs w:val="21"/>
              </w:rPr>
            </w:pPr>
            <w:r>
              <w:rPr>
                <w:rFonts w:hint="eastAsia"/>
                <w:sz w:val="21"/>
                <w:szCs w:val="21"/>
              </w:rPr>
              <w:t>0</w:t>
            </w:r>
            <w:r>
              <w:rPr>
                <w:sz w:val="21"/>
                <w:szCs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vAlign w:val="center"/>
          </w:tcPr>
          <w:p>
            <w:pPr>
              <w:spacing w:line="240" w:lineRule="auto"/>
              <w:ind w:firstLine="0" w:firstLineChars="0"/>
              <w:jc w:val="center"/>
              <w:rPr>
                <w:sz w:val="21"/>
                <w:szCs w:val="21"/>
              </w:rPr>
            </w:pPr>
            <w:r>
              <w:rPr>
                <w:rFonts w:hint="eastAsia"/>
                <w:sz w:val="21"/>
                <w:szCs w:val="21"/>
              </w:rPr>
              <w:t>斜坡高度（米）</w:t>
            </w:r>
          </w:p>
        </w:tc>
        <w:tc>
          <w:tcPr>
            <w:tcW w:w="1276" w:type="dxa"/>
            <w:vAlign w:val="center"/>
          </w:tcPr>
          <w:p>
            <w:pPr>
              <w:spacing w:line="240" w:lineRule="auto"/>
              <w:ind w:firstLine="0" w:firstLineChars="0"/>
              <w:jc w:val="center"/>
              <w:rPr>
                <w:sz w:val="21"/>
                <w:szCs w:val="21"/>
              </w:rPr>
            </w:pPr>
            <w:r>
              <w:rPr>
                <w:rFonts w:hint="eastAsia"/>
                <w:sz w:val="21"/>
                <w:szCs w:val="21"/>
              </w:rPr>
              <w:t>&lt;</w:t>
            </w:r>
            <w:r>
              <w:rPr>
                <w:sz w:val="21"/>
                <w:szCs w:val="21"/>
              </w:rPr>
              <w:t>1</w:t>
            </w:r>
          </w:p>
        </w:tc>
        <w:tc>
          <w:tcPr>
            <w:tcW w:w="1721" w:type="dxa"/>
            <w:vAlign w:val="center"/>
          </w:tcPr>
          <w:p>
            <w:pPr>
              <w:spacing w:line="240" w:lineRule="auto"/>
              <w:ind w:firstLine="0" w:firstLineChars="0"/>
              <w:jc w:val="center"/>
              <w:rPr>
                <w:sz w:val="21"/>
                <w:szCs w:val="21"/>
              </w:rPr>
            </w:pPr>
            <w:r>
              <w:rPr>
                <w:rFonts w:hint="eastAsia"/>
                <w:sz w:val="21"/>
                <w:szCs w:val="21"/>
              </w:rPr>
              <w:t>1~</w:t>
            </w:r>
            <w:r>
              <w:rPr>
                <w:sz w:val="21"/>
                <w:szCs w:val="21"/>
              </w:rPr>
              <w:t>2</w:t>
            </w:r>
          </w:p>
        </w:tc>
        <w:tc>
          <w:tcPr>
            <w:tcW w:w="1659" w:type="dxa"/>
            <w:vAlign w:val="center"/>
          </w:tcPr>
          <w:p>
            <w:pPr>
              <w:spacing w:line="240" w:lineRule="auto"/>
              <w:ind w:firstLine="0" w:firstLineChars="0"/>
              <w:jc w:val="center"/>
              <w:rPr>
                <w:sz w:val="21"/>
                <w:szCs w:val="21"/>
              </w:rPr>
            </w:pPr>
            <w:r>
              <w:rPr>
                <w:rFonts w:hint="eastAsia"/>
                <w:sz w:val="21"/>
                <w:szCs w:val="21"/>
              </w:rPr>
              <w:t>2~</w:t>
            </w:r>
            <w:r>
              <w:rPr>
                <w:sz w:val="21"/>
                <w:szCs w:val="21"/>
              </w:rPr>
              <w:t>3</w:t>
            </w:r>
          </w:p>
        </w:tc>
        <w:tc>
          <w:tcPr>
            <w:tcW w:w="1660" w:type="dxa"/>
            <w:vAlign w:val="center"/>
          </w:tcPr>
          <w:p>
            <w:pPr>
              <w:spacing w:line="240" w:lineRule="auto"/>
              <w:ind w:firstLine="0" w:firstLineChars="0"/>
              <w:jc w:val="center"/>
              <w:rPr>
                <w:sz w:val="21"/>
                <w:szCs w:val="21"/>
              </w:rPr>
            </w:pPr>
            <w:r>
              <w:rPr>
                <w:rFonts w:hint="eastAsia"/>
                <w:sz w:val="21"/>
                <w:szCs w:val="21"/>
              </w:rPr>
              <w:t>3~</w:t>
            </w:r>
            <w:r>
              <w:rPr>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vAlign w:val="center"/>
          </w:tcPr>
          <w:p>
            <w:pPr>
              <w:spacing w:line="240" w:lineRule="auto"/>
              <w:ind w:firstLine="0" w:firstLineChars="0"/>
              <w:jc w:val="center"/>
              <w:rPr>
                <w:sz w:val="21"/>
                <w:szCs w:val="21"/>
              </w:rPr>
            </w:pPr>
            <w:r>
              <w:rPr>
                <w:rFonts w:hint="eastAsia"/>
                <w:sz w:val="21"/>
                <w:szCs w:val="21"/>
              </w:rPr>
              <w:t>基质（类别）</w:t>
            </w:r>
          </w:p>
        </w:tc>
        <w:tc>
          <w:tcPr>
            <w:tcW w:w="1276" w:type="dxa"/>
            <w:vAlign w:val="center"/>
          </w:tcPr>
          <w:p>
            <w:pPr>
              <w:spacing w:line="240" w:lineRule="auto"/>
              <w:ind w:firstLine="0" w:firstLineChars="0"/>
              <w:jc w:val="center"/>
              <w:rPr>
                <w:sz w:val="21"/>
                <w:szCs w:val="21"/>
              </w:rPr>
            </w:pPr>
            <w:r>
              <w:rPr>
                <w:rFonts w:hint="eastAsia"/>
                <w:sz w:val="21"/>
                <w:szCs w:val="21"/>
              </w:rPr>
              <w:t>基岩</w:t>
            </w:r>
          </w:p>
        </w:tc>
        <w:tc>
          <w:tcPr>
            <w:tcW w:w="1721" w:type="dxa"/>
            <w:vAlign w:val="center"/>
          </w:tcPr>
          <w:p>
            <w:pPr>
              <w:spacing w:line="240" w:lineRule="auto"/>
              <w:ind w:firstLine="0" w:firstLineChars="0"/>
              <w:jc w:val="center"/>
              <w:rPr>
                <w:sz w:val="21"/>
                <w:szCs w:val="21"/>
              </w:rPr>
            </w:pPr>
            <w:r>
              <w:rPr>
                <w:rFonts w:hint="eastAsia"/>
                <w:sz w:val="21"/>
                <w:szCs w:val="21"/>
              </w:rPr>
              <w:t>岩土河岸</w:t>
            </w:r>
          </w:p>
        </w:tc>
        <w:tc>
          <w:tcPr>
            <w:tcW w:w="1659" w:type="dxa"/>
            <w:vAlign w:val="center"/>
          </w:tcPr>
          <w:p>
            <w:pPr>
              <w:spacing w:line="240" w:lineRule="auto"/>
              <w:ind w:firstLine="0" w:firstLineChars="0"/>
              <w:jc w:val="center"/>
              <w:rPr>
                <w:sz w:val="21"/>
                <w:szCs w:val="21"/>
              </w:rPr>
            </w:pPr>
            <w:r>
              <w:rPr>
                <w:rFonts w:hint="eastAsia"/>
                <w:sz w:val="21"/>
                <w:szCs w:val="21"/>
              </w:rPr>
              <w:t>黏土河岸</w:t>
            </w:r>
          </w:p>
        </w:tc>
        <w:tc>
          <w:tcPr>
            <w:tcW w:w="1660" w:type="dxa"/>
            <w:vAlign w:val="center"/>
          </w:tcPr>
          <w:p>
            <w:pPr>
              <w:spacing w:line="240" w:lineRule="auto"/>
              <w:ind w:firstLine="0" w:firstLineChars="0"/>
              <w:jc w:val="center"/>
              <w:rPr>
                <w:sz w:val="21"/>
                <w:szCs w:val="21"/>
              </w:rPr>
            </w:pPr>
            <w:r>
              <w:rPr>
                <w:rFonts w:hint="eastAsia"/>
                <w:sz w:val="21"/>
                <w:szCs w:val="21"/>
              </w:rPr>
              <w:t>非黏土河岸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vAlign w:val="center"/>
          </w:tcPr>
          <w:p>
            <w:pPr>
              <w:spacing w:line="240" w:lineRule="auto"/>
              <w:ind w:firstLine="0" w:firstLineChars="0"/>
              <w:jc w:val="center"/>
              <w:rPr>
                <w:sz w:val="21"/>
                <w:szCs w:val="21"/>
              </w:rPr>
            </w:pPr>
            <w:r>
              <w:rPr>
                <w:rFonts w:hint="eastAsia"/>
                <w:sz w:val="21"/>
                <w:szCs w:val="21"/>
              </w:rPr>
              <w:t>河岸冲刷状况</w:t>
            </w:r>
          </w:p>
        </w:tc>
        <w:tc>
          <w:tcPr>
            <w:tcW w:w="1276" w:type="dxa"/>
            <w:vAlign w:val="center"/>
          </w:tcPr>
          <w:p>
            <w:pPr>
              <w:spacing w:line="240" w:lineRule="auto"/>
              <w:ind w:firstLine="0" w:firstLineChars="0"/>
              <w:jc w:val="center"/>
              <w:rPr>
                <w:sz w:val="21"/>
                <w:szCs w:val="21"/>
              </w:rPr>
            </w:pPr>
            <w:r>
              <w:rPr>
                <w:rFonts w:hint="eastAsia"/>
                <w:sz w:val="21"/>
                <w:szCs w:val="21"/>
              </w:rPr>
              <w:t>无冲刷迹象</w:t>
            </w:r>
          </w:p>
        </w:tc>
        <w:tc>
          <w:tcPr>
            <w:tcW w:w="1721" w:type="dxa"/>
            <w:vAlign w:val="center"/>
          </w:tcPr>
          <w:p>
            <w:pPr>
              <w:spacing w:line="240" w:lineRule="auto"/>
              <w:ind w:firstLine="0" w:firstLineChars="0"/>
              <w:jc w:val="center"/>
              <w:rPr>
                <w:sz w:val="21"/>
                <w:szCs w:val="21"/>
              </w:rPr>
            </w:pPr>
            <w:r>
              <w:rPr>
                <w:rFonts w:hint="eastAsia"/>
                <w:sz w:val="21"/>
                <w:szCs w:val="21"/>
              </w:rPr>
              <w:t>轻度冲刷</w:t>
            </w:r>
          </w:p>
        </w:tc>
        <w:tc>
          <w:tcPr>
            <w:tcW w:w="1659" w:type="dxa"/>
            <w:vAlign w:val="center"/>
          </w:tcPr>
          <w:p>
            <w:pPr>
              <w:spacing w:line="240" w:lineRule="auto"/>
              <w:ind w:firstLine="0" w:firstLineChars="0"/>
              <w:jc w:val="center"/>
              <w:rPr>
                <w:sz w:val="21"/>
                <w:szCs w:val="21"/>
              </w:rPr>
            </w:pPr>
            <w:r>
              <w:rPr>
                <w:rFonts w:hint="eastAsia"/>
                <w:sz w:val="21"/>
                <w:szCs w:val="21"/>
              </w:rPr>
              <w:t>中度冲刷</w:t>
            </w:r>
          </w:p>
        </w:tc>
        <w:tc>
          <w:tcPr>
            <w:tcW w:w="1660" w:type="dxa"/>
            <w:vAlign w:val="center"/>
          </w:tcPr>
          <w:p>
            <w:pPr>
              <w:spacing w:line="240" w:lineRule="auto"/>
              <w:ind w:firstLine="0" w:firstLineChars="0"/>
              <w:jc w:val="center"/>
              <w:rPr>
                <w:sz w:val="21"/>
                <w:szCs w:val="21"/>
              </w:rPr>
            </w:pPr>
            <w:r>
              <w:rPr>
                <w:rFonts w:hint="eastAsia"/>
                <w:sz w:val="21"/>
                <w:szCs w:val="21"/>
              </w:rPr>
              <w:t>重度冲刷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vAlign w:val="center"/>
          </w:tcPr>
          <w:p>
            <w:pPr>
              <w:spacing w:line="240" w:lineRule="auto"/>
              <w:ind w:firstLine="0" w:firstLineChars="0"/>
              <w:jc w:val="center"/>
              <w:rPr>
                <w:sz w:val="21"/>
                <w:szCs w:val="21"/>
              </w:rPr>
            </w:pPr>
            <w:r>
              <w:rPr>
                <w:rFonts w:hint="eastAsia"/>
                <w:sz w:val="21"/>
                <w:szCs w:val="21"/>
              </w:rPr>
              <w:t>总体特征描述</w:t>
            </w:r>
          </w:p>
        </w:tc>
        <w:tc>
          <w:tcPr>
            <w:tcW w:w="1276" w:type="dxa"/>
            <w:vAlign w:val="center"/>
          </w:tcPr>
          <w:p>
            <w:pPr>
              <w:spacing w:line="240" w:lineRule="auto"/>
              <w:ind w:firstLine="0" w:firstLineChars="0"/>
              <w:jc w:val="center"/>
              <w:rPr>
                <w:sz w:val="21"/>
                <w:szCs w:val="21"/>
              </w:rPr>
            </w:pPr>
            <w:r>
              <w:rPr>
                <w:rFonts w:hint="eastAsia"/>
                <w:sz w:val="21"/>
                <w:szCs w:val="21"/>
              </w:rPr>
              <w:t>近期内河岸不会发生变相破坏，无水土流失现象</w:t>
            </w:r>
          </w:p>
        </w:tc>
        <w:tc>
          <w:tcPr>
            <w:tcW w:w="1721" w:type="dxa"/>
            <w:vAlign w:val="center"/>
          </w:tcPr>
          <w:p>
            <w:pPr>
              <w:spacing w:line="240" w:lineRule="auto"/>
              <w:ind w:firstLine="0" w:firstLineChars="0"/>
              <w:jc w:val="center"/>
              <w:rPr>
                <w:sz w:val="21"/>
                <w:szCs w:val="21"/>
              </w:rPr>
            </w:pPr>
            <w:r>
              <w:rPr>
                <w:rFonts w:hint="eastAsia"/>
                <w:sz w:val="21"/>
                <w:szCs w:val="21"/>
              </w:rPr>
              <w:t>河岸有松动发育迹象，有水土流失迹象，但近期不会发生河岸变形和破坏</w:t>
            </w:r>
          </w:p>
        </w:tc>
        <w:tc>
          <w:tcPr>
            <w:tcW w:w="1659" w:type="dxa"/>
            <w:vAlign w:val="center"/>
          </w:tcPr>
          <w:p>
            <w:pPr>
              <w:spacing w:line="240" w:lineRule="auto"/>
              <w:ind w:firstLine="0" w:firstLineChars="0"/>
              <w:jc w:val="center"/>
              <w:rPr>
                <w:sz w:val="21"/>
                <w:szCs w:val="21"/>
              </w:rPr>
            </w:pPr>
            <w:r>
              <w:rPr>
                <w:rFonts w:hint="eastAsia"/>
                <w:sz w:val="21"/>
                <w:szCs w:val="21"/>
              </w:rPr>
              <w:t>河岸松动发育趋势明显，一定条件下可导致河岸变形和破坏，中度水土流失</w:t>
            </w:r>
          </w:p>
        </w:tc>
        <w:tc>
          <w:tcPr>
            <w:tcW w:w="1660" w:type="dxa"/>
            <w:vAlign w:val="center"/>
          </w:tcPr>
          <w:p>
            <w:pPr>
              <w:spacing w:line="240" w:lineRule="auto"/>
              <w:ind w:firstLine="0" w:firstLineChars="0"/>
              <w:jc w:val="center"/>
              <w:rPr>
                <w:sz w:val="21"/>
                <w:szCs w:val="21"/>
              </w:rPr>
            </w:pPr>
            <w:r>
              <w:rPr>
                <w:rFonts w:hint="eastAsia"/>
                <w:sz w:val="21"/>
                <w:szCs w:val="21"/>
              </w:rPr>
              <w:t>河岸水土流失严重，随时可能发生大的变形和破坏，或已发生破坏</w:t>
            </w:r>
          </w:p>
        </w:tc>
      </w:tr>
    </w:tbl>
    <w:p>
      <w:pPr>
        <w:ind w:firstLine="0" w:firstLineChars="0"/>
      </w:pPr>
    </w:p>
    <w:p>
      <w:pPr>
        <w:ind w:firstLine="480"/>
      </w:pPr>
      <w:r>
        <w:rPr>
          <w:rFonts w:hint="eastAsia"/>
        </w:rPr>
        <w:t>（2）河流纵向连通指数</w:t>
      </w:r>
    </w:p>
    <w:p>
      <w:pPr>
        <w:ind w:firstLine="480"/>
      </w:pPr>
      <w:r>
        <w:rPr>
          <w:rFonts w:hint="eastAsia"/>
        </w:rPr>
        <w:t>河流纵向连通性指数。根据单位河长内影响河流连通性的建筑物或设施数量进行评估，有过鱼设施的不在统计范围之列。</w:t>
      </w:r>
    </w:p>
    <w:p>
      <w:pPr>
        <w:pStyle w:val="58"/>
        <w:rPr>
          <w:color w:val="auto"/>
        </w:rPr>
      </w:pPr>
      <w:bookmarkStart w:id="89" w:name="_Ref80717433"/>
      <w:r>
        <w:rPr>
          <w:rFonts w:hint="eastAsia"/>
          <w:color w:val="auto"/>
        </w:rPr>
        <w:t>表</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3.1</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5</w:t>
      </w:r>
      <w:r>
        <w:rPr>
          <w:color w:val="auto"/>
        </w:rPr>
        <w:fldChar w:fldCharType="end"/>
      </w:r>
      <w:bookmarkEnd w:id="89"/>
      <w:r>
        <w:rPr>
          <w:rFonts w:hint="eastAsia"/>
          <w:color w:val="auto"/>
        </w:rPr>
        <w:t>河流纵向连通指数评估赋分标准表</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05"/>
        <w:gridCol w:w="1134"/>
        <w:gridCol w:w="992"/>
        <w:gridCol w:w="993"/>
        <w:gridCol w:w="1134"/>
        <w:gridCol w:w="850"/>
        <w:gridCol w:w="7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05" w:type="dxa"/>
            <w:vAlign w:val="center"/>
          </w:tcPr>
          <w:p>
            <w:pPr>
              <w:spacing w:line="240" w:lineRule="auto"/>
              <w:ind w:firstLine="0" w:firstLineChars="0"/>
              <w:jc w:val="center"/>
              <w:rPr>
                <w:sz w:val="21"/>
                <w:szCs w:val="21"/>
              </w:rPr>
            </w:pPr>
            <w:r>
              <w:rPr>
                <w:rFonts w:hint="eastAsia"/>
                <w:sz w:val="21"/>
                <w:szCs w:val="21"/>
              </w:rPr>
              <w:t>河流纵向连通性指数（单位：≥个/</w:t>
            </w:r>
            <w:r>
              <w:rPr>
                <w:sz w:val="21"/>
                <w:szCs w:val="21"/>
              </w:rPr>
              <w:t>100</w:t>
            </w:r>
            <w:r>
              <w:rPr>
                <w:rFonts w:hint="eastAsia"/>
                <w:sz w:val="21"/>
                <w:szCs w:val="21"/>
              </w:rPr>
              <w:t>km）</w:t>
            </w:r>
          </w:p>
        </w:tc>
        <w:tc>
          <w:tcPr>
            <w:tcW w:w="1134" w:type="dxa"/>
            <w:vAlign w:val="center"/>
          </w:tcPr>
          <w:p>
            <w:pPr>
              <w:spacing w:line="240" w:lineRule="auto"/>
              <w:ind w:firstLine="0" w:firstLineChars="0"/>
              <w:jc w:val="center"/>
              <w:rPr>
                <w:sz w:val="21"/>
                <w:szCs w:val="21"/>
              </w:rPr>
            </w:pPr>
            <w:r>
              <w:rPr>
                <w:sz w:val="21"/>
                <w:szCs w:val="21"/>
              </w:rPr>
              <w:t>1.2</w:t>
            </w:r>
          </w:p>
        </w:tc>
        <w:tc>
          <w:tcPr>
            <w:tcW w:w="992" w:type="dxa"/>
            <w:vAlign w:val="center"/>
          </w:tcPr>
          <w:p>
            <w:pPr>
              <w:spacing w:line="240" w:lineRule="auto"/>
              <w:ind w:firstLine="0" w:firstLineChars="0"/>
              <w:jc w:val="center"/>
              <w:rPr>
                <w:sz w:val="21"/>
                <w:szCs w:val="21"/>
              </w:rPr>
            </w:pPr>
            <w:r>
              <w:rPr>
                <w:rFonts w:hint="eastAsia"/>
                <w:sz w:val="21"/>
                <w:szCs w:val="21"/>
              </w:rPr>
              <w:t>1~</w:t>
            </w:r>
            <w:r>
              <w:rPr>
                <w:sz w:val="21"/>
                <w:szCs w:val="21"/>
              </w:rPr>
              <w:t>1.2</w:t>
            </w:r>
          </w:p>
        </w:tc>
        <w:tc>
          <w:tcPr>
            <w:tcW w:w="993" w:type="dxa"/>
            <w:vAlign w:val="center"/>
          </w:tcPr>
          <w:p>
            <w:pPr>
              <w:spacing w:line="240" w:lineRule="auto"/>
              <w:ind w:firstLine="0" w:firstLineChars="0"/>
              <w:jc w:val="center"/>
              <w:rPr>
                <w:sz w:val="21"/>
                <w:szCs w:val="21"/>
              </w:rPr>
            </w:pPr>
            <w:r>
              <w:rPr>
                <w:rFonts w:hint="eastAsia"/>
                <w:sz w:val="21"/>
                <w:szCs w:val="21"/>
              </w:rPr>
              <w:t>0</w:t>
            </w:r>
            <w:r>
              <w:rPr>
                <w:sz w:val="21"/>
                <w:szCs w:val="21"/>
              </w:rPr>
              <w:t>.5</w:t>
            </w:r>
            <w:r>
              <w:rPr>
                <w:rFonts w:hint="eastAsia"/>
                <w:sz w:val="21"/>
                <w:szCs w:val="21"/>
              </w:rPr>
              <w:t>~</w:t>
            </w:r>
            <w:r>
              <w:rPr>
                <w:sz w:val="21"/>
                <w:szCs w:val="21"/>
              </w:rPr>
              <w:t>1</w:t>
            </w:r>
          </w:p>
        </w:tc>
        <w:tc>
          <w:tcPr>
            <w:tcW w:w="1134" w:type="dxa"/>
            <w:vAlign w:val="center"/>
          </w:tcPr>
          <w:p>
            <w:pPr>
              <w:spacing w:line="240" w:lineRule="auto"/>
              <w:ind w:firstLine="0" w:firstLineChars="0"/>
              <w:jc w:val="center"/>
              <w:rPr>
                <w:sz w:val="21"/>
                <w:szCs w:val="21"/>
              </w:rPr>
            </w:pPr>
            <w:r>
              <w:rPr>
                <w:rFonts w:hint="eastAsia"/>
                <w:sz w:val="21"/>
                <w:szCs w:val="21"/>
              </w:rPr>
              <w:t>0</w:t>
            </w:r>
            <w:r>
              <w:rPr>
                <w:sz w:val="21"/>
                <w:szCs w:val="21"/>
              </w:rPr>
              <w:t>.25</w:t>
            </w:r>
            <w:r>
              <w:rPr>
                <w:rFonts w:hint="eastAsia"/>
                <w:sz w:val="21"/>
                <w:szCs w:val="21"/>
              </w:rPr>
              <w:t>~</w:t>
            </w:r>
            <w:r>
              <w:rPr>
                <w:sz w:val="21"/>
                <w:szCs w:val="21"/>
              </w:rPr>
              <w:t>0.5</w:t>
            </w:r>
          </w:p>
        </w:tc>
        <w:tc>
          <w:tcPr>
            <w:tcW w:w="850" w:type="dxa"/>
            <w:vAlign w:val="center"/>
          </w:tcPr>
          <w:p>
            <w:pPr>
              <w:spacing w:line="240" w:lineRule="auto"/>
              <w:ind w:firstLine="0" w:firstLineChars="0"/>
              <w:jc w:val="center"/>
              <w:rPr>
                <w:sz w:val="21"/>
                <w:szCs w:val="21"/>
              </w:rPr>
            </w:pPr>
            <w:r>
              <w:rPr>
                <w:rFonts w:hint="eastAsia"/>
                <w:sz w:val="21"/>
                <w:szCs w:val="21"/>
              </w:rPr>
              <w:t>≤</w:t>
            </w:r>
            <w:r>
              <w:rPr>
                <w:sz w:val="21"/>
                <w:szCs w:val="21"/>
              </w:rPr>
              <w:t>0.25</w:t>
            </w:r>
          </w:p>
        </w:tc>
        <w:tc>
          <w:tcPr>
            <w:tcW w:w="788" w:type="dxa"/>
            <w:vAlign w:val="center"/>
          </w:tcPr>
          <w:p>
            <w:pPr>
              <w:spacing w:line="240" w:lineRule="auto"/>
              <w:ind w:firstLine="0" w:firstLineChars="0"/>
              <w:jc w:val="center"/>
              <w:rPr>
                <w:sz w:val="21"/>
                <w:szCs w:val="21"/>
              </w:rPr>
            </w:pPr>
            <w:r>
              <w:rPr>
                <w:rFonts w:hint="eastAsia"/>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spacing w:line="240" w:lineRule="auto"/>
              <w:ind w:firstLine="0" w:firstLineChars="0"/>
              <w:jc w:val="center"/>
              <w:rPr>
                <w:sz w:val="21"/>
                <w:szCs w:val="21"/>
              </w:rPr>
            </w:pPr>
            <w:r>
              <w:rPr>
                <w:rFonts w:hint="eastAsia"/>
                <w:sz w:val="21"/>
                <w:szCs w:val="21"/>
              </w:rPr>
              <w:t>赋分</w:t>
            </w:r>
          </w:p>
        </w:tc>
        <w:tc>
          <w:tcPr>
            <w:tcW w:w="1134" w:type="dxa"/>
            <w:vAlign w:val="center"/>
          </w:tcPr>
          <w:p>
            <w:pPr>
              <w:spacing w:line="240" w:lineRule="auto"/>
              <w:ind w:firstLine="0" w:firstLineChars="0"/>
              <w:jc w:val="center"/>
              <w:rPr>
                <w:sz w:val="21"/>
                <w:szCs w:val="21"/>
              </w:rPr>
            </w:pPr>
            <w:r>
              <w:rPr>
                <w:rFonts w:hint="eastAsia"/>
                <w:sz w:val="21"/>
                <w:szCs w:val="21"/>
              </w:rPr>
              <w:t>0</w:t>
            </w:r>
          </w:p>
        </w:tc>
        <w:tc>
          <w:tcPr>
            <w:tcW w:w="992" w:type="dxa"/>
            <w:vAlign w:val="center"/>
          </w:tcPr>
          <w:p>
            <w:pPr>
              <w:spacing w:line="240" w:lineRule="auto"/>
              <w:ind w:firstLine="0" w:firstLineChars="0"/>
              <w:jc w:val="center"/>
              <w:rPr>
                <w:sz w:val="21"/>
                <w:szCs w:val="21"/>
              </w:rPr>
            </w:pPr>
            <w:r>
              <w:rPr>
                <w:rFonts w:hint="eastAsia"/>
                <w:sz w:val="21"/>
                <w:szCs w:val="21"/>
              </w:rPr>
              <w:t>2</w:t>
            </w:r>
            <w:r>
              <w:rPr>
                <w:sz w:val="21"/>
                <w:szCs w:val="21"/>
              </w:rPr>
              <w:t>0</w:t>
            </w:r>
          </w:p>
        </w:tc>
        <w:tc>
          <w:tcPr>
            <w:tcW w:w="993" w:type="dxa"/>
            <w:vAlign w:val="center"/>
          </w:tcPr>
          <w:p>
            <w:pPr>
              <w:spacing w:line="240" w:lineRule="auto"/>
              <w:ind w:firstLine="0" w:firstLineChars="0"/>
              <w:jc w:val="center"/>
              <w:rPr>
                <w:sz w:val="21"/>
                <w:szCs w:val="21"/>
              </w:rPr>
            </w:pPr>
            <w:r>
              <w:rPr>
                <w:rFonts w:hint="eastAsia"/>
                <w:sz w:val="21"/>
                <w:szCs w:val="21"/>
              </w:rPr>
              <w:t>4</w:t>
            </w:r>
            <w:r>
              <w:rPr>
                <w:sz w:val="21"/>
                <w:szCs w:val="21"/>
              </w:rPr>
              <w:t>0</w:t>
            </w:r>
          </w:p>
        </w:tc>
        <w:tc>
          <w:tcPr>
            <w:tcW w:w="1134" w:type="dxa"/>
            <w:vAlign w:val="center"/>
          </w:tcPr>
          <w:p>
            <w:pPr>
              <w:spacing w:line="240" w:lineRule="auto"/>
              <w:ind w:firstLine="0" w:firstLineChars="0"/>
              <w:jc w:val="center"/>
              <w:rPr>
                <w:sz w:val="21"/>
                <w:szCs w:val="21"/>
              </w:rPr>
            </w:pPr>
            <w:r>
              <w:rPr>
                <w:rFonts w:hint="eastAsia"/>
                <w:sz w:val="21"/>
                <w:szCs w:val="21"/>
              </w:rPr>
              <w:t>6</w:t>
            </w:r>
            <w:r>
              <w:rPr>
                <w:sz w:val="21"/>
                <w:szCs w:val="21"/>
              </w:rPr>
              <w:t>0</w:t>
            </w:r>
          </w:p>
        </w:tc>
        <w:tc>
          <w:tcPr>
            <w:tcW w:w="850" w:type="dxa"/>
            <w:vAlign w:val="center"/>
          </w:tcPr>
          <w:p>
            <w:pPr>
              <w:spacing w:line="240" w:lineRule="auto"/>
              <w:ind w:firstLine="0" w:firstLineChars="0"/>
              <w:jc w:val="center"/>
              <w:rPr>
                <w:sz w:val="21"/>
                <w:szCs w:val="21"/>
              </w:rPr>
            </w:pPr>
            <w:r>
              <w:rPr>
                <w:rFonts w:hint="eastAsia"/>
                <w:sz w:val="21"/>
                <w:szCs w:val="21"/>
              </w:rPr>
              <w:t>8</w:t>
            </w:r>
            <w:r>
              <w:rPr>
                <w:sz w:val="21"/>
                <w:szCs w:val="21"/>
              </w:rPr>
              <w:t>0</w:t>
            </w:r>
          </w:p>
        </w:tc>
        <w:tc>
          <w:tcPr>
            <w:tcW w:w="788" w:type="dxa"/>
            <w:vAlign w:val="center"/>
          </w:tcPr>
          <w:p>
            <w:pPr>
              <w:spacing w:line="240" w:lineRule="auto"/>
              <w:ind w:firstLine="0" w:firstLineChars="0"/>
              <w:jc w:val="center"/>
              <w:rPr>
                <w:sz w:val="21"/>
                <w:szCs w:val="21"/>
              </w:rPr>
            </w:pPr>
            <w:r>
              <w:rPr>
                <w:rFonts w:hint="eastAsia"/>
                <w:sz w:val="21"/>
                <w:szCs w:val="21"/>
              </w:rPr>
              <w:t>1</w:t>
            </w:r>
            <w:r>
              <w:rPr>
                <w:sz w:val="21"/>
                <w:szCs w:val="21"/>
              </w:rPr>
              <w:t>00</w:t>
            </w:r>
          </w:p>
        </w:tc>
      </w:tr>
    </w:tbl>
    <w:p>
      <w:pPr>
        <w:ind w:firstLine="482"/>
        <w:rPr>
          <w:b/>
        </w:rPr>
      </w:pPr>
    </w:p>
    <w:p>
      <w:pPr>
        <w:ind w:firstLine="482"/>
        <w:rPr>
          <w:b/>
        </w:rPr>
      </w:pPr>
      <w:r>
        <w:rPr>
          <w:rFonts w:hint="eastAsia"/>
          <w:b/>
        </w:rPr>
        <w:t>3、水质</w:t>
      </w:r>
    </w:p>
    <w:p>
      <w:pPr>
        <w:ind w:firstLine="480"/>
      </w:pPr>
      <w:r>
        <w:rPr>
          <w:rFonts w:hint="eastAsia"/>
        </w:rPr>
        <w:t>（1）水体整洁程度</w:t>
      </w:r>
    </w:p>
    <w:p>
      <w:pPr>
        <w:ind w:firstLine="480"/>
      </w:pPr>
      <w:r>
        <w:rPr>
          <w:rFonts w:hint="eastAsia"/>
        </w:rPr>
        <w:t>水体整洁程度根据河湖水域感官状况评估。</w:t>
      </w:r>
    </w:p>
    <w:p>
      <w:pPr>
        <w:ind w:firstLine="480"/>
      </w:pPr>
      <w:r>
        <w:rPr>
          <w:rFonts w:hint="eastAsia"/>
        </w:rPr>
        <w:t>水体整洁程度赋分标准见</w:t>
      </w:r>
      <w:r>
        <w:fldChar w:fldCharType="begin"/>
      </w:r>
      <w:r>
        <w:instrText xml:space="preserve"> </w:instrText>
      </w:r>
      <w:r>
        <w:rPr>
          <w:rFonts w:hint="eastAsia"/>
        </w:rPr>
        <w:instrText xml:space="preserve">REF _Ref80716763 \h</w:instrText>
      </w:r>
      <w:r>
        <w:instrText xml:space="preserve"> </w:instrText>
      </w:r>
      <w:r>
        <w:fldChar w:fldCharType="separate"/>
      </w:r>
      <w:r>
        <w:rPr>
          <w:rFonts w:hint="eastAsia"/>
        </w:rPr>
        <w:t>表</w:t>
      </w:r>
      <w:r>
        <w:t>3.1</w:t>
      </w:r>
      <w:r>
        <w:noBreakHyphen/>
      </w:r>
      <w:r>
        <w:t>6</w:t>
      </w:r>
      <w:r>
        <w:fldChar w:fldCharType="end"/>
      </w:r>
      <w:r>
        <w:rPr>
          <w:rFonts w:hint="eastAsia"/>
        </w:rPr>
        <w:t>，根据嗅和味、漂浮废弃物中最差状况确定最终得分。</w:t>
      </w:r>
    </w:p>
    <w:p>
      <w:pPr>
        <w:pStyle w:val="58"/>
        <w:rPr>
          <w:color w:val="auto"/>
        </w:rPr>
      </w:pPr>
      <w:bookmarkStart w:id="90" w:name="_Ref80716763"/>
      <w:r>
        <w:rPr>
          <w:rFonts w:hint="eastAsia"/>
          <w:color w:val="auto"/>
        </w:rPr>
        <w:t>表</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3.1</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6</w:t>
      </w:r>
      <w:r>
        <w:rPr>
          <w:color w:val="auto"/>
        </w:rPr>
        <w:fldChar w:fldCharType="end"/>
      </w:r>
      <w:bookmarkEnd w:id="90"/>
      <w:r>
        <w:rPr>
          <w:rFonts w:hint="eastAsia"/>
          <w:color w:val="auto"/>
        </w:rPr>
        <w:t>水体整洁程度评估赋分标准表</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2"/>
        <w:gridCol w:w="1382"/>
        <w:gridCol w:w="1383"/>
        <w:gridCol w:w="1383"/>
        <w:gridCol w:w="1383"/>
        <w:gridCol w:w="1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vAlign w:val="center"/>
          </w:tcPr>
          <w:p>
            <w:pPr>
              <w:spacing w:line="240" w:lineRule="auto"/>
              <w:ind w:firstLine="0" w:firstLineChars="0"/>
              <w:jc w:val="center"/>
              <w:rPr>
                <w:sz w:val="21"/>
                <w:szCs w:val="21"/>
              </w:rPr>
            </w:pPr>
            <w:r>
              <w:rPr>
                <w:rFonts w:hint="eastAsia"/>
                <w:sz w:val="21"/>
                <w:szCs w:val="21"/>
              </w:rPr>
              <w:t>感官指标</w:t>
            </w:r>
          </w:p>
        </w:tc>
        <w:tc>
          <w:tcPr>
            <w:tcW w:w="1382" w:type="dxa"/>
            <w:vAlign w:val="center"/>
          </w:tcPr>
          <w:p>
            <w:pPr>
              <w:spacing w:line="240" w:lineRule="auto"/>
              <w:ind w:firstLine="0" w:firstLineChars="0"/>
              <w:jc w:val="center"/>
              <w:rPr>
                <w:sz w:val="21"/>
                <w:szCs w:val="21"/>
              </w:rPr>
            </w:pPr>
            <w:r>
              <w:rPr>
                <w:rFonts w:hint="eastAsia"/>
                <w:sz w:val="21"/>
                <w:szCs w:val="21"/>
              </w:rPr>
              <w:t>优</w:t>
            </w:r>
          </w:p>
        </w:tc>
        <w:tc>
          <w:tcPr>
            <w:tcW w:w="1383" w:type="dxa"/>
            <w:vAlign w:val="center"/>
          </w:tcPr>
          <w:p>
            <w:pPr>
              <w:spacing w:line="240" w:lineRule="auto"/>
              <w:ind w:firstLine="0" w:firstLineChars="0"/>
              <w:jc w:val="center"/>
              <w:rPr>
                <w:sz w:val="21"/>
                <w:szCs w:val="21"/>
              </w:rPr>
            </w:pPr>
            <w:r>
              <w:rPr>
                <w:rFonts w:hint="eastAsia"/>
                <w:sz w:val="21"/>
                <w:szCs w:val="21"/>
              </w:rPr>
              <w:t>良</w:t>
            </w:r>
          </w:p>
        </w:tc>
        <w:tc>
          <w:tcPr>
            <w:tcW w:w="1383" w:type="dxa"/>
            <w:vAlign w:val="center"/>
          </w:tcPr>
          <w:p>
            <w:pPr>
              <w:spacing w:line="240" w:lineRule="auto"/>
              <w:ind w:firstLine="0" w:firstLineChars="0"/>
              <w:jc w:val="center"/>
              <w:rPr>
                <w:sz w:val="21"/>
                <w:szCs w:val="21"/>
              </w:rPr>
            </w:pPr>
            <w:r>
              <w:rPr>
                <w:rFonts w:hint="eastAsia"/>
                <w:sz w:val="21"/>
                <w:szCs w:val="21"/>
              </w:rPr>
              <w:t>中</w:t>
            </w:r>
          </w:p>
        </w:tc>
        <w:tc>
          <w:tcPr>
            <w:tcW w:w="1383" w:type="dxa"/>
            <w:vAlign w:val="center"/>
          </w:tcPr>
          <w:p>
            <w:pPr>
              <w:spacing w:line="240" w:lineRule="auto"/>
              <w:ind w:firstLine="0" w:firstLineChars="0"/>
              <w:jc w:val="center"/>
              <w:rPr>
                <w:sz w:val="21"/>
                <w:szCs w:val="21"/>
              </w:rPr>
            </w:pPr>
            <w:r>
              <w:rPr>
                <w:rFonts w:hint="eastAsia"/>
                <w:sz w:val="21"/>
                <w:szCs w:val="21"/>
              </w:rPr>
              <w:t>差</w:t>
            </w:r>
          </w:p>
        </w:tc>
        <w:tc>
          <w:tcPr>
            <w:tcW w:w="1383" w:type="dxa"/>
            <w:vAlign w:val="center"/>
          </w:tcPr>
          <w:p>
            <w:pPr>
              <w:spacing w:line="240" w:lineRule="auto"/>
              <w:ind w:firstLine="0" w:firstLineChars="0"/>
              <w:jc w:val="center"/>
              <w:rPr>
                <w:sz w:val="21"/>
                <w:szCs w:val="21"/>
              </w:rPr>
            </w:pPr>
            <w:r>
              <w:rPr>
                <w:rFonts w:hint="eastAsia"/>
                <w:sz w:val="21"/>
                <w:szCs w:val="21"/>
              </w:rPr>
              <w:t>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vAlign w:val="center"/>
          </w:tcPr>
          <w:p>
            <w:pPr>
              <w:spacing w:line="240" w:lineRule="auto"/>
              <w:ind w:firstLine="0" w:firstLineChars="0"/>
              <w:jc w:val="center"/>
              <w:rPr>
                <w:sz w:val="21"/>
                <w:szCs w:val="21"/>
              </w:rPr>
            </w:pPr>
            <w:r>
              <w:rPr>
                <w:rFonts w:hint="eastAsia"/>
                <w:sz w:val="21"/>
                <w:szCs w:val="21"/>
              </w:rPr>
              <w:t>嗅和味</w:t>
            </w:r>
          </w:p>
        </w:tc>
        <w:tc>
          <w:tcPr>
            <w:tcW w:w="1382" w:type="dxa"/>
            <w:vAlign w:val="center"/>
          </w:tcPr>
          <w:p>
            <w:pPr>
              <w:spacing w:line="240" w:lineRule="auto"/>
              <w:ind w:firstLine="0" w:firstLineChars="0"/>
              <w:jc w:val="center"/>
              <w:rPr>
                <w:sz w:val="21"/>
                <w:szCs w:val="21"/>
              </w:rPr>
            </w:pPr>
            <w:r>
              <w:rPr>
                <w:rFonts w:hint="eastAsia"/>
                <w:sz w:val="21"/>
                <w:szCs w:val="21"/>
              </w:rPr>
              <w:t>无任何异味</w:t>
            </w:r>
          </w:p>
        </w:tc>
        <w:tc>
          <w:tcPr>
            <w:tcW w:w="1383" w:type="dxa"/>
            <w:vAlign w:val="center"/>
          </w:tcPr>
          <w:p>
            <w:pPr>
              <w:spacing w:line="240" w:lineRule="auto"/>
              <w:ind w:firstLine="0" w:firstLineChars="0"/>
              <w:jc w:val="center"/>
              <w:rPr>
                <w:sz w:val="21"/>
                <w:szCs w:val="21"/>
              </w:rPr>
            </w:pPr>
            <w:r>
              <w:rPr>
                <w:rFonts w:hint="eastAsia"/>
                <w:sz w:val="21"/>
                <w:szCs w:val="21"/>
              </w:rPr>
              <w:t>仅敏感者可以感觉</w:t>
            </w:r>
          </w:p>
        </w:tc>
        <w:tc>
          <w:tcPr>
            <w:tcW w:w="1383" w:type="dxa"/>
            <w:vAlign w:val="center"/>
          </w:tcPr>
          <w:p>
            <w:pPr>
              <w:spacing w:line="240" w:lineRule="auto"/>
              <w:ind w:firstLine="0" w:firstLineChars="0"/>
              <w:jc w:val="center"/>
              <w:rPr>
                <w:sz w:val="21"/>
                <w:szCs w:val="21"/>
              </w:rPr>
            </w:pPr>
            <w:r>
              <w:rPr>
                <w:rFonts w:hint="eastAsia"/>
                <w:sz w:val="21"/>
                <w:szCs w:val="21"/>
              </w:rPr>
              <w:t>多数人可以轻微感觉</w:t>
            </w:r>
          </w:p>
        </w:tc>
        <w:tc>
          <w:tcPr>
            <w:tcW w:w="1383" w:type="dxa"/>
            <w:vAlign w:val="center"/>
          </w:tcPr>
          <w:p>
            <w:pPr>
              <w:spacing w:line="240" w:lineRule="auto"/>
              <w:ind w:firstLine="0" w:firstLineChars="0"/>
              <w:jc w:val="center"/>
              <w:rPr>
                <w:sz w:val="21"/>
                <w:szCs w:val="21"/>
              </w:rPr>
            </w:pPr>
            <w:r>
              <w:rPr>
                <w:rFonts w:hint="eastAsia"/>
                <w:sz w:val="21"/>
                <w:szCs w:val="21"/>
              </w:rPr>
              <w:t>已能明显感觉</w:t>
            </w:r>
          </w:p>
        </w:tc>
        <w:tc>
          <w:tcPr>
            <w:tcW w:w="1383" w:type="dxa"/>
            <w:vAlign w:val="center"/>
          </w:tcPr>
          <w:p>
            <w:pPr>
              <w:spacing w:line="240" w:lineRule="auto"/>
              <w:ind w:firstLine="0" w:firstLineChars="0"/>
              <w:jc w:val="center"/>
              <w:rPr>
                <w:sz w:val="21"/>
                <w:szCs w:val="21"/>
              </w:rPr>
            </w:pPr>
            <w:r>
              <w:rPr>
                <w:rFonts w:hint="eastAsia"/>
                <w:sz w:val="21"/>
                <w:szCs w:val="21"/>
              </w:rPr>
              <w:t>有很显著的异味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vAlign w:val="center"/>
          </w:tcPr>
          <w:p>
            <w:pPr>
              <w:spacing w:line="240" w:lineRule="auto"/>
              <w:ind w:firstLine="0" w:firstLineChars="0"/>
              <w:jc w:val="center"/>
              <w:rPr>
                <w:sz w:val="21"/>
                <w:szCs w:val="21"/>
              </w:rPr>
            </w:pPr>
            <w:r>
              <w:rPr>
                <w:rFonts w:hint="eastAsia"/>
                <w:sz w:val="21"/>
                <w:szCs w:val="21"/>
              </w:rPr>
              <w:t>漂浮废弃物</w:t>
            </w:r>
          </w:p>
        </w:tc>
        <w:tc>
          <w:tcPr>
            <w:tcW w:w="1382" w:type="dxa"/>
            <w:vAlign w:val="center"/>
          </w:tcPr>
          <w:p>
            <w:pPr>
              <w:spacing w:line="240" w:lineRule="auto"/>
              <w:ind w:firstLine="0" w:firstLineChars="0"/>
              <w:jc w:val="center"/>
              <w:rPr>
                <w:sz w:val="21"/>
                <w:szCs w:val="21"/>
              </w:rPr>
            </w:pPr>
            <w:r>
              <w:rPr>
                <w:rFonts w:hint="eastAsia"/>
                <w:sz w:val="21"/>
                <w:szCs w:val="21"/>
              </w:rPr>
              <w:t>无漂浮废弃物</w:t>
            </w:r>
          </w:p>
        </w:tc>
        <w:tc>
          <w:tcPr>
            <w:tcW w:w="1383" w:type="dxa"/>
            <w:vAlign w:val="center"/>
          </w:tcPr>
          <w:p>
            <w:pPr>
              <w:spacing w:line="240" w:lineRule="auto"/>
              <w:ind w:firstLine="0" w:firstLineChars="0"/>
              <w:jc w:val="center"/>
              <w:rPr>
                <w:sz w:val="21"/>
                <w:szCs w:val="21"/>
              </w:rPr>
            </w:pPr>
            <w:r>
              <w:rPr>
                <w:rFonts w:hint="eastAsia"/>
                <w:sz w:val="21"/>
                <w:szCs w:val="21"/>
              </w:rPr>
              <w:t>有极少量的漂浮废弃物</w:t>
            </w:r>
          </w:p>
        </w:tc>
        <w:tc>
          <w:tcPr>
            <w:tcW w:w="1383" w:type="dxa"/>
            <w:vAlign w:val="center"/>
          </w:tcPr>
          <w:p>
            <w:pPr>
              <w:spacing w:line="240" w:lineRule="auto"/>
              <w:ind w:firstLine="0" w:firstLineChars="0"/>
              <w:jc w:val="center"/>
              <w:rPr>
                <w:sz w:val="21"/>
                <w:szCs w:val="21"/>
              </w:rPr>
            </w:pPr>
            <w:r>
              <w:rPr>
                <w:rFonts w:hint="eastAsia"/>
                <w:sz w:val="21"/>
                <w:szCs w:val="21"/>
              </w:rPr>
              <w:t>有少量的漂浮废弃物</w:t>
            </w:r>
          </w:p>
        </w:tc>
        <w:tc>
          <w:tcPr>
            <w:tcW w:w="1383" w:type="dxa"/>
            <w:vAlign w:val="center"/>
          </w:tcPr>
          <w:p>
            <w:pPr>
              <w:spacing w:line="240" w:lineRule="auto"/>
              <w:ind w:firstLine="0" w:firstLineChars="0"/>
              <w:jc w:val="center"/>
              <w:rPr>
                <w:sz w:val="21"/>
                <w:szCs w:val="21"/>
              </w:rPr>
            </w:pPr>
            <w:r>
              <w:rPr>
                <w:rFonts w:hint="eastAsia"/>
                <w:sz w:val="21"/>
                <w:szCs w:val="21"/>
              </w:rPr>
              <w:t>有较多的漂浮废弃物</w:t>
            </w:r>
          </w:p>
        </w:tc>
        <w:tc>
          <w:tcPr>
            <w:tcW w:w="1383" w:type="dxa"/>
            <w:vAlign w:val="center"/>
          </w:tcPr>
          <w:p>
            <w:pPr>
              <w:spacing w:line="240" w:lineRule="auto"/>
              <w:ind w:firstLine="0" w:firstLineChars="0"/>
              <w:jc w:val="center"/>
              <w:rPr>
                <w:sz w:val="21"/>
                <w:szCs w:val="21"/>
              </w:rPr>
            </w:pPr>
            <w:r>
              <w:rPr>
                <w:rFonts w:hint="eastAsia"/>
                <w:sz w:val="21"/>
                <w:szCs w:val="21"/>
              </w:rPr>
              <w:t>有大量成片漂浮废弃物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vAlign w:val="center"/>
          </w:tcPr>
          <w:p>
            <w:pPr>
              <w:spacing w:line="240" w:lineRule="auto"/>
              <w:ind w:firstLine="0" w:firstLineChars="0"/>
              <w:jc w:val="center"/>
              <w:rPr>
                <w:sz w:val="21"/>
                <w:szCs w:val="21"/>
              </w:rPr>
            </w:pPr>
            <w:r>
              <w:rPr>
                <w:rFonts w:hint="eastAsia"/>
                <w:sz w:val="21"/>
                <w:szCs w:val="21"/>
              </w:rPr>
              <w:t>赋分</w:t>
            </w:r>
          </w:p>
        </w:tc>
        <w:tc>
          <w:tcPr>
            <w:tcW w:w="1382" w:type="dxa"/>
            <w:vAlign w:val="center"/>
          </w:tcPr>
          <w:p>
            <w:pPr>
              <w:spacing w:line="240" w:lineRule="auto"/>
              <w:ind w:firstLine="0" w:firstLineChars="0"/>
              <w:jc w:val="center"/>
              <w:rPr>
                <w:sz w:val="21"/>
                <w:szCs w:val="21"/>
              </w:rPr>
            </w:pPr>
            <w:r>
              <w:rPr>
                <w:rFonts w:hint="eastAsia"/>
                <w:sz w:val="21"/>
                <w:szCs w:val="21"/>
              </w:rPr>
              <w:t>1</w:t>
            </w:r>
            <w:r>
              <w:rPr>
                <w:sz w:val="21"/>
                <w:szCs w:val="21"/>
              </w:rPr>
              <w:t>00</w:t>
            </w:r>
          </w:p>
        </w:tc>
        <w:tc>
          <w:tcPr>
            <w:tcW w:w="1383" w:type="dxa"/>
            <w:vAlign w:val="center"/>
          </w:tcPr>
          <w:p>
            <w:pPr>
              <w:spacing w:line="240" w:lineRule="auto"/>
              <w:ind w:firstLine="0" w:firstLineChars="0"/>
              <w:jc w:val="center"/>
              <w:rPr>
                <w:sz w:val="21"/>
                <w:szCs w:val="21"/>
              </w:rPr>
            </w:pPr>
            <w:r>
              <w:rPr>
                <w:rFonts w:hint="eastAsia"/>
                <w:sz w:val="21"/>
                <w:szCs w:val="21"/>
              </w:rPr>
              <w:t>8</w:t>
            </w:r>
            <w:r>
              <w:rPr>
                <w:sz w:val="21"/>
                <w:szCs w:val="21"/>
              </w:rPr>
              <w:t>0</w:t>
            </w:r>
          </w:p>
        </w:tc>
        <w:tc>
          <w:tcPr>
            <w:tcW w:w="1383" w:type="dxa"/>
            <w:vAlign w:val="center"/>
          </w:tcPr>
          <w:p>
            <w:pPr>
              <w:spacing w:line="240" w:lineRule="auto"/>
              <w:ind w:firstLine="0" w:firstLineChars="0"/>
              <w:jc w:val="center"/>
              <w:rPr>
                <w:sz w:val="21"/>
                <w:szCs w:val="21"/>
              </w:rPr>
            </w:pPr>
            <w:r>
              <w:rPr>
                <w:rFonts w:hint="eastAsia"/>
                <w:sz w:val="21"/>
                <w:szCs w:val="21"/>
              </w:rPr>
              <w:t>6</w:t>
            </w:r>
            <w:r>
              <w:rPr>
                <w:sz w:val="21"/>
                <w:szCs w:val="21"/>
              </w:rPr>
              <w:t>0</w:t>
            </w:r>
          </w:p>
        </w:tc>
        <w:tc>
          <w:tcPr>
            <w:tcW w:w="1383" w:type="dxa"/>
            <w:vAlign w:val="center"/>
          </w:tcPr>
          <w:p>
            <w:pPr>
              <w:spacing w:line="240" w:lineRule="auto"/>
              <w:ind w:firstLine="0" w:firstLineChars="0"/>
              <w:jc w:val="center"/>
              <w:rPr>
                <w:sz w:val="21"/>
                <w:szCs w:val="21"/>
              </w:rPr>
            </w:pPr>
            <w:r>
              <w:rPr>
                <w:rFonts w:hint="eastAsia"/>
                <w:sz w:val="21"/>
                <w:szCs w:val="21"/>
              </w:rPr>
              <w:t>4</w:t>
            </w:r>
            <w:r>
              <w:rPr>
                <w:sz w:val="21"/>
                <w:szCs w:val="21"/>
              </w:rPr>
              <w:t>0</w:t>
            </w:r>
          </w:p>
        </w:tc>
        <w:tc>
          <w:tcPr>
            <w:tcW w:w="1383" w:type="dxa"/>
            <w:vAlign w:val="center"/>
          </w:tcPr>
          <w:p>
            <w:pPr>
              <w:spacing w:line="240" w:lineRule="auto"/>
              <w:ind w:firstLine="0" w:firstLineChars="0"/>
              <w:jc w:val="center"/>
              <w:rPr>
                <w:sz w:val="21"/>
                <w:szCs w:val="21"/>
              </w:rPr>
            </w:pPr>
            <w:r>
              <w:rPr>
                <w:rFonts w:hint="eastAsia"/>
                <w:sz w:val="21"/>
                <w:szCs w:val="21"/>
              </w:rPr>
              <w:t>0</w:t>
            </w:r>
          </w:p>
        </w:tc>
      </w:tr>
    </w:tbl>
    <w:p>
      <w:pPr>
        <w:ind w:firstLine="0" w:firstLineChars="0"/>
      </w:pPr>
    </w:p>
    <w:p>
      <w:pPr>
        <w:ind w:firstLine="480"/>
      </w:pPr>
      <w:r>
        <w:rPr>
          <w:rFonts w:hint="eastAsia"/>
        </w:rPr>
        <w:t>（2）水质优劣程度</w:t>
      </w:r>
    </w:p>
    <w:p>
      <w:pPr>
        <w:ind w:firstLine="480"/>
      </w:pPr>
      <w:r>
        <w:rPr>
          <w:rFonts w:hint="eastAsia"/>
        </w:rPr>
        <w:t>按照河流水质类别比例赋分。水质类别比例根据《地表水资源质量评价技术规程》(SL395-2007）进行评估，河流按照河长统计。</w:t>
      </w:r>
    </w:p>
    <w:p>
      <w:pPr>
        <w:pStyle w:val="58"/>
        <w:rPr>
          <w:color w:val="auto"/>
        </w:rPr>
      </w:pPr>
      <w:bookmarkStart w:id="91" w:name="_Ref80717516"/>
      <w:r>
        <w:rPr>
          <w:rFonts w:hint="eastAsia"/>
          <w:color w:val="auto"/>
        </w:rPr>
        <w:t>表</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3.1</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7</w:t>
      </w:r>
      <w:r>
        <w:rPr>
          <w:color w:val="auto"/>
        </w:rPr>
        <w:fldChar w:fldCharType="end"/>
      </w:r>
      <w:bookmarkEnd w:id="91"/>
      <w:r>
        <w:rPr>
          <w:rFonts w:hint="eastAsia"/>
          <w:color w:val="auto"/>
        </w:rPr>
        <w:t>水体优劣程度评估赋分标准表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876"/>
        <w:gridCol w:w="1176"/>
        <w:gridCol w:w="1594"/>
        <w:gridCol w:w="1718"/>
        <w:gridCol w:w="1258"/>
        <w:gridCol w:w="11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pPr>
              <w:pStyle w:val="43"/>
            </w:pPr>
            <w:r>
              <w:rPr>
                <w:rFonts w:hint="eastAsia"/>
              </w:rPr>
              <w:t>水质优劣程度</w:t>
            </w:r>
          </w:p>
        </w:tc>
        <w:tc>
          <w:tcPr>
            <w:tcW w:w="514" w:type="pct"/>
            <w:vAlign w:val="center"/>
          </w:tcPr>
          <w:p>
            <w:pPr>
              <w:pStyle w:val="43"/>
            </w:pPr>
            <w:r>
              <w:rPr>
                <w:rFonts w:hint="eastAsia"/>
              </w:rPr>
              <w:t>Ⅰ~Ⅲ类水质比例≥9</w:t>
            </w:r>
            <w:r>
              <w:t>0</w:t>
            </w:r>
            <w:r>
              <w:rPr>
                <w:rFonts w:hint="eastAsia"/>
              </w:rPr>
              <w:t>%</w:t>
            </w:r>
          </w:p>
        </w:tc>
        <w:tc>
          <w:tcPr>
            <w:tcW w:w="690" w:type="pct"/>
            <w:vAlign w:val="center"/>
          </w:tcPr>
          <w:p>
            <w:pPr>
              <w:pStyle w:val="43"/>
            </w:pPr>
            <w:r>
              <w:rPr>
                <w:rFonts w:hint="eastAsia"/>
              </w:rPr>
              <w:t>7</w:t>
            </w:r>
            <w:r>
              <w:t>5</w:t>
            </w:r>
            <w:r>
              <w:rPr>
                <w:rFonts w:hint="eastAsia"/>
              </w:rPr>
              <w:t>%≤Ⅰ~Ⅲ类水质比例&lt;</w:t>
            </w:r>
            <w:r>
              <w:t>90%</w:t>
            </w:r>
          </w:p>
        </w:tc>
        <w:tc>
          <w:tcPr>
            <w:tcW w:w="935" w:type="pct"/>
            <w:vAlign w:val="center"/>
          </w:tcPr>
          <w:p>
            <w:pPr>
              <w:pStyle w:val="43"/>
            </w:pPr>
            <w:r>
              <w:rPr>
                <w:rFonts w:hint="eastAsia"/>
              </w:rPr>
              <w:t>Ⅰ~Ⅲ类水质比例&lt;</w:t>
            </w:r>
            <w:r>
              <w:t>75%</w:t>
            </w:r>
            <w:r>
              <w:rPr>
                <w:rFonts w:hint="eastAsia"/>
              </w:rPr>
              <w:t>，且劣Ⅴ类比例&lt;</w:t>
            </w:r>
            <w:r>
              <w:t>20%</w:t>
            </w:r>
          </w:p>
        </w:tc>
        <w:tc>
          <w:tcPr>
            <w:tcW w:w="1008" w:type="pct"/>
            <w:vAlign w:val="center"/>
          </w:tcPr>
          <w:p>
            <w:pPr>
              <w:pStyle w:val="43"/>
            </w:pPr>
            <w:r>
              <w:rPr>
                <w:rFonts w:hint="eastAsia"/>
              </w:rPr>
              <w:t>Ⅰ~Ⅲ类水质比例&lt;</w:t>
            </w:r>
            <w:r>
              <w:t>75%</w:t>
            </w:r>
            <w:r>
              <w:rPr>
                <w:rFonts w:hint="eastAsia"/>
              </w:rPr>
              <w:t>，且2</w:t>
            </w:r>
            <w:r>
              <w:t>0</w:t>
            </w:r>
            <w:r>
              <w:rPr>
                <w:rFonts w:hint="eastAsia"/>
              </w:rPr>
              <w:t>%≤劣Ⅴ类比例&lt;</w:t>
            </w:r>
            <w:r>
              <w:t>30%</w:t>
            </w:r>
          </w:p>
        </w:tc>
        <w:tc>
          <w:tcPr>
            <w:tcW w:w="738" w:type="pct"/>
            <w:vAlign w:val="center"/>
          </w:tcPr>
          <w:p>
            <w:pPr>
              <w:pStyle w:val="43"/>
            </w:pPr>
            <w:r>
              <w:rPr>
                <w:rFonts w:hint="eastAsia"/>
              </w:rPr>
              <w:t>Ⅰ~Ⅲ类水质比例&lt;</w:t>
            </w:r>
            <w:r>
              <w:t>50%</w:t>
            </w:r>
          </w:p>
        </w:tc>
        <w:tc>
          <w:tcPr>
            <w:tcW w:w="691" w:type="pct"/>
            <w:vAlign w:val="center"/>
          </w:tcPr>
          <w:p>
            <w:pPr>
              <w:pStyle w:val="43"/>
            </w:pPr>
            <w:r>
              <w:rPr>
                <w:rFonts w:hint="eastAsia"/>
              </w:rPr>
              <w:t>Ⅴ~劣Ⅴ类比例&gt;</w:t>
            </w:r>
            <w: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pPr>
              <w:pStyle w:val="43"/>
            </w:pPr>
            <w:r>
              <w:rPr>
                <w:rFonts w:hint="eastAsia"/>
              </w:rPr>
              <w:t>赋分</w:t>
            </w:r>
          </w:p>
        </w:tc>
        <w:tc>
          <w:tcPr>
            <w:tcW w:w="514" w:type="pct"/>
            <w:vAlign w:val="center"/>
          </w:tcPr>
          <w:p>
            <w:pPr>
              <w:pStyle w:val="43"/>
            </w:pPr>
            <w:r>
              <w:rPr>
                <w:rFonts w:hint="eastAsia"/>
              </w:rPr>
              <w:t>1</w:t>
            </w:r>
            <w:r>
              <w:t>00</w:t>
            </w:r>
          </w:p>
        </w:tc>
        <w:tc>
          <w:tcPr>
            <w:tcW w:w="690" w:type="pct"/>
            <w:vAlign w:val="center"/>
          </w:tcPr>
          <w:p>
            <w:pPr>
              <w:pStyle w:val="43"/>
            </w:pPr>
            <w:r>
              <w:rPr>
                <w:rFonts w:hint="eastAsia"/>
              </w:rPr>
              <w:t>8</w:t>
            </w:r>
            <w:r>
              <w:t>0</w:t>
            </w:r>
          </w:p>
        </w:tc>
        <w:tc>
          <w:tcPr>
            <w:tcW w:w="935" w:type="pct"/>
            <w:vAlign w:val="center"/>
          </w:tcPr>
          <w:p>
            <w:pPr>
              <w:pStyle w:val="43"/>
            </w:pPr>
            <w:r>
              <w:rPr>
                <w:rFonts w:hint="eastAsia"/>
              </w:rPr>
              <w:t>6</w:t>
            </w:r>
            <w:r>
              <w:t>0</w:t>
            </w:r>
          </w:p>
        </w:tc>
        <w:tc>
          <w:tcPr>
            <w:tcW w:w="1008" w:type="pct"/>
            <w:vAlign w:val="center"/>
          </w:tcPr>
          <w:p>
            <w:pPr>
              <w:pStyle w:val="43"/>
            </w:pPr>
            <w:r>
              <w:rPr>
                <w:rFonts w:hint="eastAsia"/>
              </w:rPr>
              <w:t>4</w:t>
            </w:r>
            <w:r>
              <w:t>0</w:t>
            </w:r>
          </w:p>
        </w:tc>
        <w:tc>
          <w:tcPr>
            <w:tcW w:w="738" w:type="pct"/>
            <w:vAlign w:val="center"/>
          </w:tcPr>
          <w:p>
            <w:pPr>
              <w:pStyle w:val="43"/>
            </w:pPr>
            <w:r>
              <w:rPr>
                <w:rFonts w:hint="eastAsia"/>
              </w:rPr>
              <w:t>不健康</w:t>
            </w:r>
          </w:p>
        </w:tc>
        <w:tc>
          <w:tcPr>
            <w:tcW w:w="691" w:type="pct"/>
            <w:vAlign w:val="center"/>
          </w:tcPr>
          <w:p>
            <w:pPr>
              <w:pStyle w:val="43"/>
            </w:pPr>
            <w:r>
              <w:rPr>
                <w:rFonts w:hint="eastAsia"/>
              </w:rPr>
              <w:t>劣态</w:t>
            </w:r>
          </w:p>
        </w:tc>
      </w:tr>
    </w:tbl>
    <w:p>
      <w:pPr>
        <w:ind w:firstLine="0" w:firstLineChars="0"/>
      </w:pPr>
    </w:p>
    <w:p>
      <w:pPr>
        <w:ind w:firstLine="480"/>
      </w:pPr>
      <w:r>
        <w:rPr>
          <w:rFonts w:hint="eastAsia"/>
        </w:rPr>
        <w:t>（3）水质变化趋势</w:t>
      </w:r>
    </w:p>
    <w:p>
      <w:pPr>
        <w:ind w:firstLine="480"/>
      </w:pPr>
      <w:r>
        <w:rPr>
          <w:rFonts w:hint="eastAsia"/>
        </w:rPr>
        <w:t>水质变化趋势按近3年或上一年度水质监测资料开展评价，按照水质变化趋势赋分。</w:t>
      </w:r>
    </w:p>
    <w:p>
      <w:pPr>
        <w:pStyle w:val="58"/>
        <w:rPr>
          <w:color w:val="auto"/>
        </w:rPr>
      </w:pPr>
      <w:bookmarkStart w:id="92" w:name="_Ref80717534"/>
      <w:r>
        <w:rPr>
          <w:rFonts w:hint="eastAsia"/>
          <w:color w:val="auto"/>
        </w:rPr>
        <w:t>表</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3.1</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8</w:t>
      </w:r>
      <w:r>
        <w:rPr>
          <w:color w:val="auto"/>
        </w:rPr>
        <w:fldChar w:fldCharType="end"/>
      </w:r>
      <w:bookmarkEnd w:id="92"/>
      <w:r>
        <w:rPr>
          <w:rFonts w:hint="eastAsia"/>
          <w:color w:val="auto"/>
        </w:rPr>
        <w:t>水质变化趋势评估赋分标准表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4"/>
        <w:gridCol w:w="1420"/>
        <w:gridCol w:w="1347"/>
        <w:gridCol w:w="1311"/>
        <w:gridCol w:w="1456"/>
        <w:gridCol w:w="1018"/>
        <w:gridCol w:w="9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5" w:type="pct"/>
            <w:vAlign w:val="center"/>
          </w:tcPr>
          <w:p>
            <w:pPr>
              <w:pStyle w:val="43"/>
            </w:pPr>
            <w:r>
              <w:rPr>
                <w:rFonts w:hint="eastAsia"/>
              </w:rPr>
              <w:t>水质变化趋势</w:t>
            </w:r>
          </w:p>
        </w:tc>
        <w:tc>
          <w:tcPr>
            <w:tcW w:w="833" w:type="pct"/>
            <w:vAlign w:val="center"/>
          </w:tcPr>
          <w:p>
            <w:pPr>
              <w:pStyle w:val="43"/>
            </w:pPr>
            <w:r>
              <w:rPr>
                <w:rFonts w:hint="eastAsia"/>
              </w:rPr>
              <w:t>水质提升2个类别或稳定在Ⅱ类水质（主要水质指标总体向好）</w:t>
            </w:r>
          </w:p>
        </w:tc>
        <w:tc>
          <w:tcPr>
            <w:tcW w:w="790" w:type="pct"/>
            <w:vAlign w:val="center"/>
          </w:tcPr>
          <w:p>
            <w:pPr>
              <w:pStyle w:val="43"/>
            </w:pPr>
            <w:r>
              <w:rPr>
                <w:rFonts w:hint="eastAsia"/>
              </w:rPr>
              <w:t>水质提升1个类别或稳定在Ⅱ类水质（主要水质指标总体稳定）</w:t>
            </w:r>
          </w:p>
        </w:tc>
        <w:tc>
          <w:tcPr>
            <w:tcW w:w="769" w:type="pct"/>
            <w:vAlign w:val="center"/>
          </w:tcPr>
          <w:p>
            <w:pPr>
              <w:pStyle w:val="43"/>
            </w:pPr>
            <w:r>
              <w:rPr>
                <w:rFonts w:hint="eastAsia"/>
              </w:rPr>
              <w:t>水质类别稳定，且主要水质指标总体稳定</w:t>
            </w:r>
          </w:p>
        </w:tc>
        <w:tc>
          <w:tcPr>
            <w:tcW w:w="854" w:type="pct"/>
            <w:vAlign w:val="center"/>
          </w:tcPr>
          <w:p>
            <w:pPr>
              <w:pStyle w:val="43"/>
            </w:pPr>
            <w:r>
              <w:rPr>
                <w:rFonts w:hint="eastAsia"/>
              </w:rPr>
              <w:t>水质类别稳定，但主要水质指标总体下降</w:t>
            </w:r>
          </w:p>
        </w:tc>
        <w:tc>
          <w:tcPr>
            <w:tcW w:w="597" w:type="pct"/>
            <w:vAlign w:val="center"/>
          </w:tcPr>
          <w:p>
            <w:pPr>
              <w:pStyle w:val="43"/>
            </w:pPr>
            <w:r>
              <w:rPr>
                <w:rFonts w:hint="eastAsia"/>
              </w:rPr>
              <w:t>水质下降1个类别</w:t>
            </w:r>
          </w:p>
        </w:tc>
        <w:tc>
          <w:tcPr>
            <w:tcW w:w="561" w:type="pct"/>
            <w:vAlign w:val="center"/>
          </w:tcPr>
          <w:p>
            <w:pPr>
              <w:pStyle w:val="43"/>
            </w:pPr>
            <w:r>
              <w:rPr>
                <w:rFonts w:hint="eastAsia"/>
              </w:rPr>
              <w:t>水质下降2个类别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5" w:type="pct"/>
            <w:vAlign w:val="center"/>
          </w:tcPr>
          <w:p>
            <w:pPr>
              <w:pStyle w:val="43"/>
            </w:pPr>
            <w:r>
              <w:rPr>
                <w:rFonts w:hint="eastAsia"/>
              </w:rPr>
              <w:t>赋分</w:t>
            </w:r>
          </w:p>
        </w:tc>
        <w:tc>
          <w:tcPr>
            <w:tcW w:w="833" w:type="pct"/>
            <w:vAlign w:val="center"/>
          </w:tcPr>
          <w:p>
            <w:pPr>
              <w:pStyle w:val="43"/>
            </w:pPr>
            <w:r>
              <w:rPr>
                <w:rFonts w:hint="eastAsia"/>
              </w:rPr>
              <w:t>1</w:t>
            </w:r>
            <w:r>
              <w:t>00</w:t>
            </w:r>
          </w:p>
        </w:tc>
        <w:tc>
          <w:tcPr>
            <w:tcW w:w="790" w:type="pct"/>
            <w:vAlign w:val="center"/>
          </w:tcPr>
          <w:p>
            <w:pPr>
              <w:pStyle w:val="43"/>
            </w:pPr>
            <w:r>
              <w:rPr>
                <w:rFonts w:hint="eastAsia"/>
              </w:rPr>
              <w:t>9</w:t>
            </w:r>
            <w:r>
              <w:t>0</w:t>
            </w:r>
          </w:p>
        </w:tc>
        <w:tc>
          <w:tcPr>
            <w:tcW w:w="769" w:type="pct"/>
            <w:vAlign w:val="center"/>
          </w:tcPr>
          <w:p>
            <w:pPr>
              <w:pStyle w:val="43"/>
            </w:pPr>
            <w:r>
              <w:rPr>
                <w:rFonts w:hint="eastAsia"/>
              </w:rPr>
              <w:t>7</w:t>
            </w:r>
            <w:r>
              <w:t>0</w:t>
            </w:r>
          </w:p>
        </w:tc>
        <w:tc>
          <w:tcPr>
            <w:tcW w:w="854" w:type="pct"/>
            <w:vAlign w:val="center"/>
          </w:tcPr>
          <w:p>
            <w:pPr>
              <w:pStyle w:val="43"/>
            </w:pPr>
            <w:r>
              <w:rPr>
                <w:rFonts w:hint="eastAsia"/>
              </w:rPr>
              <w:t>4</w:t>
            </w:r>
            <w:r>
              <w:t>0</w:t>
            </w:r>
          </w:p>
        </w:tc>
        <w:tc>
          <w:tcPr>
            <w:tcW w:w="597" w:type="pct"/>
            <w:vAlign w:val="center"/>
          </w:tcPr>
          <w:p>
            <w:pPr>
              <w:pStyle w:val="43"/>
            </w:pPr>
            <w:r>
              <w:rPr>
                <w:rFonts w:hint="eastAsia"/>
              </w:rPr>
              <w:t>2</w:t>
            </w:r>
            <w:r>
              <w:t>0</w:t>
            </w:r>
          </w:p>
        </w:tc>
        <w:tc>
          <w:tcPr>
            <w:tcW w:w="561" w:type="pct"/>
            <w:vAlign w:val="center"/>
          </w:tcPr>
          <w:p>
            <w:pPr>
              <w:pStyle w:val="43"/>
            </w:pPr>
            <w:r>
              <w:rPr>
                <w:rFonts w:hint="eastAsia"/>
              </w:rPr>
              <w:t>0</w:t>
            </w:r>
          </w:p>
        </w:tc>
      </w:tr>
    </w:tbl>
    <w:p>
      <w:pPr>
        <w:ind w:firstLine="0" w:firstLineChars="0"/>
      </w:pPr>
    </w:p>
    <w:p>
      <w:pPr>
        <w:ind w:firstLine="482"/>
        <w:rPr>
          <w:b/>
        </w:rPr>
      </w:pPr>
      <w:r>
        <w:rPr>
          <w:rFonts w:hint="eastAsia"/>
          <w:b/>
        </w:rPr>
        <w:t>4、生物</w:t>
      </w:r>
    </w:p>
    <w:p>
      <w:pPr>
        <w:ind w:firstLine="480"/>
      </w:pPr>
      <w:r>
        <w:rPr>
          <w:rFonts w:hint="eastAsia"/>
        </w:rPr>
        <w:t>（1）鱼类保有指数</w:t>
      </w:r>
    </w:p>
    <w:p>
      <w:pPr>
        <w:ind w:firstLine="480"/>
      </w:pPr>
      <w:r>
        <w:rPr>
          <w:rFonts w:hint="eastAsia"/>
        </w:rPr>
        <w:t>评价现状鱼类种数与历史参考点鱼类种数的差异状况，按照以下公式计算,赋分标准见</w:t>
      </w:r>
      <w:r>
        <w:fldChar w:fldCharType="begin"/>
      </w:r>
      <w:r>
        <w:instrText xml:space="preserve"> </w:instrText>
      </w:r>
      <w:r>
        <w:rPr>
          <w:rFonts w:hint="eastAsia"/>
        </w:rPr>
        <w:instrText xml:space="preserve">REF _Ref80716854 \h</w:instrText>
      </w:r>
      <w:r>
        <w:instrText xml:space="preserve"> </w:instrText>
      </w:r>
      <w:r>
        <w:fldChar w:fldCharType="separate"/>
      </w:r>
      <w:r>
        <w:rPr>
          <w:rFonts w:hint="eastAsia"/>
        </w:rPr>
        <w:t>表</w:t>
      </w:r>
      <w:r>
        <w:t>3.1</w:t>
      </w:r>
      <w:r>
        <w:noBreakHyphen/>
      </w:r>
      <w:r>
        <w:t>9</w:t>
      </w:r>
      <w:r>
        <w:fldChar w:fldCharType="end"/>
      </w:r>
      <w:r>
        <w:rPr>
          <w:rFonts w:hint="eastAsia"/>
        </w:rPr>
        <w:t>。对于无法获取历史鱼类监测数据的评价区域，可采用专家咨询的方法确定。调查鱼类种数不包括外来鱼种。鱼类调查取样监测可按《水库渔业资源调查规范》(SL167-2014)等鱼类调查技术标准确定。</w:t>
      </w:r>
    </w:p>
    <w:p>
      <w:pPr>
        <w:ind w:firstLine="0" w:firstLineChars="0"/>
        <w:jc w:val="center"/>
        <w:rPr>
          <w:i/>
        </w:rPr>
      </w:pPr>
      <w:r>
        <w:rPr>
          <w:i/>
        </w:rPr>
        <w:t>FOEI=(FO/FE)*100</w:t>
      </w:r>
    </w:p>
    <w:p>
      <w:pPr>
        <w:ind w:firstLine="0" w:firstLineChars="0"/>
      </w:pPr>
      <w:r>
        <w:rPr>
          <w:rFonts w:hint="eastAsia"/>
        </w:rPr>
        <w:t>式中:</w:t>
      </w:r>
    </w:p>
    <w:p>
      <w:pPr>
        <w:ind w:firstLine="0" w:firstLineChars="0"/>
      </w:pPr>
      <w:r>
        <w:rPr>
          <w:rFonts w:hint="eastAsia"/>
        </w:rPr>
        <w:t>FOEI—鱼类保有指数（%）;</w:t>
      </w:r>
    </w:p>
    <w:p>
      <w:pPr>
        <w:ind w:firstLine="0" w:firstLineChars="0"/>
      </w:pPr>
      <w:r>
        <w:rPr>
          <w:rFonts w:hint="eastAsia"/>
        </w:rPr>
        <w:t>FO—评价河湖调查获得的鱼类种类数量（剔除外来物种）（种）﹔</w:t>
      </w:r>
    </w:p>
    <w:p>
      <w:pPr>
        <w:ind w:firstLine="0" w:firstLineChars="0"/>
      </w:pPr>
      <w:r>
        <w:rPr>
          <w:rFonts w:hint="eastAsia"/>
        </w:rPr>
        <w:t>FE—1980年以前评价河湖的鱼类种类数量（种）。</w:t>
      </w:r>
    </w:p>
    <w:p>
      <w:pPr>
        <w:pStyle w:val="58"/>
        <w:rPr>
          <w:color w:val="auto"/>
        </w:rPr>
      </w:pPr>
      <w:bookmarkStart w:id="93" w:name="_Ref80716854"/>
      <w:r>
        <w:rPr>
          <w:rFonts w:hint="eastAsia"/>
          <w:color w:val="auto"/>
        </w:rPr>
        <w:t>表</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3.1</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9</w:t>
      </w:r>
      <w:r>
        <w:rPr>
          <w:color w:val="auto"/>
        </w:rPr>
        <w:fldChar w:fldCharType="end"/>
      </w:r>
      <w:bookmarkEnd w:id="93"/>
      <w:r>
        <w:rPr>
          <w:rFonts w:hint="eastAsia"/>
          <w:color w:val="auto"/>
        </w:rPr>
        <w:t>鱼类保有指数赋分标准表</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5"/>
        <w:gridCol w:w="1209"/>
        <w:gridCol w:w="1383"/>
        <w:gridCol w:w="1383"/>
        <w:gridCol w:w="1383"/>
        <w:gridCol w:w="1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pStyle w:val="43"/>
            </w:pPr>
            <w:r>
              <w:rPr>
                <w:rFonts w:hint="eastAsia"/>
              </w:rPr>
              <w:t>鱼类保有指数</w:t>
            </w:r>
          </w:p>
        </w:tc>
        <w:tc>
          <w:tcPr>
            <w:tcW w:w="1209" w:type="dxa"/>
          </w:tcPr>
          <w:p>
            <w:pPr>
              <w:pStyle w:val="43"/>
            </w:pPr>
            <w:r>
              <w:rPr>
                <w:rFonts w:hint="eastAsia"/>
              </w:rPr>
              <w:t>&gt;</w:t>
            </w:r>
            <w:r>
              <w:t>99</w:t>
            </w:r>
          </w:p>
        </w:tc>
        <w:tc>
          <w:tcPr>
            <w:tcW w:w="1383" w:type="dxa"/>
          </w:tcPr>
          <w:p>
            <w:pPr>
              <w:pStyle w:val="43"/>
            </w:pPr>
            <w:r>
              <w:rPr>
                <w:rFonts w:hint="eastAsia"/>
              </w:rPr>
              <w:t>7</w:t>
            </w:r>
            <w:r>
              <w:t>5~99</w:t>
            </w:r>
          </w:p>
        </w:tc>
        <w:tc>
          <w:tcPr>
            <w:tcW w:w="1383" w:type="dxa"/>
          </w:tcPr>
          <w:p>
            <w:pPr>
              <w:pStyle w:val="43"/>
            </w:pPr>
            <w:r>
              <w:rPr>
                <w:rFonts w:hint="eastAsia"/>
              </w:rPr>
              <w:t>5</w:t>
            </w:r>
            <w:r>
              <w:t>0~75</w:t>
            </w:r>
          </w:p>
        </w:tc>
        <w:tc>
          <w:tcPr>
            <w:tcW w:w="1383" w:type="dxa"/>
          </w:tcPr>
          <w:p>
            <w:pPr>
              <w:pStyle w:val="43"/>
            </w:pPr>
            <w:r>
              <w:rPr>
                <w:rFonts w:hint="eastAsia"/>
              </w:rPr>
              <w:t>2</w:t>
            </w:r>
            <w:r>
              <w:t>5~50</w:t>
            </w:r>
          </w:p>
        </w:tc>
        <w:tc>
          <w:tcPr>
            <w:tcW w:w="1383" w:type="dxa"/>
          </w:tcPr>
          <w:p>
            <w:pPr>
              <w:pStyle w:val="43"/>
            </w:pPr>
            <w:r>
              <w:rPr>
                <w:rFonts w:hint="eastAsia"/>
              </w:rPr>
              <w:t>&lt;</w:t>
            </w:r>
            <w: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pStyle w:val="43"/>
            </w:pPr>
            <w:r>
              <w:rPr>
                <w:rFonts w:hint="eastAsia"/>
              </w:rPr>
              <w:t>赋分</w:t>
            </w:r>
          </w:p>
        </w:tc>
        <w:tc>
          <w:tcPr>
            <w:tcW w:w="1209" w:type="dxa"/>
          </w:tcPr>
          <w:p>
            <w:pPr>
              <w:pStyle w:val="43"/>
            </w:pPr>
            <w:r>
              <w:rPr>
                <w:rFonts w:hint="eastAsia"/>
              </w:rPr>
              <w:t>1</w:t>
            </w:r>
            <w:r>
              <w:t>00</w:t>
            </w:r>
          </w:p>
        </w:tc>
        <w:tc>
          <w:tcPr>
            <w:tcW w:w="1383" w:type="dxa"/>
          </w:tcPr>
          <w:p>
            <w:pPr>
              <w:pStyle w:val="43"/>
            </w:pPr>
            <w:r>
              <w:rPr>
                <w:rFonts w:hint="eastAsia"/>
              </w:rPr>
              <w:t>8</w:t>
            </w:r>
            <w:r>
              <w:t>0</w:t>
            </w:r>
          </w:p>
        </w:tc>
        <w:tc>
          <w:tcPr>
            <w:tcW w:w="1383" w:type="dxa"/>
          </w:tcPr>
          <w:p>
            <w:pPr>
              <w:pStyle w:val="43"/>
            </w:pPr>
            <w:r>
              <w:rPr>
                <w:rFonts w:hint="eastAsia"/>
              </w:rPr>
              <w:t>3</w:t>
            </w:r>
            <w:r>
              <w:t>0</w:t>
            </w:r>
          </w:p>
        </w:tc>
        <w:tc>
          <w:tcPr>
            <w:tcW w:w="1383" w:type="dxa"/>
          </w:tcPr>
          <w:p>
            <w:pPr>
              <w:pStyle w:val="43"/>
            </w:pPr>
            <w:r>
              <w:rPr>
                <w:rFonts w:hint="eastAsia"/>
              </w:rPr>
              <w:t>1</w:t>
            </w:r>
            <w:r>
              <w:t>0</w:t>
            </w:r>
          </w:p>
        </w:tc>
        <w:tc>
          <w:tcPr>
            <w:tcW w:w="1383" w:type="dxa"/>
          </w:tcPr>
          <w:p>
            <w:pPr>
              <w:pStyle w:val="43"/>
            </w:pPr>
            <w:r>
              <w:rPr>
                <w:rFonts w:hint="eastAsia"/>
              </w:rPr>
              <w:t>0</w:t>
            </w:r>
          </w:p>
        </w:tc>
      </w:tr>
    </w:tbl>
    <w:p>
      <w:pPr>
        <w:ind w:firstLine="0" w:firstLineChars="0"/>
      </w:pPr>
    </w:p>
    <w:p>
      <w:pPr>
        <w:ind w:firstLine="480"/>
      </w:pPr>
      <w:r>
        <w:rPr>
          <w:rFonts w:hint="eastAsia"/>
        </w:rPr>
        <w:t>（2）外来水生动植物</w:t>
      </w:r>
    </w:p>
    <w:p>
      <w:pPr>
        <w:ind w:firstLine="480"/>
      </w:pPr>
      <w:r>
        <w:rPr>
          <w:rFonts w:hint="eastAsia"/>
        </w:rPr>
        <w:t>收集或调查历史及现状水生动植物情况，按照</w:t>
      </w:r>
      <w:r>
        <w:fldChar w:fldCharType="begin"/>
      </w:r>
      <w:r>
        <w:instrText xml:space="preserve"> </w:instrText>
      </w:r>
      <w:r>
        <w:rPr>
          <w:rFonts w:hint="eastAsia"/>
        </w:rPr>
        <w:instrText xml:space="preserve">REF _Ref80716880 \h</w:instrText>
      </w:r>
      <w:r>
        <w:instrText xml:space="preserve"> </w:instrText>
      </w:r>
      <w:r>
        <w:fldChar w:fldCharType="separate"/>
      </w:r>
      <w:r>
        <w:rPr>
          <w:rFonts w:hint="eastAsia"/>
        </w:rPr>
        <w:t>表</w:t>
      </w:r>
      <w:r>
        <w:t>3.1</w:t>
      </w:r>
      <w:r>
        <w:noBreakHyphen/>
      </w:r>
      <w:r>
        <w:t>10</w:t>
      </w:r>
      <w:r>
        <w:fldChar w:fldCharType="end"/>
      </w:r>
      <w:r>
        <w:rPr>
          <w:rFonts w:hint="eastAsia"/>
        </w:rPr>
        <w:t>赋分。</w:t>
      </w:r>
    </w:p>
    <w:p>
      <w:pPr>
        <w:pStyle w:val="58"/>
        <w:rPr>
          <w:color w:val="auto"/>
        </w:rPr>
      </w:pPr>
      <w:bookmarkStart w:id="94" w:name="_Ref80716880"/>
      <w:r>
        <w:rPr>
          <w:rFonts w:hint="eastAsia"/>
          <w:color w:val="auto"/>
        </w:rPr>
        <w:t>表</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3.1</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10</w:t>
      </w:r>
      <w:r>
        <w:rPr>
          <w:color w:val="auto"/>
        </w:rPr>
        <w:fldChar w:fldCharType="end"/>
      </w:r>
      <w:bookmarkEnd w:id="94"/>
      <w:r>
        <w:rPr>
          <w:rFonts w:hint="eastAsia"/>
          <w:color w:val="auto"/>
        </w:rPr>
        <w:t>外来水生动植物指数赋分标准表</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5"/>
        <w:gridCol w:w="1185"/>
        <w:gridCol w:w="1185"/>
        <w:gridCol w:w="1185"/>
        <w:gridCol w:w="1185"/>
        <w:gridCol w:w="1185"/>
        <w:gridCol w:w="11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1185" w:type="dxa"/>
          </w:tcPr>
          <w:p>
            <w:pPr>
              <w:pStyle w:val="43"/>
            </w:pPr>
            <w:r>
              <w:rPr>
                <w:rFonts w:hint="eastAsia"/>
              </w:rPr>
              <w:t>外来水生动植物</w:t>
            </w:r>
          </w:p>
        </w:tc>
        <w:tc>
          <w:tcPr>
            <w:tcW w:w="1185" w:type="dxa"/>
          </w:tcPr>
          <w:p>
            <w:pPr>
              <w:pStyle w:val="43"/>
            </w:pPr>
            <w:r>
              <w:rPr>
                <w:rFonts w:hint="eastAsia"/>
              </w:rPr>
              <w:t>无外来水生动植物</w:t>
            </w:r>
          </w:p>
        </w:tc>
        <w:tc>
          <w:tcPr>
            <w:tcW w:w="1185" w:type="dxa"/>
          </w:tcPr>
          <w:p>
            <w:pPr>
              <w:pStyle w:val="43"/>
            </w:pPr>
            <w:r>
              <w:rPr>
                <w:rFonts w:hint="eastAsia"/>
              </w:rPr>
              <w:t>有1~</w:t>
            </w:r>
            <w:r>
              <w:t>2</w:t>
            </w:r>
            <w:r>
              <w:rPr>
                <w:rFonts w:hint="eastAsia"/>
              </w:rPr>
              <w:t>种无害外来水生动植物</w:t>
            </w:r>
          </w:p>
        </w:tc>
        <w:tc>
          <w:tcPr>
            <w:tcW w:w="1185" w:type="dxa"/>
          </w:tcPr>
          <w:p>
            <w:pPr>
              <w:pStyle w:val="43"/>
            </w:pPr>
            <w:r>
              <w:rPr>
                <w:rFonts w:hint="eastAsia"/>
              </w:rPr>
              <w:t>有</w:t>
            </w:r>
            <w:r>
              <w:t>3</w:t>
            </w:r>
            <w:r>
              <w:rPr>
                <w:rFonts w:hint="eastAsia"/>
              </w:rPr>
              <w:t>种及以上无害外来水生动植物</w:t>
            </w:r>
          </w:p>
        </w:tc>
        <w:tc>
          <w:tcPr>
            <w:tcW w:w="1185" w:type="dxa"/>
          </w:tcPr>
          <w:p>
            <w:pPr>
              <w:pStyle w:val="43"/>
            </w:pPr>
            <w:r>
              <w:rPr>
                <w:rFonts w:hint="eastAsia"/>
              </w:rPr>
              <w:t>有1种有害外来水生动植物</w:t>
            </w:r>
          </w:p>
        </w:tc>
        <w:tc>
          <w:tcPr>
            <w:tcW w:w="1185" w:type="dxa"/>
          </w:tcPr>
          <w:p>
            <w:pPr>
              <w:pStyle w:val="43"/>
            </w:pPr>
            <w:r>
              <w:rPr>
                <w:rFonts w:hint="eastAsia"/>
              </w:rPr>
              <w:t>有2种及以上有害外来水生动植物</w:t>
            </w:r>
          </w:p>
        </w:tc>
        <w:tc>
          <w:tcPr>
            <w:tcW w:w="1186" w:type="dxa"/>
          </w:tcPr>
          <w:p>
            <w:pPr>
              <w:pStyle w:val="43"/>
            </w:pPr>
            <w:r>
              <w:rPr>
                <w:rFonts w:hint="eastAsia"/>
              </w:rPr>
              <w:t>外来水生动植物已造成生态灾害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tcPr>
          <w:p>
            <w:pPr>
              <w:pStyle w:val="43"/>
            </w:pPr>
            <w:r>
              <w:rPr>
                <w:rFonts w:hint="eastAsia"/>
              </w:rPr>
              <w:t>赋分</w:t>
            </w:r>
          </w:p>
        </w:tc>
        <w:tc>
          <w:tcPr>
            <w:tcW w:w="1185" w:type="dxa"/>
          </w:tcPr>
          <w:p>
            <w:pPr>
              <w:pStyle w:val="43"/>
            </w:pPr>
            <w:r>
              <w:rPr>
                <w:rFonts w:hint="eastAsia"/>
              </w:rPr>
              <w:t>1</w:t>
            </w:r>
            <w:r>
              <w:t>00</w:t>
            </w:r>
          </w:p>
        </w:tc>
        <w:tc>
          <w:tcPr>
            <w:tcW w:w="1185" w:type="dxa"/>
          </w:tcPr>
          <w:p>
            <w:pPr>
              <w:pStyle w:val="43"/>
            </w:pPr>
            <w:r>
              <w:rPr>
                <w:rFonts w:hint="eastAsia"/>
              </w:rPr>
              <w:t>8</w:t>
            </w:r>
            <w:r>
              <w:t>0</w:t>
            </w:r>
          </w:p>
        </w:tc>
        <w:tc>
          <w:tcPr>
            <w:tcW w:w="1185" w:type="dxa"/>
          </w:tcPr>
          <w:p>
            <w:pPr>
              <w:pStyle w:val="43"/>
            </w:pPr>
            <w:r>
              <w:rPr>
                <w:rFonts w:hint="eastAsia"/>
              </w:rPr>
              <w:t>6</w:t>
            </w:r>
            <w:r>
              <w:t>0</w:t>
            </w:r>
          </w:p>
        </w:tc>
        <w:tc>
          <w:tcPr>
            <w:tcW w:w="1185" w:type="dxa"/>
          </w:tcPr>
          <w:p>
            <w:pPr>
              <w:pStyle w:val="43"/>
            </w:pPr>
            <w:r>
              <w:t>40</w:t>
            </w:r>
          </w:p>
        </w:tc>
        <w:tc>
          <w:tcPr>
            <w:tcW w:w="1185" w:type="dxa"/>
          </w:tcPr>
          <w:p>
            <w:pPr>
              <w:pStyle w:val="43"/>
            </w:pPr>
            <w:r>
              <w:rPr>
                <w:rFonts w:hint="eastAsia"/>
              </w:rPr>
              <w:t>2</w:t>
            </w:r>
            <w:r>
              <w:t>0</w:t>
            </w:r>
          </w:p>
        </w:tc>
        <w:tc>
          <w:tcPr>
            <w:tcW w:w="1186" w:type="dxa"/>
          </w:tcPr>
          <w:p>
            <w:pPr>
              <w:pStyle w:val="43"/>
            </w:pPr>
            <w:r>
              <w:rPr>
                <w:rFonts w:hint="eastAsia"/>
              </w:rPr>
              <w:t>0</w:t>
            </w:r>
          </w:p>
        </w:tc>
      </w:tr>
    </w:tbl>
    <w:p>
      <w:pPr>
        <w:ind w:firstLine="0" w:firstLineChars="0"/>
        <w:rPr>
          <w:b/>
        </w:rPr>
      </w:pPr>
    </w:p>
    <w:p>
      <w:pPr>
        <w:ind w:firstLine="482"/>
        <w:rPr>
          <w:b/>
        </w:rPr>
      </w:pPr>
      <w:r>
        <w:rPr>
          <w:rFonts w:hint="eastAsia"/>
          <w:b/>
        </w:rPr>
        <w:t>5、河湖管理与社会服务功能</w:t>
      </w:r>
    </w:p>
    <w:p>
      <w:pPr>
        <w:ind w:firstLine="480"/>
      </w:pPr>
      <w:r>
        <w:rPr>
          <w:rFonts w:hint="eastAsia"/>
        </w:rPr>
        <w:t>（1）公众满意度</w:t>
      </w:r>
    </w:p>
    <w:p>
      <w:pPr>
        <w:ind w:firstLine="480"/>
      </w:pPr>
      <w:r>
        <w:rPr>
          <w:rFonts w:hint="eastAsia"/>
        </w:rPr>
        <w:t>评估公众对河湖环境、水质水量、涉水景观、舒适性、美学价值等的满意程度，采用公众调查方法评估。</w:t>
      </w:r>
    </w:p>
    <w:p>
      <w:pPr>
        <w:ind w:firstLine="480"/>
      </w:pPr>
      <w:r>
        <w:rPr>
          <w:rFonts w:hint="eastAsia"/>
        </w:rPr>
        <w:t>公众满意度赋分取所有公众赋分的平均值。</w:t>
      </w:r>
    </w:p>
    <w:p>
      <w:pPr>
        <w:ind w:firstLine="480"/>
      </w:pPr>
      <w:r>
        <w:rPr>
          <w:rFonts w:hint="eastAsia"/>
        </w:rPr>
        <w:t>（2）防洪指标</w:t>
      </w:r>
    </w:p>
    <w:p>
      <w:pPr>
        <w:ind w:firstLine="480"/>
      </w:pPr>
      <w:r>
        <w:rPr>
          <w:rFonts w:hint="eastAsia"/>
        </w:rPr>
        <w:t>河流及湖泊评估采用河湖堤防及沿河(环湖）口门建筑物防洪达标情况:河流按照公式计算已达到防洪标准的堤防长度占堤防总长度的比例，湖泊同时还需要评估环湖口门建筑物满足设计标准的比例。无相关规划对防洪达标标准进行规定时，参照《防洪标准》(GB50201-2014）确定。河流及湖泊防洪指标赋分见</w:t>
      </w:r>
      <w:r>
        <w:fldChar w:fldCharType="begin"/>
      </w:r>
      <w:r>
        <w:instrText xml:space="preserve"> </w:instrText>
      </w:r>
      <w:r>
        <w:rPr>
          <w:rFonts w:hint="eastAsia"/>
        </w:rPr>
        <w:instrText xml:space="preserve">REF _Ref80716915 \h</w:instrText>
      </w:r>
      <w:r>
        <w:instrText xml:space="preserve"> </w:instrText>
      </w:r>
      <w:r>
        <w:fldChar w:fldCharType="separate"/>
      </w:r>
      <w:r>
        <w:rPr>
          <w:rFonts w:hint="eastAsia"/>
        </w:rPr>
        <w:t>表</w:t>
      </w:r>
      <w:r>
        <w:t>3.1</w:t>
      </w:r>
      <w:r>
        <w:noBreakHyphen/>
      </w:r>
      <w:r>
        <w:t>11</w:t>
      </w:r>
      <w:r>
        <w:fldChar w:fldCharType="end"/>
      </w:r>
      <w:r>
        <w:rPr>
          <w:rFonts w:hint="eastAsia"/>
        </w:rPr>
        <w:t>。</w:t>
      </w:r>
    </w:p>
    <w:p>
      <w:pPr>
        <w:ind w:firstLine="0" w:firstLineChars="0"/>
        <w:jc w:val="center"/>
      </w:pPr>
      <w:r>
        <w:t>FLDE=RLA/RL</w:t>
      </w:r>
      <w:r>
        <w:rPr>
          <w:rFonts w:hint="eastAsia"/>
        </w:rPr>
        <w:t>×1</w:t>
      </w:r>
      <w:r>
        <w:t>00</w:t>
      </w:r>
    </w:p>
    <w:p>
      <w:pPr>
        <w:ind w:firstLine="480"/>
      </w:pPr>
      <w:r>
        <w:rPr>
          <w:rFonts w:hint="eastAsia"/>
        </w:rPr>
        <w:t>式中:</w:t>
      </w:r>
    </w:p>
    <w:p>
      <w:pPr>
        <w:ind w:firstLine="480"/>
      </w:pPr>
      <w:r>
        <w:rPr>
          <w:rFonts w:hint="eastAsia"/>
        </w:rPr>
        <w:t>FLDE—防洪工程达标率；</w:t>
      </w:r>
    </w:p>
    <w:p>
      <w:pPr>
        <w:ind w:firstLine="480"/>
      </w:pPr>
      <w:r>
        <w:rPr>
          <w:rFonts w:hint="eastAsia"/>
        </w:rPr>
        <w:t>RLA—达到防洪标准的堤防长度；</w:t>
      </w:r>
    </w:p>
    <w:p>
      <w:pPr>
        <w:ind w:firstLine="480"/>
      </w:pPr>
      <w:r>
        <w:rPr>
          <w:rFonts w:hint="eastAsia"/>
        </w:rPr>
        <w:t>RL—堤防总长度。</w:t>
      </w:r>
    </w:p>
    <w:p>
      <w:pPr>
        <w:pStyle w:val="58"/>
        <w:rPr>
          <w:color w:val="auto"/>
        </w:rPr>
      </w:pPr>
      <w:bookmarkStart w:id="95" w:name="_Ref80716915"/>
      <w:r>
        <w:rPr>
          <w:rFonts w:hint="eastAsia"/>
          <w:color w:val="auto"/>
        </w:rPr>
        <w:t>表</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3.1</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11</w:t>
      </w:r>
      <w:r>
        <w:rPr>
          <w:color w:val="auto"/>
        </w:rPr>
        <w:fldChar w:fldCharType="end"/>
      </w:r>
      <w:bookmarkEnd w:id="95"/>
      <w:r>
        <w:rPr>
          <w:rFonts w:hint="eastAsia"/>
          <w:color w:val="auto"/>
        </w:rPr>
        <w:t>防洪指标评估赋分标准表</w:t>
      </w:r>
    </w:p>
    <w:tbl>
      <w:tblPr>
        <w:tblStyle w:val="24"/>
        <w:tblW w:w="0" w:type="auto"/>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9"/>
        <w:gridCol w:w="1382"/>
        <w:gridCol w:w="1383"/>
        <w:gridCol w:w="1383"/>
        <w:gridCol w:w="1383"/>
        <w:gridCol w:w="1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9" w:type="dxa"/>
            <w:vAlign w:val="center"/>
          </w:tcPr>
          <w:p>
            <w:pPr>
              <w:pStyle w:val="43"/>
            </w:pPr>
            <w:r>
              <w:rPr>
                <w:rFonts w:hint="eastAsia"/>
              </w:rPr>
              <w:t>达标率（%）</w:t>
            </w:r>
          </w:p>
        </w:tc>
        <w:tc>
          <w:tcPr>
            <w:tcW w:w="1382" w:type="dxa"/>
            <w:vAlign w:val="center"/>
          </w:tcPr>
          <w:p>
            <w:pPr>
              <w:pStyle w:val="43"/>
            </w:pPr>
            <w:r>
              <w:rPr>
                <w:rFonts w:hint="eastAsia"/>
              </w:rPr>
              <w:t>≥9</w:t>
            </w:r>
            <w:r>
              <w:t>5</w:t>
            </w:r>
          </w:p>
        </w:tc>
        <w:tc>
          <w:tcPr>
            <w:tcW w:w="1383" w:type="dxa"/>
            <w:vAlign w:val="center"/>
          </w:tcPr>
          <w:p>
            <w:pPr>
              <w:pStyle w:val="43"/>
            </w:pPr>
            <w:r>
              <w:rPr>
                <w:rFonts w:hint="eastAsia"/>
              </w:rPr>
              <w:t>9</w:t>
            </w:r>
            <w:r>
              <w:t>0</w:t>
            </w:r>
            <w:r>
              <w:rPr>
                <w:rFonts w:hint="eastAsia"/>
              </w:rPr>
              <w:t>~</w:t>
            </w:r>
            <w:r>
              <w:t>95</w:t>
            </w:r>
          </w:p>
        </w:tc>
        <w:tc>
          <w:tcPr>
            <w:tcW w:w="1383" w:type="dxa"/>
            <w:vAlign w:val="center"/>
          </w:tcPr>
          <w:p>
            <w:pPr>
              <w:pStyle w:val="43"/>
            </w:pPr>
            <w:r>
              <w:rPr>
                <w:rFonts w:hint="eastAsia"/>
              </w:rPr>
              <w:t>8</w:t>
            </w:r>
            <w:r>
              <w:t>5</w:t>
            </w:r>
            <w:r>
              <w:rPr>
                <w:rFonts w:hint="eastAsia"/>
              </w:rPr>
              <w:t>~</w:t>
            </w:r>
            <w:r>
              <w:t>90</w:t>
            </w:r>
          </w:p>
        </w:tc>
        <w:tc>
          <w:tcPr>
            <w:tcW w:w="1383" w:type="dxa"/>
            <w:vAlign w:val="center"/>
          </w:tcPr>
          <w:p>
            <w:pPr>
              <w:pStyle w:val="43"/>
            </w:pPr>
            <w:r>
              <w:rPr>
                <w:rFonts w:hint="eastAsia"/>
              </w:rPr>
              <w:t>7</w:t>
            </w:r>
            <w:r>
              <w:t>0</w:t>
            </w:r>
            <w:r>
              <w:rPr>
                <w:rFonts w:hint="eastAsia"/>
              </w:rPr>
              <w:t>~</w:t>
            </w:r>
            <w:r>
              <w:t>85</w:t>
            </w:r>
          </w:p>
        </w:tc>
        <w:tc>
          <w:tcPr>
            <w:tcW w:w="1383" w:type="dxa"/>
            <w:vAlign w:val="center"/>
          </w:tcPr>
          <w:p>
            <w:pPr>
              <w:pStyle w:val="43"/>
            </w:pPr>
            <w:r>
              <w:rPr>
                <w:rFonts w:hint="eastAsia"/>
              </w:rPr>
              <w:t>≤</w:t>
            </w:r>
            <w: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9" w:type="dxa"/>
            <w:vAlign w:val="center"/>
          </w:tcPr>
          <w:p>
            <w:pPr>
              <w:pStyle w:val="43"/>
            </w:pPr>
            <w:r>
              <w:rPr>
                <w:rFonts w:hint="eastAsia"/>
              </w:rPr>
              <w:t>赋分</w:t>
            </w:r>
          </w:p>
        </w:tc>
        <w:tc>
          <w:tcPr>
            <w:tcW w:w="1382" w:type="dxa"/>
            <w:vAlign w:val="center"/>
          </w:tcPr>
          <w:p>
            <w:pPr>
              <w:pStyle w:val="43"/>
            </w:pPr>
            <w:r>
              <w:rPr>
                <w:rFonts w:hint="eastAsia"/>
              </w:rPr>
              <w:t>1</w:t>
            </w:r>
            <w:r>
              <w:t>00</w:t>
            </w:r>
          </w:p>
        </w:tc>
        <w:tc>
          <w:tcPr>
            <w:tcW w:w="1383" w:type="dxa"/>
            <w:vAlign w:val="center"/>
          </w:tcPr>
          <w:p>
            <w:pPr>
              <w:pStyle w:val="43"/>
            </w:pPr>
            <w:r>
              <w:rPr>
                <w:rFonts w:hint="eastAsia"/>
              </w:rPr>
              <w:t>7</w:t>
            </w:r>
            <w:r>
              <w:t>5</w:t>
            </w:r>
          </w:p>
        </w:tc>
        <w:tc>
          <w:tcPr>
            <w:tcW w:w="1383" w:type="dxa"/>
            <w:vAlign w:val="center"/>
          </w:tcPr>
          <w:p>
            <w:pPr>
              <w:pStyle w:val="43"/>
            </w:pPr>
            <w:r>
              <w:rPr>
                <w:rFonts w:hint="eastAsia"/>
              </w:rPr>
              <w:t>5</w:t>
            </w:r>
            <w:r>
              <w:t>0</w:t>
            </w:r>
          </w:p>
        </w:tc>
        <w:tc>
          <w:tcPr>
            <w:tcW w:w="1383" w:type="dxa"/>
            <w:vAlign w:val="center"/>
          </w:tcPr>
          <w:p>
            <w:pPr>
              <w:pStyle w:val="43"/>
            </w:pPr>
            <w:r>
              <w:rPr>
                <w:rFonts w:hint="eastAsia"/>
              </w:rPr>
              <w:t>2</w:t>
            </w:r>
            <w:r>
              <w:t>5</w:t>
            </w:r>
          </w:p>
        </w:tc>
        <w:tc>
          <w:tcPr>
            <w:tcW w:w="1383" w:type="dxa"/>
            <w:vAlign w:val="center"/>
          </w:tcPr>
          <w:p>
            <w:pPr>
              <w:pStyle w:val="43"/>
            </w:pPr>
            <w:r>
              <w:rPr>
                <w:rFonts w:hint="eastAsia"/>
              </w:rPr>
              <w:t>0</w:t>
            </w:r>
          </w:p>
        </w:tc>
      </w:tr>
    </w:tbl>
    <w:p>
      <w:pPr>
        <w:ind w:firstLine="0" w:firstLineChars="0"/>
      </w:pPr>
    </w:p>
    <w:p>
      <w:pPr>
        <w:ind w:firstLine="480"/>
      </w:pPr>
      <w:r>
        <w:rPr>
          <w:rFonts w:hint="eastAsia"/>
        </w:rPr>
        <w:t>（</w:t>
      </w:r>
      <w:r>
        <w:t>3</w:t>
      </w:r>
      <w:r>
        <w:rPr>
          <w:rFonts w:hint="eastAsia"/>
        </w:rPr>
        <w:t>）供水指标</w:t>
      </w:r>
    </w:p>
    <w:p>
      <w:pPr>
        <w:ind w:firstLine="480"/>
      </w:pPr>
      <w:r>
        <w:rPr>
          <w:rFonts w:hint="eastAsia"/>
        </w:rPr>
        <w:t>采用综合供水保证率评估，根据公式计算河湖所有供水工程的供水保证率，确定赋分值。</w:t>
      </w:r>
    </w:p>
    <w:p>
      <w:pPr>
        <w:ind w:firstLine="480"/>
      </w:pPr>
      <m:oMathPara>
        <m:oMath>
          <m:r>
            <m:rPr>
              <m:sty m:val="p"/>
            </m:rPr>
            <w:rPr>
              <w:rFonts w:hint="eastAsia" w:ascii="Cambria Math" w:hAnsi="Cambria Math"/>
            </w:rPr>
            <m:t>WS=</m:t>
          </m:r>
          <m:f>
            <m:fPr>
              <m:ctrlPr>
                <w:rPr>
                  <w:rFonts w:ascii="Cambria Math" w:hAnsi="Cambria Math"/>
                </w:rPr>
              </m:ctrlPr>
            </m:fPr>
            <m:num>
              <m:nary>
                <m:naryPr>
                  <m:chr m:val="∑"/>
                  <m:limLoc m:val="undOvr"/>
                  <m:ctrlPr>
                    <w:rPr>
                      <w:rFonts w:ascii="Cambria Math" w:hAnsi="Cambria Math"/>
                      <w:i/>
                    </w:rPr>
                  </m:ctrlPr>
                </m:naryPr>
                <m:sub>
                  <m:r>
                    <w:rPr>
                      <w:rFonts w:hint="eastAsia" w:ascii="Cambria Math" w:hAnsi="Cambria Math"/>
                    </w:rPr>
                    <m:t>i=1</m:t>
                  </m:r>
                  <m:ctrlPr>
                    <w:rPr>
                      <w:rFonts w:ascii="Cambria Math" w:hAnsi="Cambria Math"/>
                      <w:i/>
                    </w:rPr>
                  </m:ctrlPr>
                </m:sub>
                <m:sup>
                  <m:r>
                    <w:rPr>
                      <w:rFonts w:hint="eastAsia" w:ascii="Cambria Math" w:hAnsi="Cambria Math"/>
                    </w:rPr>
                    <m:t>n</m:t>
                  </m:r>
                  <m:ctrlPr>
                    <w:rPr>
                      <w:rFonts w:ascii="Cambria Math" w:hAnsi="Cambria Math"/>
                      <w:i/>
                    </w:rPr>
                  </m:ctrlPr>
                </m:sup>
                <m:e>
                  <m:r>
                    <w:rPr>
                      <w:rFonts w:hint="eastAsia" w:ascii="Cambria Math" w:hAnsi="Cambria Math"/>
                    </w:rPr>
                    <m:t>（</m:t>
                  </m:r>
                  <m:sSub>
                    <m:sSubPr>
                      <m:ctrlPr>
                        <w:rPr>
                          <w:rFonts w:ascii="Cambria Math" w:hAnsi="Cambria Math"/>
                          <w:i/>
                        </w:rPr>
                      </m:ctrlPr>
                    </m:sSubPr>
                    <m:e>
                      <m:r>
                        <w:rPr>
                          <w:rFonts w:hint="eastAsia" w:ascii="Cambria Math" w:hAnsi="Cambria Math"/>
                        </w:rPr>
                        <m:t>w</m:t>
                      </m:r>
                      <m:ctrlPr>
                        <w:rPr>
                          <w:rFonts w:ascii="Cambria Math" w:hAnsi="Cambria Math"/>
                          <w:i/>
                        </w:rPr>
                      </m:ctrlPr>
                    </m:e>
                    <m:sub>
                      <m:r>
                        <w:rPr>
                          <w:rFonts w:hint="eastAsia" w:ascii="Cambria Math" w:hAnsi="Cambria Math"/>
                        </w:rPr>
                        <m:t>i</m:t>
                      </m:r>
                      <m:ctrlPr>
                        <w:rPr>
                          <w:rFonts w:ascii="Cambria Math" w:hAnsi="Cambria Math"/>
                          <w:i/>
                        </w:rPr>
                      </m:ctrlPr>
                    </m:sub>
                  </m:sSub>
                  <m:r>
                    <w:rPr>
                      <w:rFonts w:ascii="Cambria Math" w:hAnsi="Cambria Math"/>
                    </w:rPr>
                    <m:t>×</m:t>
                  </m:r>
                  <m:sSub>
                    <m:sSubPr>
                      <m:ctrlPr>
                        <w:rPr>
                          <w:rFonts w:ascii="Cambria Math" w:hAnsi="Cambria Math"/>
                          <w:i/>
                        </w:rPr>
                      </m:ctrlPr>
                    </m:sSubPr>
                    <m:e>
                      <m:r>
                        <w:rPr>
                          <w:rFonts w:hint="eastAsia" w:ascii="Cambria Math" w:hAnsi="Cambria Math"/>
                        </w:rPr>
                        <m:t>p</m:t>
                      </m:r>
                      <m:ctrlPr>
                        <w:rPr>
                          <w:rFonts w:ascii="Cambria Math" w:hAnsi="Cambria Math"/>
                          <w:i/>
                        </w:rPr>
                      </m:ctrlPr>
                    </m:e>
                    <m:sub>
                      <m:r>
                        <w:rPr>
                          <w:rFonts w:hint="eastAsia" w:ascii="Cambria Math" w:hAnsi="Cambria Math"/>
                        </w:rPr>
                        <m:t>i</m:t>
                      </m:r>
                      <m:ctrlPr>
                        <w:rPr>
                          <w:rFonts w:ascii="Cambria Math" w:hAnsi="Cambria Math"/>
                          <w:i/>
                        </w:rPr>
                      </m:ctrlPr>
                    </m:sub>
                  </m:sSub>
                  <m:r>
                    <w:rPr>
                      <w:rFonts w:hint="eastAsia" w:ascii="Cambria Math" w:hAnsi="Cambria Math"/>
                    </w:rPr>
                    <m:t>）</m:t>
                  </m:r>
                  <m:ctrlPr>
                    <w:rPr>
                      <w:rFonts w:ascii="Cambria Math" w:hAnsi="Cambria Math"/>
                      <w:i/>
                    </w:rPr>
                  </m:ctrlPr>
                </m:e>
              </m:nary>
              <m:ctrlPr>
                <w:rPr>
                  <w:rFonts w:ascii="Cambria Math" w:hAnsi="Cambria Math"/>
                </w:rPr>
              </m:ctrlPr>
            </m:num>
            <m:den>
              <m:nary>
                <m:naryPr>
                  <m:chr m:val="∑"/>
                  <m:limLoc m:val="undOvr"/>
                  <m:ctrlPr>
                    <w:rPr>
                      <w:rFonts w:ascii="Cambria Math" w:hAnsi="Cambria Math"/>
                      <w:i/>
                    </w:rPr>
                  </m:ctrlPr>
                </m:naryPr>
                <m:sub>
                  <m:r>
                    <w:rPr>
                      <w:rFonts w:hint="eastAsia" w:ascii="Cambria Math" w:hAnsi="Cambria Math"/>
                    </w:rPr>
                    <m:t>i=</m:t>
                  </m:r>
                  <m:r>
                    <w:rPr>
                      <w:rFonts w:ascii="Cambria Math" w:hAnsi="Cambria Math"/>
                    </w:rPr>
                    <m:t>1</m:t>
                  </m:r>
                  <m:ctrlPr>
                    <w:rPr>
                      <w:rFonts w:ascii="Cambria Math" w:hAnsi="Cambria Math"/>
                      <w:i/>
                    </w:rPr>
                  </m:ctrlPr>
                </m:sub>
                <m:sup>
                  <m:r>
                    <w:rPr>
                      <w:rFonts w:hint="eastAsia" w:ascii="Cambria Math" w:hAnsi="Cambria Math"/>
                    </w:rPr>
                    <m:t>n</m:t>
                  </m:r>
                  <m:ctrlPr>
                    <w:rPr>
                      <w:rFonts w:ascii="Cambria Math" w:hAnsi="Cambria Math"/>
                      <w:i/>
                    </w:rPr>
                  </m:ctrlPr>
                </m:sup>
                <m:e>
                  <m:sSub>
                    <m:sSubPr>
                      <m:ctrlPr>
                        <w:rPr>
                          <w:rFonts w:ascii="Cambria Math" w:hAnsi="Cambria Math"/>
                          <w:i/>
                        </w:rPr>
                      </m:ctrlPr>
                    </m:sSubPr>
                    <m:e>
                      <m:r>
                        <w:rPr>
                          <w:rFonts w:hint="eastAsia" w:ascii="Cambria Math" w:hAnsi="Cambria Math"/>
                        </w:rPr>
                        <m:t>w</m:t>
                      </m:r>
                      <m:ctrlPr>
                        <w:rPr>
                          <w:rFonts w:ascii="Cambria Math" w:hAnsi="Cambria Math"/>
                          <w:i/>
                        </w:rPr>
                      </m:ctrlPr>
                    </m:e>
                    <m:sub>
                      <m:r>
                        <w:rPr>
                          <w:rFonts w:hint="eastAsia" w:ascii="Cambria Math" w:hAnsi="Cambria Math"/>
                        </w:rPr>
                        <m:t>i</m:t>
                      </m:r>
                      <m:ctrlPr>
                        <w:rPr>
                          <w:rFonts w:ascii="Cambria Math" w:hAnsi="Cambria Math"/>
                          <w:i/>
                        </w:rPr>
                      </m:ctrlPr>
                    </m:sub>
                  </m:sSub>
                  <m:ctrlPr>
                    <w:rPr>
                      <w:rFonts w:ascii="Cambria Math" w:hAnsi="Cambria Math"/>
                      <w:i/>
                    </w:rPr>
                  </m:ctrlPr>
                </m:e>
              </m:nary>
              <m:ctrlPr>
                <w:rPr>
                  <w:rFonts w:ascii="Cambria Math" w:hAnsi="Cambria Math"/>
                </w:rPr>
              </m:ctrlPr>
            </m:den>
          </m:f>
        </m:oMath>
      </m:oMathPara>
    </w:p>
    <w:p>
      <w:pPr>
        <w:ind w:firstLine="480"/>
      </w:pPr>
      <w:r>
        <w:rPr>
          <w:rFonts w:hint="eastAsia"/>
        </w:rPr>
        <w:t>式中:</w:t>
      </w:r>
    </w:p>
    <w:p>
      <w:pPr>
        <w:ind w:firstLine="480"/>
      </w:pPr>
      <w:r>
        <w:rPr>
          <w:rFonts w:hint="eastAsia"/>
        </w:rPr>
        <w:t>WS——综合供水保证率；</w:t>
      </w:r>
    </w:p>
    <w:p>
      <w:pPr>
        <w:ind w:firstLine="480"/>
      </w:pPr>
      <w:r>
        <w:rPr>
          <w:rFonts w:hint="eastAsia"/>
          <w:i/>
        </w:rPr>
        <w:t>w</w:t>
      </w:r>
      <w:r>
        <w:rPr>
          <w:rFonts w:hint="eastAsia"/>
          <w:i/>
          <w:vertAlign w:val="subscript"/>
        </w:rPr>
        <w:t>i</w:t>
      </w:r>
      <w:r>
        <w:rPr>
          <w:rFonts w:hint="eastAsia"/>
        </w:rPr>
        <w:t>——第</w:t>
      </w:r>
      <w:r>
        <w:rPr>
          <w:rFonts w:hint="eastAsia"/>
          <w:i/>
        </w:rPr>
        <w:t>i</w:t>
      </w:r>
      <w:r>
        <w:rPr>
          <w:rFonts w:hint="eastAsia"/>
        </w:rPr>
        <w:t>个供水工程的平均日供水量（m</w:t>
      </w:r>
      <w:r>
        <w:rPr>
          <w:rFonts w:hint="eastAsia"/>
          <w:vertAlign w:val="superscript"/>
        </w:rPr>
        <w:t>3</w:t>
      </w:r>
      <w:r>
        <w:rPr>
          <w:rFonts w:hint="eastAsia"/>
        </w:rPr>
        <w:t>/d)；</w:t>
      </w:r>
    </w:p>
    <w:p>
      <w:pPr>
        <w:ind w:firstLine="480"/>
      </w:pPr>
      <w:r>
        <w:rPr>
          <w:rFonts w:hint="eastAsia"/>
          <w:i/>
        </w:rPr>
        <w:t>p</w:t>
      </w:r>
      <w:r>
        <w:rPr>
          <w:rFonts w:hint="eastAsia"/>
          <w:i/>
          <w:vertAlign w:val="subscript"/>
        </w:rPr>
        <w:t>i</w:t>
      </w:r>
      <w:r>
        <w:rPr>
          <w:rFonts w:hint="eastAsia"/>
        </w:rPr>
        <w:t>——第</w:t>
      </w:r>
      <w:r>
        <w:rPr>
          <w:rFonts w:hint="eastAsia"/>
          <w:i/>
        </w:rPr>
        <w:t>i</w:t>
      </w:r>
      <w:r>
        <w:rPr>
          <w:rFonts w:hint="eastAsia"/>
        </w:rPr>
        <w:t>个供水工程的供水保证率；</w:t>
      </w:r>
    </w:p>
    <w:p>
      <w:pPr>
        <w:ind w:firstLine="480"/>
      </w:pPr>
      <w:r>
        <w:rPr>
          <w:rFonts w:hint="eastAsia"/>
          <w:i/>
        </w:rPr>
        <w:t>i</w:t>
      </w:r>
      <w:r>
        <w:rPr>
          <w:rFonts w:hint="eastAsia"/>
        </w:rPr>
        <w:t>——供水工程的序号；</w:t>
      </w:r>
    </w:p>
    <w:p>
      <w:pPr>
        <w:ind w:firstLine="480"/>
      </w:pPr>
      <w:r>
        <w:rPr>
          <w:rFonts w:hint="eastAsia"/>
        </w:rPr>
        <w:t>n—河湖供水工程的总个数。</w:t>
      </w:r>
    </w:p>
    <w:p>
      <w:pPr>
        <w:pStyle w:val="58"/>
        <w:rPr>
          <w:color w:val="auto"/>
        </w:rPr>
      </w:pPr>
      <w:bookmarkStart w:id="96" w:name="_Ref80717687"/>
      <w:r>
        <w:rPr>
          <w:rFonts w:hint="eastAsia"/>
          <w:color w:val="auto"/>
        </w:rPr>
        <w:t>表</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3.1</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12</w:t>
      </w:r>
      <w:r>
        <w:rPr>
          <w:color w:val="auto"/>
        </w:rPr>
        <w:fldChar w:fldCharType="end"/>
      </w:r>
      <w:bookmarkEnd w:id="96"/>
      <w:r>
        <w:rPr>
          <w:rFonts w:hint="eastAsia"/>
          <w:color w:val="auto"/>
        </w:rPr>
        <w:t>综合供水保证率评估赋分标准表</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6"/>
        <w:gridCol w:w="674"/>
        <w:gridCol w:w="1185"/>
        <w:gridCol w:w="1185"/>
        <w:gridCol w:w="1185"/>
        <w:gridCol w:w="1185"/>
        <w:gridCol w:w="11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Align w:val="center"/>
          </w:tcPr>
          <w:p>
            <w:pPr>
              <w:pStyle w:val="43"/>
            </w:pPr>
            <w:r>
              <w:rPr>
                <w:rFonts w:hint="eastAsia"/>
              </w:rPr>
              <w:t>综合供水保证率（%）</w:t>
            </w:r>
          </w:p>
        </w:tc>
        <w:tc>
          <w:tcPr>
            <w:tcW w:w="674" w:type="dxa"/>
            <w:vAlign w:val="center"/>
          </w:tcPr>
          <w:p>
            <w:pPr>
              <w:pStyle w:val="43"/>
            </w:pPr>
            <w:r>
              <w:rPr>
                <w:rFonts w:hint="eastAsia"/>
              </w:rPr>
              <w:t>≥9</w:t>
            </w:r>
            <w:r>
              <w:t>8</w:t>
            </w:r>
          </w:p>
        </w:tc>
        <w:tc>
          <w:tcPr>
            <w:tcW w:w="1185" w:type="dxa"/>
            <w:vAlign w:val="center"/>
          </w:tcPr>
          <w:p>
            <w:pPr>
              <w:pStyle w:val="43"/>
            </w:pPr>
            <w:r>
              <w:rPr>
                <w:rFonts w:hint="eastAsia"/>
              </w:rPr>
              <w:t>9</w:t>
            </w:r>
            <w:r>
              <w:t>5</w:t>
            </w:r>
            <w:r>
              <w:rPr>
                <w:rFonts w:hint="eastAsia"/>
              </w:rPr>
              <w:t>~</w:t>
            </w:r>
            <w:r>
              <w:t>98</w:t>
            </w:r>
          </w:p>
        </w:tc>
        <w:tc>
          <w:tcPr>
            <w:tcW w:w="1185" w:type="dxa"/>
            <w:vAlign w:val="center"/>
          </w:tcPr>
          <w:p>
            <w:pPr>
              <w:pStyle w:val="43"/>
            </w:pPr>
            <w:r>
              <w:rPr>
                <w:rFonts w:hint="eastAsia"/>
              </w:rPr>
              <w:t>8</w:t>
            </w:r>
            <w:r>
              <w:t>5</w:t>
            </w:r>
            <w:r>
              <w:rPr>
                <w:rFonts w:hint="eastAsia"/>
              </w:rPr>
              <w:t>~</w:t>
            </w:r>
            <w:r>
              <w:t>95</w:t>
            </w:r>
          </w:p>
        </w:tc>
        <w:tc>
          <w:tcPr>
            <w:tcW w:w="1185" w:type="dxa"/>
            <w:vAlign w:val="center"/>
          </w:tcPr>
          <w:p>
            <w:pPr>
              <w:pStyle w:val="43"/>
            </w:pPr>
            <w:r>
              <w:rPr>
                <w:rFonts w:hint="eastAsia"/>
              </w:rPr>
              <w:t>6</w:t>
            </w:r>
            <w:r>
              <w:t>0</w:t>
            </w:r>
            <w:r>
              <w:rPr>
                <w:rFonts w:hint="eastAsia"/>
              </w:rPr>
              <w:t>~</w:t>
            </w:r>
            <w:r>
              <w:t>85</w:t>
            </w:r>
          </w:p>
        </w:tc>
        <w:tc>
          <w:tcPr>
            <w:tcW w:w="1185" w:type="dxa"/>
            <w:vAlign w:val="center"/>
          </w:tcPr>
          <w:p>
            <w:pPr>
              <w:pStyle w:val="43"/>
            </w:pPr>
            <w:r>
              <w:rPr>
                <w:rFonts w:hint="eastAsia"/>
              </w:rPr>
              <w:t>5</w:t>
            </w:r>
            <w:r>
              <w:t>0</w:t>
            </w:r>
            <w:r>
              <w:rPr>
                <w:rFonts w:hint="eastAsia"/>
              </w:rPr>
              <w:t>~</w:t>
            </w:r>
            <w:r>
              <w:t>60</w:t>
            </w:r>
          </w:p>
        </w:tc>
        <w:tc>
          <w:tcPr>
            <w:tcW w:w="1186" w:type="dxa"/>
            <w:vAlign w:val="center"/>
          </w:tcPr>
          <w:p>
            <w:pPr>
              <w:pStyle w:val="43"/>
            </w:pPr>
            <w:r>
              <w:rPr>
                <w:rFonts w:hint="eastAsia"/>
              </w:rPr>
              <w:t>&lt;</w:t>
            </w:r>
            <w: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Align w:val="center"/>
          </w:tcPr>
          <w:p>
            <w:pPr>
              <w:pStyle w:val="43"/>
            </w:pPr>
            <w:r>
              <w:rPr>
                <w:rFonts w:hint="eastAsia"/>
              </w:rPr>
              <w:t>赋分</w:t>
            </w:r>
          </w:p>
        </w:tc>
        <w:tc>
          <w:tcPr>
            <w:tcW w:w="674" w:type="dxa"/>
            <w:vAlign w:val="center"/>
          </w:tcPr>
          <w:p>
            <w:pPr>
              <w:pStyle w:val="43"/>
            </w:pPr>
            <w:r>
              <w:rPr>
                <w:rFonts w:hint="eastAsia"/>
              </w:rPr>
              <w:t>1</w:t>
            </w:r>
            <w:r>
              <w:t>00</w:t>
            </w:r>
          </w:p>
        </w:tc>
        <w:tc>
          <w:tcPr>
            <w:tcW w:w="1185" w:type="dxa"/>
            <w:vAlign w:val="center"/>
          </w:tcPr>
          <w:p>
            <w:pPr>
              <w:pStyle w:val="43"/>
            </w:pPr>
            <w:r>
              <w:rPr>
                <w:rFonts w:hint="eastAsia"/>
              </w:rPr>
              <w:t>8</w:t>
            </w:r>
            <w:r>
              <w:t>0</w:t>
            </w:r>
          </w:p>
        </w:tc>
        <w:tc>
          <w:tcPr>
            <w:tcW w:w="1185" w:type="dxa"/>
            <w:vAlign w:val="center"/>
          </w:tcPr>
          <w:p>
            <w:pPr>
              <w:pStyle w:val="43"/>
            </w:pPr>
            <w:r>
              <w:rPr>
                <w:rFonts w:hint="eastAsia"/>
              </w:rPr>
              <w:t>6</w:t>
            </w:r>
            <w:r>
              <w:t>0</w:t>
            </w:r>
          </w:p>
        </w:tc>
        <w:tc>
          <w:tcPr>
            <w:tcW w:w="1185" w:type="dxa"/>
            <w:vAlign w:val="center"/>
          </w:tcPr>
          <w:p>
            <w:pPr>
              <w:pStyle w:val="43"/>
            </w:pPr>
            <w:r>
              <w:rPr>
                <w:rFonts w:hint="eastAsia"/>
              </w:rPr>
              <w:t>4</w:t>
            </w:r>
            <w:r>
              <w:t>0</w:t>
            </w:r>
          </w:p>
        </w:tc>
        <w:tc>
          <w:tcPr>
            <w:tcW w:w="1185" w:type="dxa"/>
            <w:vAlign w:val="center"/>
          </w:tcPr>
          <w:p>
            <w:pPr>
              <w:pStyle w:val="43"/>
            </w:pPr>
            <w:r>
              <w:rPr>
                <w:rFonts w:hint="eastAsia"/>
              </w:rPr>
              <w:t>2</w:t>
            </w:r>
            <w:r>
              <w:t>0</w:t>
            </w:r>
          </w:p>
        </w:tc>
        <w:tc>
          <w:tcPr>
            <w:tcW w:w="1186" w:type="dxa"/>
            <w:vAlign w:val="center"/>
          </w:tcPr>
          <w:p>
            <w:pPr>
              <w:pStyle w:val="43"/>
            </w:pPr>
            <w:r>
              <w:rPr>
                <w:rFonts w:hint="eastAsia"/>
              </w:rPr>
              <w:t>0</w:t>
            </w:r>
          </w:p>
        </w:tc>
      </w:tr>
    </w:tbl>
    <w:p>
      <w:pPr>
        <w:ind w:firstLine="0" w:firstLineChars="0"/>
      </w:pPr>
    </w:p>
    <w:p>
      <w:pPr>
        <w:ind w:firstLine="480"/>
      </w:pPr>
      <w:r>
        <w:rPr>
          <w:rFonts w:hint="eastAsia"/>
        </w:rPr>
        <w:t>（</w:t>
      </w:r>
      <w:r>
        <w:t>4</w:t>
      </w:r>
      <w:r>
        <w:rPr>
          <w:rFonts w:hint="eastAsia"/>
        </w:rPr>
        <w:t>）开发利用状况与规划的符合性</w:t>
      </w:r>
    </w:p>
    <w:p>
      <w:pPr>
        <w:ind w:firstLine="480"/>
      </w:pPr>
      <w:r>
        <w:rPr>
          <w:rFonts w:hint="eastAsia"/>
        </w:rPr>
        <w:t>河流的开发利用状况应符合河流规划，水利项目重点复核内容如下：</w:t>
      </w:r>
    </w:p>
    <w:p>
      <w:pPr>
        <w:ind w:firstLine="480"/>
      </w:pPr>
      <w:r>
        <w:rPr>
          <w:rFonts w:hint="eastAsia"/>
        </w:rPr>
        <w:t>1）水电站主要复核开发利用任务、工程规模、开发方式、调度运行方式、生态流量等内容与规划的符合性；</w:t>
      </w:r>
    </w:p>
    <w:p>
      <w:pPr>
        <w:ind w:firstLine="480"/>
      </w:pPr>
      <w:r>
        <w:rPr>
          <w:rFonts w:hint="eastAsia"/>
        </w:rPr>
        <w:t>2）堤防主要复核工程规模、防洪标准等内容与规划的符合性；</w:t>
      </w:r>
    </w:p>
    <w:p>
      <w:pPr>
        <w:ind w:firstLine="480"/>
      </w:pPr>
      <w:r>
        <w:rPr>
          <w:rFonts w:hint="eastAsia"/>
        </w:rPr>
        <w:t>3）囤蓄水库主要复核开发利用任务、运行方式、供水量、供水保证率等内容与规划的符合性；</w:t>
      </w:r>
    </w:p>
    <w:p>
      <w:pPr>
        <w:ind w:firstLine="480"/>
      </w:pPr>
      <w:r>
        <w:rPr>
          <w:rFonts w:hint="eastAsia"/>
        </w:rPr>
        <w:t>4）航道主要复核通航水深、航道宽度等内容与规划的符合性；</w:t>
      </w:r>
    </w:p>
    <w:p>
      <w:pPr>
        <w:ind w:firstLine="480"/>
      </w:pPr>
      <w:r>
        <w:rPr>
          <w:rFonts w:hint="eastAsia"/>
        </w:rPr>
        <w:t>5）其他有关涉水工程项目，应重点复核其开发利用任务、工程规模等内容与规划的符合性。</w:t>
      </w:r>
    </w:p>
    <w:p>
      <w:pPr>
        <w:ind w:firstLine="480"/>
      </w:pPr>
      <w:r>
        <w:rPr>
          <w:rFonts w:hint="eastAsia"/>
        </w:rPr>
        <w:t>收集河湖库主要开发利用现状（发电、采砂、航运、供水）及相关规划，按照符合性赋分。</w:t>
      </w:r>
    </w:p>
    <w:p>
      <w:pPr>
        <w:pStyle w:val="58"/>
        <w:rPr>
          <w:color w:val="auto"/>
        </w:rPr>
      </w:pPr>
      <w:bookmarkStart w:id="97" w:name="_Ref80717728"/>
      <w:r>
        <w:rPr>
          <w:rFonts w:hint="eastAsia"/>
          <w:color w:val="auto"/>
        </w:rPr>
        <w:t>表</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3.1</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13</w:t>
      </w:r>
      <w:r>
        <w:rPr>
          <w:color w:val="auto"/>
        </w:rPr>
        <w:fldChar w:fldCharType="end"/>
      </w:r>
      <w:bookmarkEnd w:id="97"/>
      <w:r>
        <w:rPr>
          <w:rFonts w:hint="eastAsia"/>
          <w:color w:val="auto"/>
        </w:rPr>
        <w:t>开发利用状况与规划的符合性赋分标准表</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2"/>
        <w:gridCol w:w="1382"/>
        <w:gridCol w:w="1383"/>
        <w:gridCol w:w="1383"/>
        <w:gridCol w:w="1383"/>
        <w:gridCol w:w="1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tcPr>
          <w:p>
            <w:pPr>
              <w:pStyle w:val="43"/>
            </w:pPr>
            <w:r>
              <w:rPr>
                <w:rFonts w:hint="eastAsia"/>
              </w:rPr>
              <w:t>符合性</w:t>
            </w:r>
          </w:p>
        </w:tc>
        <w:tc>
          <w:tcPr>
            <w:tcW w:w="1382" w:type="dxa"/>
          </w:tcPr>
          <w:p>
            <w:pPr>
              <w:pStyle w:val="43"/>
            </w:pPr>
            <w:r>
              <w:rPr>
                <w:rFonts w:hint="eastAsia"/>
              </w:rPr>
              <w:t>开发利用活动有规划支撑，且规划现行有效</w:t>
            </w:r>
          </w:p>
        </w:tc>
        <w:tc>
          <w:tcPr>
            <w:tcW w:w="1383" w:type="dxa"/>
          </w:tcPr>
          <w:p>
            <w:pPr>
              <w:pStyle w:val="43"/>
            </w:pPr>
            <w:r>
              <w:rPr>
                <w:rFonts w:hint="eastAsia"/>
              </w:rPr>
              <w:t>开发利用活动有规划支撑，但规划需修编</w:t>
            </w:r>
          </w:p>
        </w:tc>
        <w:tc>
          <w:tcPr>
            <w:tcW w:w="1383" w:type="dxa"/>
          </w:tcPr>
          <w:p>
            <w:pPr>
              <w:pStyle w:val="43"/>
            </w:pPr>
            <w:r>
              <w:rPr>
                <w:rFonts w:hint="eastAsia"/>
              </w:rPr>
              <w:t>开发利用活动有规划但不完全相符</w:t>
            </w:r>
          </w:p>
        </w:tc>
        <w:tc>
          <w:tcPr>
            <w:tcW w:w="1383" w:type="dxa"/>
          </w:tcPr>
          <w:p>
            <w:pPr>
              <w:pStyle w:val="43"/>
            </w:pPr>
            <w:r>
              <w:rPr>
                <w:rFonts w:hint="eastAsia"/>
              </w:rPr>
              <w:t>开发利用活动无规划支撑</w:t>
            </w:r>
          </w:p>
        </w:tc>
        <w:tc>
          <w:tcPr>
            <w:tcW w:w="1383" w:type="dxa"/>
          </w:tcPr>
          <w:p>
            <w:pPr>
              <w:pStyle w:val="43"/>
            </w:pPr>
            <w:r>
              <w:rPr>
                <w:rFonts w:hint="eastAsia"/>
              </w:rPr>
              <w:t>开发利用规划违反规划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tcPr>
          <w:p>
            <w:pPr>
              <w:pStyle w:val="43"/>
            </w:pPr>
            <w:r>
              <w:rPr>
                <w:rFonts w:hint="eastAsia"/>
              </w:rPr>
              <w:t>赋分</w:t>
            </w:r>
          </w:p>
        </w:tc>
        <w:tc>
          <w:tcPr>
            <w:tcW w:w="1382" w:type="dxa"/>
          </w:tcPr>
          <w:p>
            <w:pPr>
              <w:pStyle w:val="43"/>
            </w:pPr>
            <w:r>
              <w:rPr>
                <w:rFonts w:hint="eastAsia"/>
              </w:rPr>
              <w:t>1</w:t>
            </w:r>
            <w:r>
              <w:t>00</w:t>
            </w:r>
          </w:p>
        </w:tc>
        <w:tc>
          <w:tcPr>
            <w:tcW w:w="1383" w:type="dxa"/>
          </w:tcPr>
          <w:p>
            <w:pPr>
              <w:pStyle w:val="43"/>
            </w:pPr>
            <w:r>
              <w:rPr>
                <w:rFonts w:hint="eastAsia"/>
              </w:rPr>
              <w:t>8</w:t>
            </w:r>
            <w:r>
              <w:t>0</w:t>
            </w:r>
          </w:p>
        </w:tc>
        <w:tc>
          <w:tcPr>
            <w:tcW w:w="1383" w:type="dxa"/>
          </w:tcPr>
          <w:p>
            <w:pPr>
              <w:pStyle w:val="43"/>
            </w:pPr>
            <w:r>
              <w:rPr>
                <w:rFonts w:hint="eastAsia"/>
              </w:rPr>
              <w:t>6</w:t>
            </w:r>
            <w:r>
              <w:t>0</w:t>
            </w:r>
          </w:p>
        </w:tc>
        <w:tc>
          <w:tcPr>
            <w:tcW w:w="1383" w:type="dxa"/>
          </w:tcPr>
          <w:p>
            <w:pPr>
              <w:pStyle w:val="43"/>
            </w:pPr>
            <w:r>
              <w:rPr>
                <w:rFonts w:hint="eastAsia"/>
              </w:rPr>
              <w:t>4</w:t>
            </w:r>
            <w:r>
              <w:t>0</w:t>
            </w:r>
          </w:p>
        </w:tc>
        <w:tc>
          <w:tcPr>
            <w:tcW w:w="1383" w:type="dxa"/>
          </w:tcPr>
          <w:p>
            <w:pPr>
              <w:pStyle w:val="43"/>
            </w:pPr>
            <w:r>
              <w:rPr>
                <w:rFonts w:hint="eastAsia"/>
              </w:rPr>
              <w:t>0</w:t>
            </w:r>
          </w:p>
        </w:tc>
      </w:tr>
    </w:tbl>
    <w:p>
      <w:pPr>
        <w:ind w:firstLine="480"/>
      </w:pPr>
    </w:p>
    <w:p>
      <w:pPr>
        <w:pStyle w:val="4"/>
        <w:ind w:left="240"/>
      </w:pPr>
      <w:bookmarkStart w:id="98" w:name="_Toc80719399"/>
      <w:bookmarkStart w:id="99" w:name="_Toc86049173"/>
      <w:r>
        <w:rPr>
          <w:rFonts w:hint="eastAsia"/>
        </w:rPr>
        <w:t>指标权重</w:t>
      </w:r>
      <w:bookmarkEnd w:id="98"/>
      <w:bookmarkEnd w:id="99"/>
    </w:p>
    <w:p>
      <w:pPr>
        <w:ind w:firstLine="480"/>
      </w:pPr>
      <w:r>
        <w:rPr>
          <w:rFonts w:hint="eastAsia"/>
        </w:rPr>
        <w:t>根据</w:t>
      </w:r>
      <w:r>
        <w:t>《广元市江河湖泊水功能区划》</w:t>
      </w:r>
      <w:r>
        <w:rPr>
          <w:rFonts w:hint="eastAsia"/>
        </w:rPr>
        <w:t>，盐井河川陕交界处河段为盐井河陕川缓冲区，万家乡至河口为盐井河旺苍保留区，</w:t>
      </w:r>
      <w:r>
        <w:rPr>
          <w:rFonts w:hint="eastAsia" w:cs="Times New Roman"/>
        </w:rPr>
        <w:t>据现场调查，</w:t>
      </w:r>
      <w:r>
        <w:rPr>
          <w:rFonts w:hint="eastAsia"/>
        </w:rPr>
        <w:t>人类活动较少，且保护区大部分河段未修建水利工程及涉河建筑物，河道大多为自然河流，人为干预小、境内开发利用程度较低，根据《指南》河流类型分类，盐井河河流类型为自然河流，评价指标体系各指标权重见下表。</w:t>
      </w:r>
    </w:p>
    <w:p>
      <w:pPr>
        <w:pStyle w:val="58"/>
        <w:rPr>
          <w:color w:val="auto"/>
        </w:rPr>
      </w:pPr>
      <w:r>
        <w:rPr>
          <w:rFonts w:hint="eastAsia"/>
          <w:color w:val="auto"/>
        </w:rPr>
        <w:t>表</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3.1</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14</w:t>
      </w:r>
      <w:r>
        <w:rPr>
          <w:color w:val="auto"/>
        </w:rPr>
        <w:fldChar w:fldCharType="end"/>
      </w:r>
      <w:r>
        <w:rPr>
          <w:rFonts w:hint="eastAsia"/>
          <w:color w:val="auto"/>
        </w:rPr>
        <w:t>盐井河健康评价指标权重表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7"/>
        <w:gridCol w:w="2129"/>
        <w:gridCol w:w="1338"/>
        <w:gridCol w:w="769"/>
        <w:gridCol w:w="30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697" w:type="pct"/>
            <w:vAlign w:val="center"/>
          </w:tcPr>
          <w:p>
            <w:pPr>
              <w:pStyle w:val="43"/>
            </w:pPr>
            <w:r>
              <w:t>分类指标</w:t>
            </w:r>
          </w:p>
        </w:tc>
        <w:tc>
          <w:tcPr>
            <w:tcW w:w="1249" w:type="pct"/>
            <w:vAlign w:val="center"/>
          </w:tcPr>
          <w:p>
            <w:pPr>
              <w:pStyle w:val="43"/>
            </w:pPr>
            <w:r>
              <w:rPr>
                <w:rFonts w:hint="eastAsia"/>
              </w:rPr>
              <w:t>所占权重</w:t>
            </w:r>
          </w:p>
        </w:tc>
        <w:tc>
          <w:tcPr>
            <w:tcW w:w="785" w:type="pct"/>
            <w:vAlign w:val="center"/>
          </w:tcPr>
          <w:p>
            <w:pPr>
              <w:pStyle w:val="43"/>
            </w:pPr>
            <w:r>
              <w:rPr>
                <w:rFonts w:hint="eastAsia"/>
              </w:rPr>
              <w:t>分项指标</w:t>
            </w:r>
          </w:p>
        </w:tc>
        <w:tc>
          <w:tcPr>
            <w:tcW w:w="451" w:type="pct"/>
            <w:vAlign w:val="center"/>
          </w:tcPr>
          <w:p>
            <w:pPr>
              <w:pStyle w:val="43"/>
            </w:pPr>
            <w:r>
              <w:t>所占权重</w:t>
            </w:r>
          </w:p>
        </w:tc>
        <w:tc>
          <w:tcPr>
            <w:tcW w:w="1819" w:type="pct"/>
            <w:vAlign w:val="center"/>
          </w:tcPr>
          <w:p>
            <w:pPr>
              <w:pStyle w:val="43"/>
            </w:pPr>
            <w: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pct"/>
            <w:vMerge w:val="restart"/>
            <w:vAlign w:val="center"/>
          </w:tcPr>
          <w:p>
            <w:pPr>
              <w:pStyle w:val="43"/>
            </w:pPr>
            <w:r>
              <w:rPr>
                <w:rFonts w:hint="eastAsia"/>
              </w:rPr>
              <w:t>水文水资源</w:t>
            </w:r>
          </w:p>
        </w:tc>
        <w:tc>
          <w:tcPr>
            <w:tcW w:w="1249" w:type="pct"/>
            <w:vMerge w:val="restart"/>
            <w:vAlign w:val="center"/>
          </w:tcPr>
          <w:p>
            <w:pPr>
              <w:pStyle w:val="43"/>
            </w:pPr>
            <w:r>
              <w:rPr>
                <w:rFonts w:hint="eastAsia"/>
              </w:rPr>
              <w:t>0</w:t>
            </w:r>
            <w:r>
              <w:t>.2</w:t>
            </w:r>
          </w:p>
        </w:tc>
        <w:tc>
          <w:tcPr>
            <w:tcW w:w="785" w:type="pct"/>
            <w:vAlign w:val="center"/>
          </w:tcPr>
          <w:p>
            <w:pPr>
              <w:pStyle w:val="43"/>
            </w:pPr>
            <w:r>
              <w:rPr>
                <w:rFonts w:hint="eastAsia"/>
              </w:rPr>
              <w:t>水资源开发利用率</w:t>
            </w:r>
          </w:p>
        </w:tc>
        <w:tc>
          <w:tcPr>
            <w:tcW w:w="451" w:type="pct"/>
            <w:vAlign w:val="center"/>
          </w:tcPr>
          <w:p>
            <w:pPr>
              <w:pStyle w:val="43"/>
            </w:pPr>
            <w:r>
              <w:rPr>
                <w:rFonts w:hint="eastAsia"/>
              </w:rPr>
              <w:t>0</w:t>
            </w:r>
            <w:r>
              <w:t>.05</w:t>
            </w:r>
          </w:p>
        </w:tc>
        <w:tc>
          <w:tcPr>
            <w:tcW w:w="1819" w:type="pct"/>
            <w:vAlign w:val="center"/>
          </w:tcPr>
          <w:p>
            <w:pPr>
              <w:pStyle w:val="43"/>
            </w:pPr>
            <w:r>
              <w:rPr>
                <w:rFonts w:hint="eastAsia"/>
              </w:rPr>
              <w:t>对于以供水为主主要功能的半人工半自然河流，不评价水资源开发利用率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pct"/>
            <w:vMerge w:val="continue"/>
            <w:vAlign w:val="center"/>
          </w:tcPr>
          <w:p>
            <w:pPr>
              <w:pStyle w:val="43"/>
            </w:pPr>
          </w:p>
        </w:tc>
        <w:tc>
          <w:tcPr>
            <w:tcW w:w="1249" w:type="pct"/>
            <w:vMerge w:val="continue"/>
            <w:vAlign w:val="center"/>
          </w:tcPr>
          <w:p>
            <w:pPr>
              <w:pStyle w:val="43"/>
            </w:pPr>
          </w:p>
        </w:tc>
        <w:tc>
          <w:tcPr>
            <w:tcW w:w="785" w:type="pct"/>
            <w:vAlign w:val="center"/>
          </w:tcPr>
          <w:p>
            <w:pPr>
              <w:pStyle w:val="43"/>
            </w:pPr>
            <w:r>
              <w:rPr>
                <w:rFonts w:hint="eastAsia"/>
              </w:rPr>
              <w:t>生态用水满足程度</w:t>
            </w:r>
          </w:p>
        </w:tc>
        <w:tc>
          <w:tcPr>
            <w:tcW w:w="451" w:type="pct"/>
            <w:vAlign w:val="center"/>
          </w:tcPr>
          <w:p>
            <w:pPr>
              <w:pStyle w:val="43"/>
            </w:pPr>
            <w:r>
              <w:rPr>
                <w:rFonts w:hint="eastAsia"/>
              </w:rPr>
              <w:t>0</w:t>
            </w:r>
            <w:r>
              <w:t>.15</w:t>
            </w:r>
          </w:p>
        </w:tc>
        <w:tc>
          <w:tcPr>
            <w:tcW w:w="1819" w:type="pct"/>
            <w:vAlign w:val="center"/>
          </w:tcPr>
          <w:p>
            <w:pPr>
              <w:pStyle w:val="43"/>
            </w:pPr>
            <w:r>
              <w:rPr>
                <w:rFonts w:hint="eastAsia"/>
              </w:rPr>
              <w:t>对于受认为水量调度的半人工半自然河流，不评价生态用水满足程度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pct"/>
            <w:vMerge w:val="restart"/>
            <w:vAlign w:val="center"/>
          </w:tcPr>
          <w:p>
            <w:pPr>
              <w:pStyle w:val="43"/>
            </w:pPr>
            <w:r>
              <w:rPr>
                <w:rFonts w:hint="eastAsia"/>
              </w:rPr>
              <w:t>物理结构</w:t>
            </w:r>
          </w:p>
        </w:tc>
        <w:tc>
          <w:tcPr>
            <w:tcW w:w="1249" w:type="pct"/>
            <w:vMerge w:val="restart"/>
            <w:vAlign w:val="center"/>
          </w:tcPr>
          <w:p>
            <w:pPr>
              <w:pStyle w:val="43"/>
            </w:pPr>
            <w:r>
              <w:rPr>
                <w:rFonts w:hint="eastAsia"/>
              </w:rPr>
              <w:t>0</w:t>
            </w:r>
            <w:r>
              <w:t>.30</w:t>
            </w:r>
          </w:p>
        </w:tc>
        <w:tc>
          <w:tcPr>
            <w:tcW w:w="785" w:type="pct"/>
            <w:vAlign w:val="center"/>
          </w:tcPr>
          <w:p>
            <w:pPr>
              <w:pStyle w:val="43"/>
            </w:pPr>
            <w:r>
              <w:rPr>
                <w:rFonts w:hint="eastAsia"/>
              </w:rPr>
              <w:t>河岸稳定性指标</w:t>
            </w:r>
          </w:p>
        </w:tc>
        <w:tc>
          <w:tcPr>
            <w:tcW w:w="451" w:type="pct"/>
            <w:vAlign w:val="center"/>
          </w:tcPr>
          <w:p>
            <w:pPr>
              <w:pStyle w:val="43"/>
            </w:pPr>
            <w:r>
              <w:rPr>
                <w:rFonts w:hint="eastAsia"/>
              </w:rPr>
              <w:t>0</w:t>
            </w:r>
            <w:r>
              <w:t>.15</w:t>
            </w:r>
          </w:p>
        </w:tc>
        <w:tc>
          <w:tcPr>
            <w:tcW w:w="1819" w:type="pct"/>
            <w:vAlign w:val="center"/>
          </w:tcPr>
          <w:p>
            <w:pPr>
              <w:pStyle w:val="4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pct"/>
            <w:vMerge w:val="continue"/>
            <w:vAlign w:val="center"/>
          </w:tcPr>
          <w:p>
            <w:pPr>
              <w:pStyle w:val="43"/>
            </w:pPr>
          </w:p>
        </w:tc>
        <w:tc>
          <w:tcPr>
            <w:tcW w:w="1249" w:type="pct"/>
            <w:vMerge w:val="continue"/>
            <w:vAlign w:val="center"/>
          </w:tcPr>
          <w:p>
            <w:pPr>
              <w:pStyle w:val="43"/>
            </w:pPr>
          </w:p>
        </w:tc>
        <w:tc>
          <w:tcPr>
            <w:tcW w:w="785" w:type="pct"/>
            <w:vAlign w:val="center"/>
          </w:tcPr>
          <w:p>
            <w:pPr>
              <w:pStyle w:val="43"/>
            </w:pPr>
            <w:r>
              <w:rPr>
                <w:rFonts w:hint="eastAsia"/>
              </w:rPr>
              <w:t>河流纵向连通指数</w:t>
            </w:r>
          </w:p>
        </w:tc>
        <w:tc>
          <w:tcPr>
            <w:tcW w:w="451" w:type="pct"/>
            <w:vAlign w:val="center"/>
          </w:tcPr>
          <w:p>
            <w:pPr>
              <w:pStyle w:val="43"/>
            </w:pPr>
            <w:r>
              <w:rPr>
                <w:rFonts w:hint="eastAsia"/>
              </w:rPr>
              <w:t>0</w:t>
            </w:r>
            <w:r>
              <w:t>.15</w:t>
            </w:r>
          </w:p>
        </w:tc>
        <w:tc>
          <w:tcPr>
            <w:tcW w:w="1819" w:type="pct"/>
            <w:vAlign w:val="center"/>
          </w:tcPr>
          <w:p>
            <w:pPr>
              <w:pStyle w:val="43"/>
            </w:pPr>
            <w:r>
              <w:rPr>
                <w:rFonts w:hint="eastAsia"/>
              </w:rPr>
              <w:t>城市河流河段不评价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pct"/>
            <w:vMerge w:val="restart"/>
            <w:vAlign w:val="center"/>
          </w:tcPr>
          <w:p>
            <w:pPr>
              <w:pStyle w:val="43"/>
            </w:pPr>
            <w:r>
              <w:rPr>
                <w:rFonts w:hint="eastAsia"/>
              </w:rPr>
              <w:t>水质</w:t>
            </w:r>
          </w:p>
        </w:tc>
        <w:tc>
          <w:tcPr>
            <w:tcW w:w="1249" w:type="pct"/>
            <w:vMerge w:val="restart"/>
            <w:vAlign w:val="center"/>
          </w:tcPr>
          <w:p>
            <w:pPr>
              <w:pStyle w:val="43"/>
            </w:pPr>
            <w:r>
              <w:rPr>
                <w:rFonts w:hint="eastAsia"/>
              </w:rPr>
              <w:t>0</w:t>
            </w:r>
            <w:r>
              <w:t>.25</w:t>
            </w:r>
          </w:p>
        </w:tc>
        <w:tc>
          <w:tcPr>
            <w:tcW w:w="785" w:type="pct"/>
            <w:vAlign w:val="center"/>
          </w:tcPr>
          <w:p>
            <w:pPr>
              <w:pStyle w:val="43"/>
            </w:pPr>
            <w:r>
              <w:rPr>
                <w:rFonts w:hint="eastAsia"/>
              </w:rPr>
              <w:t>水体整洁程度</w:t>
            </w:r>
          </w:p>
        </w:tc>
        <w:tc>
          <w:tcPr>
            <w:tcW w:w="451" w:type="pct"/>
            <w:vAlign w:val="center"/>
          </w:tcPr>
          <w:p>
            <w:pPr>
              <w:pStyle w:val="43"/>
            </w:pPr>
            <w:r>
              <w:rPr>
                <w:rFonts w:hint="eastAsia"/>
              </w:rPr>
              <w:t>0</w:t>
            </w:r>
            <w:r>
              <w:t>.05</w:t>
            </w:r>
          </w:p>
        </w:tc>
        <w:tc>
          <w:tcPr>
            <w:tcW w:w="1819" w:type="pct"/>
            <w:vAlign w:val="center"/>
          </w:tcPr>
          <w:p>
            <w:pPr>
              <w:pStyle w:val="4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pct"/>
            <w:vMerge w:val="continue"/>
            <w:vAlign w:val="center"/>
          </w:tcPr>
          <w:p>
            <w:pPr>
              <w:pStyle w:val="43"/>
            </w:pPr>
          </w:p>
        </w:tc>
        <w:tc>
          <w:tcPr>
            <w:tcW w:w="1249" w:type="pct"/>
            <w:vMerge w:val="continue"/>
            <w:vAlign w:val="center"/>
          </w:tcPr>
          <w:p>
            <w:pPr>
              <w:pStyle w:val="43"/>
            </w:pPr>
          </w:p>
        </w:tc>
        <w:tc>
          <w:tcPr>
            <w:tcW w:w="785" w:type="pct"/>
            <w:vAlign w:val="center"/>
          </w:tcPr>
          <w:p>
            <w:pPr>
              <w:pStyle w:val="43"/>
            </w:pPr>
            <w:r>
              <w:rPr>
                <w:rFonts w:hint="eastAsia"/>
              </w:rPr>
              <w:t>水质优劣程度</w:t>
            </w:r>
          </w:p>
        </w:tc>
        <w:tc>
          <w:tcPr>
            <w:tcW w:w="451" w:type="pct"/>
            <w:vAlign w:val="center"/>
          </w:tcPr>
          <w:p>
            <w:pPr>
              <w:pStyle w:val="43"/>
            </w:pPr>
            <w:r>
              <w:rPr>
                <w:rFonts w:hint="eastAsia"/>
              </w:rPr>
              <w:t>0</w:t>
            </w:r>
            <w:r>
              <w:t>.15</w:t>
            </w:r>
          </w:p>
        </w:tc>
        <w:tc>
          <w:tcPr>
            <w:tcW w:w="1819" w:type="pct"/>
            <w:vAlign w:val="center"/>
          </w:tcPr>
          <w:p>
            <w:pPr>
              <w:pStyle w:val="43"/>
            </w:pPr>
            <w:r>
              <w:rPr>
                <w:rFonts w:hint="eastAsia"/>
              </w:rPr>
              <w:t>Ⅰ~Ⅲ类水质比例&lt;</w:t>
            </w:r>
            <w:r>
              <w:t>50%</w:t>
            </w:r>
            <w:r>
              <w:rPr>
                <w:rFonts w:hint="eastAsia"/>
              </w:rPr>
              <w:t>，否决为不健康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pct"/>
            <w:vMerge w:val="continue"/>
            <w:vAlign w:val="center"/>
          </w:tcPr>
          <w:p>
            <w:pPr>
              <w:pStyle w:val="43"/>
            </w:pPr>
          </w:p>
        </w:tc>
        <w:tc>
          <w:tcPr>
            <w:tcW w:w="1249" w:type="pct"/>
            <w:vMerge w:val="continue"/>
            <w:vAlign w:val="center"/>
          </w:tcPr>
          <w:p>
            <w:pPr>
              <w:pStyle w:val="43"/>
            </w:pPr>
          </w:p>
        </w:tc>
        <w:tc>
          <w:tcPr>
            <w:tcW w:w="785" w:type="pct"/>
            <w:vAlign w:val="center"/>
          </w:tcPr>
          <w:p>
            <w:pPr>
              <w:pStyle w:val="43"/>
            </w:pPr>
            <w:r>
              <w:rPr>
                <w:rFonts w:hint="eastAsia"/>
              </w:rPr>
              <w:t>水质变化趋势</w:t>
            </w:r>
          </w:p>
        </w:tc>
        <w:tc>
          <w:tcPr>
            <w:tcW w:w="451" w:type="pct"/>
            <w:vAlign w:val="center"/>
          </w:tcPr>
          <w:p>
            <w:pPr>
              <w:pStyle w:val="43"/>
            </w:pPr>
            <w:r>
              <w:rPr>
                <w:rFonts w:hint="eastAsia"/>
              </w:rPr>
              <w:t>0</w:t>
            </w:r>
            <w:r>
              <w:t>.05</w:t>
            </w:r>
          </w:p>
        </w:tc>
        <w:tc>
          <w:tcPr>
            <w:tcW w:w="1819" w:type="pct"/>
            <w:vAlign w:val="center"/>
          </w:tcPr>
          <w:p>
            <w:pPr>
              <w:pStyle w:val="4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pct"/>
            <w:vMerge w:val="restart"/>
            <w:vAlign w:val="center"/>
          </w:tcPr>
          <w:p>
            <w:pPr>
              <w:pStyle w:val="43"/>
            </w:pPr>
            <w:r>
              <w:rPr>
                <w:rFonts w:hint="eastAsia"/>
              </w:rPr>
              <w:t>生物</w:t>
            </w:r>
          </w:p>
        </w:tc>
        <w:tc>
          <w:tcPr>
            <w:tcW w:w="1249" w:type="pct"/>
            <w:vMerge w:val="restart"/>
            <w:vAlign w:val="center"/>
          </w:tcPr>
          <w:p>
            <w:pPr>
              <w:pStyle w:val="43"/>
            </w:pPr>
            <w:r>
              <w:rPr>
                <w:rFonts w:hint="eastAsia"/>
              </w:rPr>
              <w:t>0</w:t>
            </w:r>
            <w:r>
              <w:t>.10</w:t>
            </w:r>
          </w:p>
        </w:tc>
        <w:tc>
          <w:tcPr>
            <w:tcW w:w="785" w:type="pct"/>
            <w:vAlign w:val="center"/>
          </w:tcPr>
          <w:p>
            <w:pPr>
              <w:pStyle w:val="43"/>
            </w:pPr>
            <w:r>
              <w:rPr>
                <w:rFonts w:hint="eastAsia"/>
              </w:rPr>
              <w:t>鱼类保有指数</w:t>
            </w:r>
          </w:p>
        </w:tc>
        <w:tc>
          <w:tcPr>
            <w:tcW w:w="451" w:type="pct"/>
            <w:vAlign w:val="center"/>
          </w:tcPr>
          <w:p>
            <w:pPr>
              <w:pStyle w:val="43"/>
            </w:pPr>
            <w:r>
              <w:rPr>
                <w:rFonts w:hint="eastAsia"/>
              </w:rPr>
              <w:t>0</w:t>
            </w:r>
            <w:r>
              <w:t>.05</w:t>
            </w:r>
          </w:p>
        </w:tc>
        <w:tc>
          <w:tcPr>
            <w:tcW w:w="1819" w:type="pct"/>
            <w:vAlign w:val="center"/>
          </w:tcPr>
          <w:p>
            <w:pPr>
              <w:pStyle w:val="4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pct"/>
            <w:vMerge w:val="continue"/>
            <w:vAlign w:val="center"/>
          </w:tcPr>
          <w:p>
            <w:pPr>
              <w:pStyle w:val="43"/>
            </w:pPr>
          </w:p>
        </w:tc>
        <w:tc>
          <w:tcPr>
            <w:tcW w:w="1249" w:type="pct"/>
            <w:vMerge w:val="continue"/>
            <w:vAlign w:val="center"/>
          </w:tcPr>
          <w:p>
            <w:pPr>
              <w:pStyle w:val="43"/>
            </w:pPr>
          </w:p>
        </w:tc>
        <w:tc>
          <w:tcPr>
            <w:tcW w:w="785" w:type="pct"/>
            <w:vAlign w:val="center"/>
          </w:tcPr>
          <w:p>
            <w:pPr>
              <w:pStyle w:val="43"/>
            </w:pPr>
            <w:r>
              <w:rPr>
                <w:rFonts w:hint="eastAsia"/>
              </w:rPr>
              <w:t>外来水生动植物</w:t>
            </w:r>
          </w:p>
        </w:tc>
        <w:tc>
          <w:tcPr>
            <w:tcW w:w="451" w:type="pct"/>
            <w:vAlign w:val="center"/>
          </w:tcPr>
          <w:p>
            <w:pPr>
              <w:pStyle w:val="43"/>
            </w:pPr>
            <w:r>
              <w:rPr>
                <w:rFonts w:hint="eastAsia"/>
              </w:rPr>
              <w:t>0</w:t>
            </w:r>
            <w:r>
              <w:t>.05</w:t>
            </w:r>
          </w:p>
        </w:tc>
        <w:tc>
          <w:tcPr>
            <w:tcW w:w="1819" w:type="pct"/>
            <w:vAlign w:val="center"/>
          </w:tcPr>
          <w:p>
            <w:pPr>
              <w:pStyle w:val="4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pct"/>
            <w:vMerge w:val="restart"/>
            <w:vAlign w:val="center"/>
          </w:tcPr>
          <w:p>
            <w:pPr>
              <w:pStyle w:val="43"/>
            </w:pPr>
            <w:r>
              <w:rPr>
                <w:rFonts w:hint="eastAsia"/>
              </w:rPr>
              <w:t>河湖管理与社会服务功能</w:t>
            </w:r>
          </w:p>
        </w:tc>
        <w:tc>
          <w:tcPr>
            <w:tcW w:w="1249" w:type="pct"/>
            <w:vMerge w:val="restart"/>
            <w:vAlign w:val="center"/>
          </w:tcPr>
          <w:p>
            <w:pPr>
              <w:pStyle w:val="43"/>
            </w:pPr>
            <w:r>
              <w:rPr>
                <w:rFonts w:hint="eastAsia"/>
              </w:rPr>
              <w:t>0</w:t>
            </w:r>
            <w:r>
              <w:t>.15</w:t>
            </w:r>
          </w:p>
        </w:tc>
        <w:tc>
          <w:tcPr>
            <w:tcW w:w="785" w:type="pct"/>
            <w:vAlign w:val="center"/>
          </w:tcPr>
          <w:p>
            <w:pPr>
              <w:pStyle w:val="43"/>
            </w:pPr>
            <w:r>
              <w:rPr>
                <w:rFonts w:hint="eastAsia"/>
              </w:rPr>
              <w:t>公众满意度</w:t>
            </w:r>
          </w:p>
        </w:tc>
        <w:tc>
          <w:tcPr>
            <w:tcW w:w="451" w:type="pct"/>
            <w:vAlign w:val="center"/>
          </w:tcPr>
          <w:p>
            <w:pPr>
              <w:pStyle w:val="43"/>
            </w:pPr>
            <w:r>
              <w:rPr>
                <w:rFonts w:hint="eastAsia"/>
              </w:rPr>
              <w:t>0</w:t>
            </w:r>
            <w:r>
              <w:t>.05</w:t>
            </w:r>
          </w:p>
        </w:tc>
        <w:tc>
          <w:tcPr>
            <w:tcW w:w="1819" w:type="pct"/>
            <w:vAlign w:val="center"/>
          </w:tcPr>
          <w:p>
            <w:pPr>
              <w:pStyle w:val="4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pct"/>
            <w:vMerge w:val="continue"/>
            <w:vAlign w:val="center"/>
          </w:tcPr>
          <w:p>
            <w:pPr>
              <w:pStyle w:val="43"/>
            </w:pPr>
          </w:p>
        </w:tc>
        <w:tc>
          <w:tcPr>
            <w:tcW w:w="1249" w:type="pct"/>
            <w:vMerge w:val="continue"/>
            <w:vAlign w:val="center"/>
          </w:tcPr>
          <w:p>
            <w:pPr>
              <w:pStyle w:val="43"/>
            </w:pPr>
          </w:p>
        </w:tc>
        <w:tc>
          <w:tcPr>
            <w:tcW w:w="785" w:type="pct"/>
            <w:vAlign w:val="center"/>
          </w:tcPr>
          <w:p>
            <w:pPr>
              <w:pStyle w:val="43"/>
            </w:pPr>
            <w:r>
              <w:rPr>
                <w:rFonts w:hint="eastAsia"/>
              </w:rPr>
              <w:t>防洪指标</w:t>
            </w:r>
          </w:p>
        </w:tc>
        <w:tc>
          <w:tcPr>
            <w:tcW w:w="451" w:type="pct"/>
            <w:vAlign w:val="center"/>
          </w:tcPr>
          <w:p>
            <w:pPr>
              <w:pStyle w:val="43"/>
            </w:pPr>
            <w:r>
              <w:rPr>
                <w:rFonts w:hint="eastAsia"/>
              </w:rPr>
              <w:t>0</w:t>
            </w:r>
            <w:r>
              <w:t>.02</w:t>
            </w:r>
          </w:p>
        </w:tc>
        <w:tc>
          <w:tcPr>
            <w:tcW w:w="1819" w:type="pct"/>
            <w:vAlign w:val="center"/>
          </w:tcPr>
          <w:p>
            <w:pPr>
              <w:pStyle w:val="4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pct"/>
            <w:vMerge w:val="continue"/>
            <w:vAlign w:val="center"/>
          </w:tcPr>
          <w:p>
            <w:pPr>
              <w:pStyle w:val="43"/>
            </w:pPr>
          </w:p>
        </w:tc>
        <w:tc>
          <w:tcPr>
            <w:tcW w:w="1249" w:type="pct"/>
            <w:vMerge w:val="continue"/>
            <w:vAlign w:val="center"/>
          </w:tcPr>
          <w:p>
            <w:pPr>
              <w:pStyle w:val="43"/>
            </w:pPr>
          </w:p>
        </w:tc>
        <w:tc>
          <w:tcPr>
            <w:tcW w:w="785" w:type="pct"/>
            <w:vAlign w:val="center"/>
          </w:tcPr>
          <w:p>
            <w:pPr>
              <w:pStyle w:val="43"/>
            </w:pPr>
            <w:r>
              <w:rPr>
                <w:rFonts w:hint="eastAsia"/>
              </w:rPr>
              <w:t>供水指标</w:t>
            </w:r>
          </w:p>
        </w:tc>
        <w:tc>
          <w:tcPr>
            <w:tcW w:w="451" w:type="pct"/>
            <w:vAlign w:val="center"/>
          </w:tcPr>
          <w:p>
            <w:pPr>
              <w:pStyle w:val="43"/>
            </w:pPr>
            <w:r>
              <w:rPr>
                <w:rFonts w:hint="eastAsia"/>
              </w:rPr>
              <w:t>0</w:t>
            </w:r>
            <w:r>
              <w:t>.03</w:t>
            </w:r>
          </w:p>
        </w:tc>
        <w:tc>
          <w:tcPr>
            <w:tcW w:w="1819" w:type="pct"/>
            <w:vAlign w:val="center"/>
          </w:tcPr>
          <w:p>
            <w:pPr>
              <w:pStyle w:val="43"/>
            </w:pPr>
            <w:r>
              <w:rPr>
                <w:rFonts w:hint="eastAsia"/>
              </w:rPr>
              <w:t>城市河流河段不评价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pct"/>
            <w:vMerge w:val="continue"/>
            <w:vAlign w:val="center"/>
          </w:tcPr>
          <w:p>
            <w:pPr>
              <w:pStyle w:val="43"/>
            </w:pPr>
          </w:p>
        </w:tc>
        <w:tc>
          <w:tcPr>
            <w:tcW w:w="1249" w:type="pct"/>
            <w:vMerge w:val="continue"/>
            <w:vAlign w:val="center"/>
          </w:tcPr>
          <w:p>
            <w:pPr>
              <w:pStyle w:val="43"/>
            </w:pPr>
          </w:p>
        </w:tc>
        <w:tc>
          <w:tcPr>
            <w:tcW w:w="785" w:type="pct"/>
            <w:vAlign w:val="center"/>
          </w:tcPr>
          <w:p>
            <w:pPr>
              <w:pStyle w:val="43"/>
            </w:pPr>
            <w:r>
              <w:rPr>
                <w:rFonts w:hint="eastAsia"/>
              </w:rPr>
              <w:t>开发利用与规划的符合性分析</w:t>
            </w:r>
          </w:p>
        </w:tc>
        <w:tc>
          <w:tcPr>
            <w:tcW w:w="451" w:type="pct"/>
            <w:vAlign w:val="center"/>
          </w:tcPr>
          <w:p>
            <w:pPr>
              <w:pStyle w:val="43"/>
            </w:pPr>
            <w:r>
              <w:rPr>
                <w:rFonts w:hint="eastAsia"/>
              </w:rPr>
              <w:t>0</w:t>
            </w:r>
            <w:r>
              <w:t>.05</w:t>
            </w:r>
          </w:p>
        </w:tc>
        <w:tc>
          <w:tcPr>
            <w:tcW w:w="1819" w:type="pct"/>
            <w:vAlign w:val="center"/>
          </w:tcPr>
          <w:p>
            <w:pPr>
              <w:pStyle w:val="43"/>
            </w:pPr>
          </w:p>
        </w:tc>
      </w:tr>
    </w:tbl>
    <w:p>
      <w:pPr>
        <w:ind w:firstLine="480"/>
      </w:pPr>
    </w:p>
    <w:p>
      <w:pPr>
        <w:pStyle w:val="3"/>
        <w:ind w:left="301" w:hanging="301"/>
      </w:pPr>
      <w:bookmarkStart w:id="100" w:name="_Toc80719386"/>
      <w:bookmarkStart w:id="101" w:name="_Toc86049174"/>
      <w:r>
        <w:rPr>
          <w:rFonts w:hint="eastAsia"/>
        </w:rPr>
        <w:t>评价范围</w:t>
      </w:r>
      <w:bookmarkEnd w:id="100"/>
      <w:bookmarkEnd w:id="101"/>
    </w:p>
    <w:p>
      <w:pPr>
        <w:pStyle w:val="4"/>
        <w:ind w:left="240"/>
      </w:pPr>
      <w:bookmarkStart w:id="102" w:name="_Toc86049175"/>
      <w:bookmarkStart w:id="103" w:name="_Toc80719387"/>
      <w:r>
        <w:rPr>
          <w:rFonts w:hint="eastAsia"/>
        </w:rPr>
        <w:t>地理位置</w:t>
      </w:r>
      <w:bookmarkEnd w:id="102"/>
      <w:bookmarkEnd w:id="103"/>
    </w:p>
    <w:p>
      <w:pPr>
        <w:ind w:firstLine="480"/>
      </w:pPr>
      <w:r>
        <w:t>旺苍县属广元市，地处四川盆地北缘，米仓山南麓，东邻巴中市南江县，西接朝天区、利州区和昭化区，南与苍溪县毗邻，北和陕西省的南郑、宁强县接壤。地理坐标介于北纬31°58′</w:t>
      </w:r>
      <w:r>
        <w:rPr>
          <w:rFonts w:hint="eastAsia"/>
        </w:rPr>
        <w:t>~</w:t>
      </w:r>
      <w:r>
        <w:t>32°42′，东经105°58′</w:t>
      </w:r>
      <w:r>
        <w:rPr>
          <w:rFonts w:hint="eastAsia"/>
        </w:rPr>
        <w:t>~</w:t>
      </w:r>
      <w:r>
        <w:t>106°46′，县域东西宽约74km，南北长约80km，全县幅员面积为2986km</w:t>
      </w:r>
      <w:r>
        <w:rPr>
          <w:vertAlign w:val="superscript"/>
        </w:rPr>
        <w:t>2</w:t>
      </w:r>
      <w:r>
        <w:t>。</w:t>
      </w:r>
    </w:p>
    <w:p>
      <w:pPr>
        <w:ind w:firstLine="480"/>
      </w:pPr>
      <w:r>
        <w:rPr>
          <w:rFonts w:hint="eastAsia"/>
        </w:rPr>
        <w:t>盐井河流域位于旺苍县北部，与陕西宁强县接壤，域内主要乡镇有天星镇、双汇镇、国华镇和盐河镇。</w:t>
      </w:r>
    </w:p>
    <w:p>
      <w:pPr>
        <w:pStyle w:val="4"/>
        <w:ind w:left="240"/>
      </w:pPr>
      <w:bookmarkStart w:id="104" w:name="_Toc80719388"/>
      <w:bookmarkStart w:id="105" w:name="_Toc86049176"/>
      <w:r>
        <w:rPr>
          <w:rFonts w:hint="eastAsia"/>
        </w:rPr>
        <w:t>评价范围</w:t>
      </w:r>
      <w:bookmarkEnd w:id="104"/>
      <w:bookmarkEnd w:id="105"/>
    </w:p>
    <w:p>
      <w:pPr>
        <w:ind w:firstLine="480"/>
        <w:rPr>
          <w:shd w:val="clear" w:color="auto" w:fill="FFFFFF"/>
        </w:rPr>
      </w:pPr>
      <w:r>
        <w:rPr>
          <w:rFonts w:hint="eastAsia"/>
          <w:shd w:val="clear" w:color="auto" w:fill="FFFFFF"/>
        </w:rPr>
        <w:t>本</w:t>
      </w:r>
      <w:r>
        <w:rPr>
          <w:shd w:val="clear" w:color="auto" w:fill="FFFFFF"/>
        </w:rPr>
        <w:t>次</w:t>
      </w:r>
      <w:r>
        <w:rPr>
          <w:rFonts w:hint="eastAsia"/>
          <w:shd w:val="clear" w:color="auto" w:fill="FFFFFF"/>
        </w:rPr>
        <w:t>盐井河</w:t>
      </w:r>
      <w:r>
        <w:rPr>
          <w:shd w:val="clear" w:color="auto" w:fill="FFFFFF"/>
        </w:rPr>
        <w:t>旺苍县境内划界</w:t>
      </w:r>
      <w:bookmarkStart w:id="106" w:name="_Hlk86094010"/>
      <w:r>
        <w:rPr>
          <w:shd w:val="clear" w:color="auto" w:fill="FFFFFF"/>
        </w:rPr>
        <w:t>范围</w:t>
      </w:r>
      <w:r>
        <w:rPr>
          <w:rFonts w:hint="eastAsia"/>
          <w:shd w:val="clear" w:color="auto" w:fill="FFFFFF"/>
        </w:rPr>
        <w:t>上起陕川交界处（</w:t>
      </w:r>
      <w:r>
        <w:t>东经105°20′55″，北纬32°40′36″</w:t>
      </w:r>
      <w:r>
        <w:rPr>
          <w:rFonts w:hint="eastAsia"/>
          <w:shd w:val="clear" w:color="auto" w:fill="FFFFFF"/>
        </w:rPr>
        <w:t>）</w:t>
      </w:r>
      <w:r>
        <w:rPr>
          <w:shd w:val="clear" w:color="auto" w:fill="FFFFFF"/>
        </w:rPr>
        <w:t>，</w:t>
      </w:r>
      <w:r>
        <w:rPr>
          <w:rFonts w:hint="eastAsia"/>
          <w:shd w:val="clear" w:color="auto" w:fill="FFFFFF"/>
        </w:rPr>
        <w:t>下至双汇镇入东河汇口（</w:t>
      </w:r>
      <w:r>
        <w:t>东经106°17′31″，北纬32°21′40″</w:t>
      </w:r>
      <w:r>
        <w:rPr>
          <w:rFonts w:hint="eastAsia"/>
          <w:shd w:val="clear" w:color="auto" w:fill="FFFFFF"/>
        </w:rPr>
        <w:t>）</w:t>
      </w:r>
      <w:r>
        <w:rPr>
          <w:shd w:val="clear" w:color="auto" w:fill="FFFFFF"/>
        </w:rPr>
        <w:t>，</w:t>
      </w:r>
      <w:r>
        <w:rPr>
          <w:rFonts w:hint="eastAsia"/>
          <w:shd w:val="clear" w:color="auto" w:fill="FFFFFF"/>
        </w:rPr>
        <w:t>评价河段</w:t>
      </w:r>
      <w:r>
        <w:rPr>
          <w:shd w:val="clear" w:color="auto" w:fill="FFFFFF"/>
        </w:rPr>
        <w:t>总长</w:t>
      </w:r>
      <w:r>
        <w:rPr>
          <w:rFonts w:hint="eastAsia"/>
          <w:shd w:val="clear" w:color="auto" w:fill="FFFFFF"/>
        </w:rPr>
        <w:t>43.3</w:t>
      </w:r>
      <w:r>
        <w:rPr>
          <w:shd w:val="clear" w:color="auto" w:fill="FFFFFF"/>
        </w:rPr>
        <w:t>km</w:t>
      </w:r>
      <w:r>
        <w:rPr>
          <w:rFonts w:hint="eastAsia"/>
          <w:shd w:val="clear" w:color="auto" w:fill="FFFFFF"/>
        </w:rPr>
        <w:t>。</w:t>
      </w:r>
      <w:bookmarkEnd w:id="106"/>
    </w:p>
    <w:p>
      <w:pPr>
        <w:pStyle w:val="4"/>
        <w:ind w:left="240"/>
      </w:pPr>
      <w:bookmarkStart w:id="107" w:name="_Toc86049177"/>
      <w:bookmarkStart w:id="108" w:name="_Toc80719389"/>
      <w:r>
        <w:rPr>
          <w:rFonts w:hint="eastAsia"/>
        </w:rPr>
        <w:t>评价方案</w:t>
      </w:r>
      <w:bookmarkEnd w:id="107"/>
      <w:bookmarkEnd w:id="108"/>
    </w:p>
    <w:p>
      <w:pPr>
        <w:ind w:firstLine="480"/>
      </w:pPr>
      <w:r>
        <w:rPr>
          <w:rFonts w:hint="eastAsia"/>
        </w:rPr>
        <w:t>1、河流分段</w:t>
      </w:r>
    </w:p>
    <w:p>
      <w:pPr>
        <w:ind w:firstLine="480"/>
      </w:pPr>
      <w:r>
        <w:rPr>
          <w:rFonts w:hint="eastAsia"/>
        </w:rPr>
        <w:t>盐井河评价河段总长43.3km，河段上下游水文特征、河床、河滨带形状、水质状况等基本一致，因此，盐井河健康评估只划分一个评价河段。</w:t>
      </w:r>
    </w:p>
    <w:p>
      <w:pPr>
        <w:ind w:firstLine="480"/>
      </w:pPr>
      <w:r>
        <w:rPr>
          <w:rFonts w:hint="eastAsia"/>
        </w:rPr>
        <w:t>2、水质监测断面布置</w:t>
      </w:r>
    </w:p>
    <w:p>
      <w:pPr>
        <w:ind w:firstLine="480"/>
      </w:pPr>
      <w:r>
        <w:rPr>
          <w:rFonts w:hint="eastAsia"/>
        </w:rPr>
        <w:t>盐井河为跨界河流，在陕西境内称毛坝河，入境旺苍县后称为盐井河，为监测盐井河入境水质状况，在盐井河入境断面下游7km处设置一个监测断面，为监测盐井河汇入东河前水质状况，在盐井河河口上游0</w:t>
      </w:r>
      <w:r>
        <w:t>.7</w:t>
      </w:r>
      <w:r>
        <w:rPr>
          <w:rFonts w:hint="eastAsia"/>
        </w:rPr>
        <w:t>km处设置一个监测断面。</w:t>
      </w:r>
    </w:p>
    <w:p>
      <w:pPr>
        <w:ind w:firstLine="480"/>
      </w:pPr>
      <w:r>
        <w:t>3</w:t>
      </w:r>
      <w:r>
        <w:rPr>
          <w:rFonts w:hint="eastAsia"/>
        </w:rPr>
        <w:t>、主要评价指标</w:t>
      </w:r>
    </w:p>
    <w:p>
      <w:pPr>
        <w:ind w:firstLine="480"/>
      </w:pPr>
      <w:r>
        <w:rPr>
          <w:rFonts w:hint="eastAsia"/>
        </w:rPr>
        <w:t>根据《指南》评价要求，盐井河拟定的主要评价指标有：</w:t>
      </w:r>
    </w:p>
    <w:p>
      <w:pPr>
        <w:ind w:firstLine="480"/>
      </w:pPr>
      <w:r>
        <w:rPr>
          <w:rFonts w:hint="eastAsia"/>
        </w:rPr>
        <w:t>（1）水文与水资源</w:t>
      </w:r>
    </w:p>
    <w:p>
      <w:pPr>
        <w:ind w:firstLine="480"/>
      </w:pPr>
      <w:r>
        <w:rPr>
          <w:rFonts w:hint="eastAsia"/>
        </w:rPr>
        <w:t>水文与水资源主要从河流开发利用程度及生态用水满足程度两个方面评价河流的开发利用状况和水生态环境健康水平。</w:t>
      </w:r>
    </w:p>
    <w:p>
      <w:pPr>
        <w:ind w:firstLine="480"/>
      </w:pPr>
      <w:r>
        <w:rPr>
          <w:rFonts w:hint="eastAsia"/>
        </w:rPr>
        <w:t>（2）物理结构</w:t>
      </w:r>
    </w:p>
    <w:p>
      <w:pPr>
        <w:ind w:firstLine="480"/>
      </w:pPr>
      <w:r>
        <w:rPr>
          <w:rFonts w:hint="eastAsia"/>
        </w:rPr>
        <w:t>物理结构主要从河岸带稳定性和河流纵向连通指数评价河流岸带状况及河流纵向连通状况。</w:t>
      </w:r>
    </w:p>
    <w:p>
      <w:pPr>
        <w:ind w:firstLine="480"/>
      </w:pPr>
      <w:r>
        <w:rPr>
          <w:rFonts w:hint="eastAsia"/>
        </w:rPr>
        <w:t>（3）水质</w:t>
      </w:r>
    </w:p>
    <w:p>
      <w:pPr>
        <w:ind w:firstLine="480"/>
      </w:pPr>
      <w:r>
        <w:rPr>
          <w:rFonts w:hint="eastAsia"/>
        </w:rPr>
        <w:t>水质主要从水体整洁程度、水质优劣程度、水质变化趋势等三个方面评价河流的水质状况。</w:t>
      </w:r>
    </w:p>
    <w:p>
      <w:pPr>
        <w:ind w:firstLine="480"/>
      </w:pPr>
      <w:r>
        <w:rPr>
          <w:rFonts w:hint="eastAsia"/>
        </w:rPr>
        <w:t>（4）生物</w:t>
      </w:r>
    </w:p>
    <w:p>
      <w:pPr>
        <w:ind w:firstLine="480"/>
      </w:pPr>
      <w:r>
        <w:rPr>
          <w:rFonts w:hint="eastAsia"/>
        </w:rPr>
        <w:t>生物主要从鱼类保有指数和外来水生动植物两个方面评价河流生物变化趋势及外来水生动植物对本河流原有水生动植物的影响。</w:t>
      </w:r>
    </w:p>
    <w:p>
      <w:pPr>
        <w:ind w:firstLine="480"/>
      </w:pPr>
      <w:r>
        <w:rPr>
          <w:rFonts w:hint="eastAsia"/>
        </w:rPr>
        <w:t>（5）河湖管理及社会服务</w:t>
      </w:r>
    </w:p>
    <w:p>
      <w:pPr>
        <w:ind w:firstLine="480"/>
      </w:pPr>
      <w:r>
        <w:rPr>
          <w:rFonts w:hint="eastAsia"/>
        </w:rPr>
        <w:t>河湖管理和社会服务主要从公众满意度、防洪指标、供水指标、开发利用现状与规划的符合性等四个方面评价河流的管理状况及公众对河流社会服务功能的满意程度。</w:t>
      </w:r>
    </w:p>
    <w:p>
      <w:pPr>
        <w:pStyle w:val="4"/>
        <w:ind w:left="240"/>
      </w:pPr>
      <w:bookmarkStart w:id="109" w:name="_Toc80719390"/>
      <w:bookmarkStart w:id="110" w:name="_Toc86049178"/>
      <w:r>
        <w:rPr>
          <w:rFonts w:hint="eastAsia"/>
        </w:rPr>
        <w:t>分段合理性</w:t>
      </w:r>
      <w:bookmarkEnd w:id="109"/>
      <w:bookmarkEnd w:id="110"/>
    </w:p>
    <w:p>
      <w:pPr>
        <w:ind w:firstLine="480"/>
      </w:pPr>
      <w:r>
        <w:rPr>
          <w:rFonts w:hint="eastAsia"/>
        </w:rPr>
        <w:t>盐井河属山区性河流，盐河镇以上河段两岸为高山峡谷，呈对称的“V”型，河床基岩出露，河槽多为块石及卵石，两岸基本为天然灌木林，植被覆盖较好；盐河镇以下河槽较上游略宽，河床基岩出露，河槽为卵石夹砂，两岸有部分耕地开垦，植被较上游略差。总体来看，盐井河属山区河流，河流总长43.3km，河流两岸耕地开垦程度较低，植被覆盖较好，上下游水文特征、河岸形态等基本一致，因此，将盐井河划为一个评价河段是合理的。</w:t>
      </w:r>
    </w:p>
    <w:p>
      <w:pPr>
        <w:pStyle w:val="3"/>
        <w:ind w:left="301" w:hanging="301"/>
      </w:pPr>
      <w:bookmarkStart w:id="111" w:name="_Toc80719391"/>
      <w:bookmarkStart w:id="112" w:name="_Toc86049179"/>
      <w:r>
        <w:rPr>
          <w:rFonts w:hint="eastAsia"/>
        </w:rPr>
        <w:t>评价对象主要特性</w:t>
      </w:r>
      <w:bookmarkEnd w:id="111"/>
      <w:bookmarkEnd w:id="112"/>
    </w:p>
    <w:p>
      <w:pPr>
        <w:pStyle w:val="4"/>
        <w:ind w:left="240"/>
      </w:pPr>
      <w:bookmarkStart w:id="113" w:name="_Toc86049180"/>
      <w:bookmarkStart w:id="114" w:name="_Toc80719392"/>
      <w:r>
        <w:rPr>
          <w:rFonts w:hint="eastAsia"/>
        </w:rPr>
        <w:t>地形地貌</w:t>
      </w:r>
      <w:bookmarkEnd w:id="113"/>
      <w:bookmarkEnd w:id="114"/>
    </w:p>
    <w:p>
      <w:pPr>
        <w:ind w:firstLine="480"/>
        <w:rPr>
          <w:szCs w:val="24"/>
        </w:rPr>
      </w:pPr>
      <w:r>
        <w:rPr>
          <w:rFonts w:hint="eastAsia"/>
          <w:szCs w:val="24"/>
        </w:rPr>
        <w:t>盐井河流域地处川陕交界地区，北与汉江流域共分水岭。流域内多为山地，山势陡峻；北部地势较高，分水岭海拔在2000m以上，南面地势较低。盐井河自崇山峻岭中穿过，形成许多峡谷，河床坡度大，水流湍急。属山区河谷河流，河谷狭窄，河道弯曲且弯道较多，弯度较大，河流流域面积小，水源涵养差，水量小，流程短，季节性强，水能藴藏量小，无通航能力。流域中心位于米仓山暴雨带，年最大24小时的最大降雨可达300mm左右，流域形成的洪水具有典型的山区洪水特性，陡涨陡落，暴雨形成的洪峰在0.5~1个小时。水流速度快，冲刷下蚀能力强。</w:t>
      </w:r>
    </w:p>
    <w:p>
      <w:pPr>
        <w:pStyle w:val="4"/>
        <w:ind w:left="240"/>
      </w:pPr>
      <w:bookmarkStart w:id="115" w:name="_Toc86049181"/>
      <w:bookmarkStart w:id="116" w:name="_Toc80719393"/>
      <w:r>
        <w:rPr>
          <w:rFonts w:hint="eastAsia"/>
        </w:rPr>
        <w:t>水文地质</w:t>
      </w:r>
      <w:bookmarkEnd w:id="115"/>
      <w:bookmarkEnd w:id="116"/>
    </w:p>
    <w:p>
      <w:pPr>
        <w:ind w:firstLine="480"/>
      </w:pPr>
      <w:r>
        <w:rPr>
          <w:rFonts w:hint="eastAsia"/>
        </w:rPr>
        <w:t>旺苍县境内有大小河、溪计1584条，河网密度0.15k</w:t>
      </w:r>
      <w:r>
        <w:t>m</w:t>
      </w:r>
      <w:r>
        <w:rPr>
          <w:rFonts w:hint="eastAsia"/>
        </w:rPr>
        <w:t>/k</w:t>
      </w:r>
      <w:r>
        <w:t>m</w:t>
      </w:r>
      <w:r>
        <w:rPr>
          <w:rFonts w:hint="eastAsia"/>
          <w:vertAlign w:val="superscript"/>
        </w:rPr>
        <w:t>2</w:t>
      </w:r>
      <w:r>
        <w:rPr>
          <w:rFonts w:hint="eastAsia"/>
        </w:rPr>
        <w:t>，年径流总量16.55亿m</w:t>
      </w:r>
      <w:r>
        <w:rPr>
          <w:vertAlign w:val="superscript"/>
        </w:rPr>
        <w:t>3</w:t>
      </w:r>
      <w:r>
        <w:rPr>
          <w:rFonts w:hint="eastAsia"/>
        </w:rPr>
        <w:t>，最大洪峰流量10300m</w:t>
      </w:r>
      <w:r>
        <w:rPr>
          <w:vertAlign w:val="superscript"/>
        </w:rPr>
        <w:t>3</w:t>
      </w:r>
      <w:r>
        <w:t>/s</w:t>
      </w:r>
      <w:r>
        <w:rPr>
          <w:rFonts w:hint="eastAsia"/>
        </w:rPr>
        <w:t>（1981年8月15日），呈树枝羽网状分布，有嘉陵江和渠江两大水系，东河、盐井河、黄洋河、白水河（西河）、李家河、柳溪河等及其支流，为嘉陵江水系；清江河、恩阳河、寨坝河、罗平河、湾滩河、全通河、齐家河及其支流，为渠江水系。</w:t>
      </w:r>
    </w:p>
    <w:p>
      <w:pPr>
        <w:ind w:firstLine="480"/>
      </w:pPr>
      <w:r>
        <w:rPr>
          <w:rFonts w:hint="eastAsia"/>
        </w:rPr>
        <w:t>盐井河属嘉陵江水系，为嘉陵江二级支流，东河一级支流。盐井河流域</w:t>
      </w:r>
      <w:r>
        <w:t>地下水按含水层性质及埋藏条件，分为第四系松散地层中孔隙潜水和基岩裂隙水两大类。孔隙潜水主要赋存于阶地及河漫滩等松散堆积层孔隙中，其中以</w:t>
      </w:r>
      <w:r>
        <w:rPr>
          <w:rFonts w:hint="eastAsia"/>
        </w:rPr>
        <w:t>Ⅰ</w:t>
      </w:r>
      <w:r>
        <w:t>级阶地和河漫滩砂卵石层中为主，含水较丰。孔隙潜水主要受大气降水、地表水补给，水量随季节性变化较大。基岩裂隙水埋藏于基岩裂隙中，其含水透水性受岩性、裂隙发育程度及风化程度等影响。粉砂质泥岩含水微弱，透水性差，可视为相对隔水层，裂隙发育的砂岩为相对透水层。基岩裂隙水受大气降水及上覆堆积层孔隙水补给，排泄于沟谷及河流中，地下水动态随季节性变化。</w:t>
      </w:r>
    </w:p>
    <w:p>
      <w:pPr>
        <w:pStyle w:val="4"/>
        <w:ind w:left="240"/>
      </w:pPr>
      <w:bookmarkStart w:id="117" w:name="_Toc80719394"/>
      <w:bookmarkStart w:id="118" w:name="_Toc86049182"/>
      <w:r>
        <w:rPr>
          <w:rFonts w:hint="eastAsia"/>
        </w:rPr>
        <w:t>土壤植被</w:t>
      </w:r>
      <w:bookmarkEnd w:id="117"/>
      <w:bookmarkEnd w:id="118"/>
    </w:p>
    <w:p>
      <w:pPr>
        <w:ind w:firstLine="480"/>
        <w:rPr>
          <w:szCs w:val="24"/>
        </w:rPr>
      </w:pPr>
      <w:bookmarkStart w:id="119" w:name="_Toc80719395"/>
      <w:r>
        <w:rPr>
          <w:rFonts w:hint="eastAsia"/>
          <w:szCs w:val="24"/>
        </w:rPr>
        <w:t>盐井河流域位于旺苍县北部，与陕西宁强县接壤，流域内多为山地，山势陡峻。流域内植被较好，森林覆盖率45%，较多灌木林，树木以杂木为主。</w:t>
      </w:r>
      <w:r>
        <w:rPr>
          <w:szCs w:val="24"/>
        </w:rPr>
        <w:t>海拔900m以下，多为亚热带的农作栽培植被及疏林、散生林、田隙草地、小块人工林植被；海拔900-1600m间，为山地亚热带常绿阔叶林带植被，主要是天然次生林和草场，杂以人工飞播林、栽培林和农作栽培植被；海拔1600-2100m间，为暖温带常绿与落叶阔叶混交林带，多为次生林及灌丛草场植被，杂以天然原生植被；海拔2100-2400m之间，为温带针阔叶混交林带，这类地带面积很少，主要分布于旺苍县北和青川县西北境，多为原生植被，杂以少量次生植被；海拔2400-3600m间，为寒温带亚高山针叶林带</w:t>
      </w:r>
      <w:r>
        <w:rPr>
          <w:rFonts w:hint="eastAsia"/>
          <w:szCs w:val="24"/>
        </w:rPr>
        <w:t>；</w:t>
      </w:r>
      <w:r>
        <w:rPr>
          <w:szCs w:val="24"/>
        </w:rPr>
        <w:t>海拔3600m以上为寒带亚高山矮化灌丛草甸带。</w:t>
      </w:r>
      <w:r>
        <w:rPr>
          <w:rFonts w:hint="eastAsia"/>
          <w:szCs w:val="24"/>
        </w:rPr>
        <w:t>流域内经济林木主要有油桐、桑梨、苹果、茶叶等，粮食作物主要有小麦、玉米、土豆、苕豆等。</w:t>
      </w:r>
    </w:p>
    <w:p>
      <w:pPr>
        <w:pStyle w:val="4"/>
        <w:ind w:left="240"/>
      </w:pPr>
      <w:bookmarkStart w:id="120" w:name="_Toc86049183"/>
      <w:r>
        <w:rPr>
          <w:rFonts w:hint="eastAsia"/>
        </w:rPr>
        <w:t>气象</w:t>
      </w:r>
      <w:bookmarkEnd w:id="119"/>
      <w:bookmarkEnd w:id="120"/>
    </w:p>
    <w:p>
      <w:pPr>
        <w:ind w:firstLine="480"/>
      </w:pPr>
      <w:r>
        <w:rPr>
          <w:rFonts w:hint="eastAsia"/>
        </w:rPr>
        <w:t>根据旺苍县气象局提供资料，全县多年平均气温16.3℃，极端最高气温40.9℃，极端最低气温-7.2℃（1975年12月15日），多年平均无霜期266d，最长298d，最短233d。年≥10℃的平均有效积温4685℃，旺苍县境内气温由南到北随地势升高而降低。</w:t>
      </w:r>
    </w:p>
    <w:p>
      <w:pPr>
        <w:ind w:firstLine="480"/>
      </w:pPr>
      <w:r>
        <w:rPr>
          <w:rFonts w:hint="eastAsia"/>
        </w:rPr>
        <w:t>盐井河流域位于旺苍县北部，从北到南气候相差悬殊，海拔800m以下，气候温湿，四季分明；海拔1000m以上，气候阴凉，春迟秋早，夏短冬长，光热条件差；海拔1400m以上，气候阴冷潮湿，春秋相连，长冬无夏，光热条件极差；呈现出降水北大于南，气温南高于北，霜降北长南短的特征；不少年份气候条件差异很大，降雨年际变化明显，年内分布不均匀。</w:t>
      </w:r>
    </w:p>
    <w:p>
      <w:pPr>
        <w:ind w:firstLine="480"/>
      </w:pPr>
      <w:r>
        <w:rPr>
          <w:rFonts w:hint="eastAsia"/>
        </w:rPr>
        <w:t>盐井河流域阳光充足，但差异明显。多年平均日照时数1277.5h，月平均日照时数106.46h，年太阳总辐射量为92.6k</w:t>
      </w:r>
      <w:r>
        <w:t>c</w:t>
      </w:r>
      <w:r>
        <w:rPr>
          <w:rFonts w:hint="eastAsia"/>
        </w:rPr>
        <w:t>/cm</w:t>
      </w:r>
      <w:r>
        <w:rPr>
          <w:rFonts w:hint="eastAsia"/>
          <w:vertAlign w:val="superscript"/>
        </w:rPr>
        <w:t>2</w:t>
      </w:r>
      <w:r>
        <w:rPr>
          <w:rFonts w:hint="eastAsia"/>
        </w:rPr>
        <w:t>，多年平均雾日21d；多年平均相对湿度74%，能满足农作物生长；年平均风速1.0m/s，最大风速20m/s，相对风向NNE；多年平均蒸发量为1184.2mm。</w:t>
      </w:r>
    </w:p>
    <w:p>
      <w:pPr>
        <w:ind w:firstLine="480"/>
      </w:pPr>
      <w:r>
        <w:rPr>
          <w:rFonts w:hint="eastAsia"/>
        </w:rPr>
        <w:t>盐井河地处大巴山暴雨区，暴雨多发生在夏秋两季，暴雨量大。根据气象站资料统计，多年平均日暴雨量为115.0mm，最大一日暴雨量为260.3mm（1965年9月4日）。</w:t>
      </w:r>
    </w:p>
    <w:p>
      <w:pPr>
        <w:ind w:firstLine="199" w:firstLineChars="83"/>
        <w:sectPr>
          <w:pgSz w:w="11906" w:h="16838"/>
          <w:pgMar w:top="1440" w:right="1800" w:bottom="1440" w:left="1800" w:header="851" w:footer="992" w:gutter="0"/>
          <w:cols w:space="425" w:num="1"/>
          <w:docGrid w:type="lines" w:linePitch="312" w:charSpace="0"/>
        </w:sectPr>
      </w:pPr>
    </w:p>
    <w:p>
      <w:pPr>
        <w:pStyle w:val="2"/>
      </w:pPr>
      <w:bookmarkStart w:id="121" w:name="_Toc80719400"/>
      <w:bookmarkStart w:id="122" w:name="_Toc86049184"/>
      <w:r>
        <w:rPr>
          <w:rFonts w:hint="eastAsia"/>
        </w:rPr>
        <w:t>河湖健康调查监测</w:t>
      </w:r>
      <w:bookmarkEnd w:id="121"/>
      <w:bookmarkEnd w:id="122"/>
    </w:p>
    <w:p>
      <w:pPr>
        <w:pStyle w:val="3"/>
        <w:ind w:left="301" w:hanging="301"/>
      </w:pPr>
      <w:bookmarkStart w:id="123" w:name="_Toc86049185"/>
      <w:bookmarkStart w:id="124" w:name="_Toc80719401"/>
      <w:r>
        <w:rPr>
          <w:rFonts w:hint="eastAsia"/>
        </w:rPr>
        <w:t>调查监测方案</w:t>
      </w:r>
      <w:bookmarkEnd w:id="123"/>
      <w:bookmarkEnd w:id="124"/>
    </w:p>
    <w:p>
      <w:pPr>
        <w:pStyle w:val="4"/>
        <w:ind w:left="240"/>
      </w:pPr>
      <w:bookmarkStart w:id="125" w:name="_Toc86049186"/>
      <w:bookmarkStart w:id="126" w:name="_Toc80719402"/>
      <w:r>
        <w:rPr>
          <w:rFonts w:hint="eastAsia"/>
        </w:rPr>
        <w:t>基础资料的收集</w:t>
      </w:r>
      <w:bookmarkEnd w:id="125"/>
      <w:bookmarkEnd w:id="126"/>
    </w:p>
    <w:p>
      <w:pPr>
        <w:ind w:firstLine="480"/>
      </w:pPr>
      <w:r>
        <w:rPr>
          <w:rFonts w:hint="eastAsia"/>
        </w:rPr>
        <w:t>在制定调查监测方案之前，应尽可能完备地收集待调查监测的河流所在流域的有关资料，主要有：</w:t>
      </w:r>
    </w:p>
    <w:p>
      <w:pPr>
        <w:ind w:firstLine="480"/>
      </w:pPr>
      <w:r>
        <w:rPr>
          <w:rFonts w:hint="eastAsia"/>
        </w:rPr>
        <w:t>（1）流域的水文气象、地质地貌资料；</w:t>
      </w:r>
    </w:p>
    <w:p>
      <w:pPr>
        <w:ind w:firstLine="480"/>
      </w:pPr>
      <w:r>
        <w:rPr>
          <w:rFonts w:hint="eastAsia"/>
        </w:rPr>
        <w:t>（2）经济社会概况、水资源开发利用现状等资料；</w:t>
      </w:r>
    </w:p>
    <w:p>
      <w:pPr>
        <w:ind w:firstLine="480"/>
      </w:pPr>
      <w:r>
        <w:rPr>
          <w:rFonts w:hint="eastAsia"/>
        </w:rPr>
        <w:t>（3）流域水功能区划及重点水源保护区等资料；</w:t>
      </w:r>
    </w:p>
    <w:p>
      <w:pPr>
        <w:ind w:firstLine="480"/>
      </w:pPr>
      <w:r>
        <w:rPr>
          <w:rFonts w:hint="eastAsia"/>
        </w:rPr>
        <w:t>（4）历年水质监测资料等。</w:t>
      </w:r>
    </w:p>
    <w:p>
      <w:pPr>
        <w:pStyle w:val="4"/>
        <w:ind w:left="240"/>
      </w:pPr>
      <w:bookmarkStart w:id="127" w:name="_Toc80719403"/>
      <w:bookmarkStart w:id="128" w:name="_Toc86049187"/>
      <w:r>
        <w:rPr>
          <w:rFonts w:hint="eastAsia"/>
        </w:rPr>
        <w:t>专项调查与监测方案</w:t>
      </w:r>
      <w:bookmarkEnd w:id="127"/>
      <w:bookmarkEnd w:id="128"/>
    </w:p>
    <w:p>
      <w:pPr>
        <w:ind w:firstLine="480"/>
      </w:pPr>
      <w:r>
        <w:rPr>
          <w:rFonts w:hint="eastAsia"/>
        </w:rPr>
        <w:t>1、鱼类及外来水生动植物调查</w:t>
      </w:r>
    </w:p>
    <w:p>
      <w:pPr>
        <w:ind w:firstLine="480"/>
      </w:pPr>
      <w:r>
        <w:rPr>
          <w:rFonts w:hint="eastAsia"/>
        </w:rPr>
        <w:t>鱼类及外来水生动植物</w:t>
      </w:r>
      <w:r>
        <w:t>采用现场调查</w:t>
      </w:r>
      <w:r>
        <w:rPr>
          <w:rFonts w:hint="eastAsia"/>
        </w:rPr>
        <w:t>、专家咨询</w:t>
      </w:r>
      <w:r>
        <w:t>或咨询</w:t>
      </w:r>
      <w:r>
        <w:rPr>
          <w:rFonts w:hint="eastAsia"/>
        </w:rPr>
        <w:t>当</w:t>
      </w:r>
      <w:r>
        <w:t>地水产研究所、农业农村局等相关机构方式获取，</w:t>
      </w:r>
      <w:r>
        <w:rPr>
          <w:rFonts w:hint="eastAsia"/>
        </w:rPr>
        <w:t>调查</w:t>
      </w:r>
      <w:r>
        <w:t>时期可依据本地区主要鱼类繁殖期确定，调查鱼类种数不包括外来鱼种。</w:t>
      </w:r>
    </w:p>
    <w:p>
      <w:pPr>
        <w:ind w:firstLine="480"/>
      </w:pPr>
      <w:r>
        <w:t>2</w:t>
      </w:r>
      <w:r>
        <w:rPr>
          <w:rFonts w:hint="eastAsia"/>
        </w:rPr>
        <w:t>、堤防建设情况调查</w:t>
      </w:r>
    </w:p>
    <w:p>
      <w:pPr>
        <w:ind w:firstLine="480"/>
      </w:pPr>
      <w:r>
        <w:rPr>
          <w:rFonts w:hint="eastAsia"/>
        </w:rPr>
        <w:t>堤防建设基本情况是计算防洪指标、河岸带稳定性的重要参数，调查内容主要有各堤防工程名称、工程起点、工程终点、堤防长度、现状防洪标准等。该项调查主要以水利局获取资料、现场实地探勘等方式进行。</w:t>
      </w:r>
    </w:p>
    <w:p>
      <w:pPr>
        <w:ind w:firstLine="480"/>
      </w:pPr>
      <w:r>
        <w:t>3</w:t>
      </w:r>
      <w:r>
        <w:rPr>
          <w:rFonts w:hint="eastAsia"/>
        </w:rPr>
        <w:t>、水源地基本情况调查</w:t>
      </w:r>
    </w:p>
    <w:p>
      <w:pPr>
        <w:ind w:firstLine="480"/>
      </w:pPr>
      <w:r>
        <w:rPr>
          <w:rFonts w:hint="eastAsia"/>
        </w:rPr>
        <w:t>水源地基本情况是计算供水指标的重要参数，调查内容主要有水源地名称、水源地所在行政区域、取水口位置、水源地类型、供水对象、水质达标率等。</w:t>
      </w:r>
    </w:p>
    <w:p>
      <w:pPr>
        <w:ind w:firstLine="480"/>
      </w:pPr>
      <w:r>
        <w:t>4</w:t>
      </w:r>
      <w:r>
        <w:rPr>
          <w:rFonts w:hint="eastAsia"/>
        </w:rPr>
        <w:t>、水电站基本情况调查</w:t>
      </w:r>
    </w:p>
    <w:p>
      <w:pPr>
        <w:ind w:firstLine="480"/>
      </w:pPr>
      <w:r>
        <w:rPr>
          <w:rFonts w:hint="eastAsia"/>
        </w:rPr>
        <w:t>水电站基本情况是计算河流纵向连通指数的重要参数，调查内容主要有电站名称、电站开发方式、开发利用任务、装机容量、调节性能、下泄生态流量等。</w:t>
      </w:r>
    </w:p>
    <w:p>
      <w:pPr>
        <w:ind w:firstLine="480"/>
      </w:pPr>
      <w:r>
        <w:rPr>
          <w:rFonts w:hint="eastAsia"/>
        </w:rPr>
        <w:t>5、岸坡稳定性调查</w:t>
      </w:r>
    </w:p>
    <w:p>
      <w:pPr>
        <w:ind w:firstLine="480"/>
      </w:pPr>
      <w:r>
        <w:rPr>
          <w:rFonts w:hint="eastAsia"/>
        </w:rPr>
        <w:t>对未建堤防河段河岸岸坡现场测量，现场根据河岸岸坡变化趋势确定10个测量岸坡断面。</w:t>
      </w:r>
    </w:p>
    <w:p>
      <w:pPr>
        <w:ind w:firstLine="480"/>
      </w:pPr>
      <w:r>
        <w:rPr>
          <w:rFonts w:hint="eastAsia"/>
        </w:rPr>
        <w:t>河岸岸坡测量采取基于横断面法的RTK三维水深测量方式进行，直接利用RTK测量河底的地形点2000大地坐标系成果，然后利用四川省似大地水准面模型拟合计算出河底地形点的85高程成果，经内业数据处理后完成水下断面的绘制。水上断面部分按照RTK或者全站仪实测，最后结合1：2000地形图河岸部分最终完成河岸岸坡的制作。</w:t>
      </w:r>
    </w:p>
    <w:p>
      <w:pPr>
        <w:ind w:firstLine="480"/>
      </w:pPr>
      <w:r>
        <w:rPr>
          <w:rFonts w:hint="eastAsia"/>
        </w:rPr>
        <w:t>6、公众满意度调查</w:t>
      </w:r>
    </w:p>
    <w:p>
      <w:pPr>
        <w:ind w:firstLine="480"/>
      </w:pPr>
      <w:r>
        <w:rPr>
          <w:rFonts w:hint="eastAsia"/>
        </w:rPr>
        <w:t>公众满意度问卷调查采用现场调查，在开展问卷调查前，打印好现场问卷调查表，沿河岸向两岸居民、游客等人员开展问卷调查，采用一人一表，现场填写的方式进行。</w:t>
      </w:r>
    </w:p>
    <w:p>
      <w:pPr>
        <w:ind w:firstLine="480"/>
      </w:pPr>
      <w:r>
        <w:rPr>
          <w:rFonts w:hint="eastAsia"/>
        </w:rPr>
        <w:t>7、水体整洁程度调查</w:t>
      </w:r>
    </w:p>
    <w:p>
      <w:pPr>
        <w:ind w:firstLine="480"/>
      </w:pPr>
      <w:r>
        <w:rPr>
          <w:rFonts w:hint="eastAsia"/>
        </w:rPr>
        <w:t>水体整洁程度采用现场调查，调查人员沿河岸从下游向上游现场观测并拍照，对于有污染物的河段多角度现场拍照并定位（GPS），每个点位照片不少于5张，必要时可采用无人机进行视频拍摄。</w:t>
      </w:r>
    </w:p>
    <w:p>
      <w:pPr>
        <w:pStyle w:val="4"/>
        <w:ind w:left="240"/>
      </w:pPr>
      <w:bookmarkStart w:id="129" w:name="_Toc86049188"/>
      <w:bookmarkStart w:id="130" w:name="_Toc80719404"/>
      <w:r>
        <w:rPr>
          <w:rFonts w:hint="eastAsia"/>
        </w:rPr>
        <w:t>评价指标数据来源及调查结果</w:t>
      </w:r>
      <w:bookmarkEnd w:id="129"/>
      <w:bookmarkEnd w:id="130"/>
    </w:p>
    <w:p>
      <w:pPr>
        <w:ind w:firstLine="480"/>
        <w:rPr>
          <w:rFonts w:cs="Times New Roman"/>
        </w:rPr>
      </w:pPr>
      <w:r>
        <w:rPr>
          <w:rFonts w:hint="eastAsia" w:cs="Times New Roman"/>
        </w:rPr>
        <w:t>根据资料收集、实地走访、问卷调查以及布设监测点位的方法，获取本次健康评价各指标数据，具体指标获取方法见</w:t>
      </w:r>
      <w:r>
        <w:rPr>
          <w:rFonts w:cs="Times New Roman"/>
        </w:rPr>
        <w:fldChar w:fldCharType="begin"/>
      </w:r>
      <w:r>
        <w:rPr>
          <w:rFonts w:cs="Times New Roman"/>
        </w:rPr>
        <w:instrText xml:space="preserve"> </w:instrText>
      </w:r>
      <w:r>
        <w:rPr>
          <w:rFonts w:hint="eastAsia" w:cs="Times New Roman"/>
        </w:rPr>
        <w:instrText xml:space="preserve">REF _Ref80717056 \h</w:instrText>
      </w:r>
      <w:r>
        <w:rPr>
          <w:rFonts w:cs="Times New Roman"/>
        </w:rPr>
        <w:instrText xml:space="preserve"> </w:instrText>
      </w:r>
      <w:r>
        <w:rPr>
          <w:rFonts w:cs="Times New Roman"/>
        </w:rPr>
        <w:fldChar w:fldCharType="separate"/>
      </w:r>
      <w:r>
        <w:rPr>
          <w:rFonts w:hint="eastAsia"/>
        </w:rPr>
        <w:t>表</w:t>
      </w:r>
      <w:r>
        <w:t>4.1</w:t>
      </w:r>
      <w:r>
        <w:noBreakHyphen/>
      </w:r>
      <w:r>
        <w:t>1</w:t>
      </w:r>
      <w:r>
        <w:rPr>
          <w:rFonts w:cs="Times New Roman"/>
        </w:rPr>
        <w:fldChar w:fldCharType="end"/>
      </w:r>
      <w:r>
        <w:rPr>
          <w:rFonts w:hint="eastAsia" w:cs="Times New Roman"/>
        </w:rPr>
        <w:t>。</w:t>
      </w:r>
    </w:p>
    <w:p>
      <w:pPr>
        <w:pStyle w:val="58"/>
        <w:rPr>
          <w:color w:val="auto"/>
        </w:rPr>
      </w:pPr>
      <w:bookmarkStart w:id="131" w:name="_Ref80717056"/>
      <w:r>
        <w:rPr>
          <w:rFonts w:hint="eastAsia"/>
          <w:color w:val="auto"/>
        </w:rPr>
        <w:t>表</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4.1</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1</w:t>
      </w:r>
      <w:r>
        <w:rPr>
          <w:color w:val="auto"/>
        </w:rPr>
        <w:fldChar w:fldCharType="end"/>
      </w:r>
      <w:bookmarkEnd w:id="131"/>
      <w:r>
        <w:rPr>
          <w:rFonts w:hint="eastAsia"/>
          <w:color w:val="auto"/>
        </w:rPr>
        <w:t>盐井河各评价指标数据来源</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824"/>
        <w:gridCol w:w="1213"/>
        <w:gridCol w:w="1685"/>
        <w:gridCol w:w="4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12" w:hRule="atLeast"/>
          <w:tblHeader/>
        </w:trPr>
        <w:tc>
          <w:tcPr>
            <w:tcW w:w="0" w:type="auto"/>
            <w:vAlign w:val="center"/>
          </w:tcPr>
          <w:p>
            <w:pPr>
              <w:pStyle w:val="43"/>
            </w:pPr>
            <w:r>
              <w:rPr>
                <w:rFonts w:hint="eastAsia"/>
              </w:rPr>
              <w:t>目标层</w:t>
            </w:r>
          </w:p>
        </w:tc>
        <w:tc>
          <w:tcPr>
            <w:tcW w:w="0" w:type="auto"/>
            <w:vAlign w:val="center"/>
          </w:tcPr>
          <w:p>
            <w:pPr>
              <w:pStyle w:val="43"/>
            </w:pPr>
            <w:r>
              <w:rPr>
                <w:rFonts w:hint="eastAsia"/>
              </w:rPr>
              <w:t>准则层</w:t>
            </w:r>
          </w:p>
        </w:tc>
        <w:tc>
          <w:tcPr>
            <w:tcW w:w="1685" w:type="dxa"/>
            <w:vAlign w:val="center"/>
          </w:tcPr>
          <w:p>
            <w:pPr>
              <w:pStyle w:val="43"/>
            </w:pPr>
            <w:r>
              <w:rPr>
                <w:rFonts w:hint="eastAsia"/>
              </w:rPr>
              <w:t>指标层</w:t>
            </w:r>
          </w:p>
        </w:tc>
        <w:tc>
          <w:tcPr>
            <w:tcW w:w="4615" w:type="dxa"/>
            <w:vAlign w:val="center"/>
          </w:tcPr>
          <w:p>
            <w:pPr>
              <w:pStyle w:val="43"/>
            </w:pPr>
            <w:r>
              <w:rPr>
                <w:rFonts w:hint="eastAsia"/>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0" w:hRule="atLeast"/>
        </w:trPr>
        <w:tc>
          <w:tcPr>
            <w:tcW w:w="0" w:type="auto"/>
            <w:vMerge w:val="restart"/>
            <w:vAlign w:val="center"/>
          </w:tcPr>
          <w:p>
            <w:pPr>
              <w:pStyle w:val="43"/>
            </w:pPr>
            <w:r>
              <w:rPr>
                <w:rFonts w:hint="eastAsia"/>
                <w:lang w:eastAsia="zh-CN"/>
              </w:rPr>
              <w:t>盐井</w:t>
            </w:r>
            <w:r>
              <w:rPr>
                <w:rFonts w:hint="eastAsia"/>
              </w:rPr>
              <w:t>河河流健康</w:t>
            </w:r>
          </w:p>
        </w:tc>
        <w:tc>
          <w:tcPr>
            <w:tcW w:w="0" w:type="auto"/>
            <w:vMerge w:val="restart"/>
            <w:vAlign w:val="center"/>
          </w:tcPr>
          <w:p>
            <w:pPr>
              <w:pStyle w:val="43"/>
            </w:pPr>
            <w:r>
              <w:rPr>
                <w:rFonts w:hint="eastAsia"/>
              </w:rPr>
              <w:t>水文水资源</w:t>
            </w:r>
          </w:p>
        </w:tc>
        <w:tc>
          <w:tcPr>
            <w:tcW w:w="1685" w:type="dxa"/>
            <w:vAlign w:val="center"/>
          </w:tcPr>
          <w:p>
            <w:pPr>
              <w:pStyle w:val="43"/>
            </w:pPr>
            <w:r>
              <w:rPr>
                <w:rFonts w:hint="eastAsia"/>
              </w:rPr>
              <w:t>水资源开发利用率</w:t>
            </w:r>
          </w:p>
        </w:tc>
        <w:tc>
          <w:tcPr>
            <w:tcW w:w="4615" w:type="dxa"/>
            <w:vAlign w:val="center"/>
          </w:tcPr>
          <w:p>
            <w:pPr>
              <w:pStyle w:val="43"/>
            </w:pPr>
            <w:r>
              <w:rPr>
                <w:rFonts w:hint="eastAsia"/>
              </w:rPr>
              <w:t>盐井河流域地表水取水量通过《旺苍县201</w:t>
            </w:r>
            <w:r>
              <w:t>9</w:t>
            </w:r>
            <w:r>
              <w:rPr>
                <w:rFonts w:hint="eastAsia"/>
              </w:rPr>
              <w:t>年水资源公报》查询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0" w:hRule="atLeast"/>
        </w:trPr>
        <w:tc>
          <w:tcPr>
            <w:tcW w:w="0" w:type="auto"/>
            <w:vMerge w:val="continue"/>
            <w:vAlign w:val="center"/>
          </w:tcPr>
          <w:p>
            <w:pPr>
              <w:pStyle w:val="43"/>
            </w:pPr>
          </w:p>
        </w:tc>
        <w:tc>
          <w:tcPr>
            <w:tcW w:w="0" w:type="auto"/>
            <w:vMerge w:val="continue"/>
            <w:vAlign w:val="center"/>
          </w:tcPr>
          <w:p>
            <w:pPr>
              <w:pStyle w:val="43"/>
            </w:pPr>
          </w:p>
        </w:tc>
        <w:tc>
          <w:tcPr>
            <w:tcW w:w="1685" w:type="dxa"/>
            <w:vAlign w:val="center"/>
          </w:tcPr>
          <w:p>
            <w:pPr>
              <w:pStyle w:val="43"/>
            </w:pPr>
            <w:r>
              <w:rPr>
                <w:rFonts w:hint="eastAsia"/>
              </w:rPr>
              <w:t>生态用水满足程度</w:t>
            </w:r>
          </w:p>
        </w:tc>
        <w:tc>
          <w:tcPr>
            <w:tcW w:w="4615" w:type="dxa"/>
            <w:vAlign w:val="center"/>
          </w:tcPr>
          <w:p>
            <w:pPr>
              <w:pStyle w:val="43"/>
            </w:pPr>
            <w:r>
              <w:rPr>
                <w:rFonts w:hint="eastAsia"/>
              </w:rPr>
              <w:t>在福鑫电站、盐河电站“生态流量一站一策实施方案”报告中查询生态下泄流量。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0" w:hRule="atLeast"/>
        </w:trPr>
        <w:tc>
          <w:tcPr>
            <w:tcW w:w="0" w:type="auto"/>
            <w:vMerge w:val="continue"/>
            <w:vAlign w:val="center"/>
          </w:tcPr>
          <w:p>
            <w:pPr>
              <w:pStyle w:val="43"/>
            </w:pPr>
          </w:p>
        </w:tc>
        <w:tc>
          <w:tcPr>
            <w:tcW w:w="0" w:type="auto"/>
            <w:vMerge w:val="restart"/>
            <w:vAlign w:val="center"/>
          </w:tcPr>
          <w:p>
            <w:pPr>
              <w:pStyle w:val="43"/>
            </w:pPr>
            <w:r>
              <w:rPr>
                <w:rFonts w:hint="eastAsia"/>
              </w:rPr>
              <w:t>物理结构</w:t>
            </w:r>
          </w:p>
        </w:tc>
        <w:tc>
          <w:tcPr>
            <w:tcW w:w="1685" w:type="dxa"/>
            <w:vAlign w:val="center"/>
          </w:tcPr>
          <w:p>
            <w:pPr>
              <w:pStyle w:val="43"/>
            </w:pPr>
            <w:r>
              <w:rPr>
                <w:rFonts w:hint="eastAsia"/>
              </w:rPr>
              <w:t>河岸带稳定性指标</w:t>
            </w:r>
          </w:p>
        </w:tc>
        <w:tc>
          <w:tcPr>
            <w:tcW w:w="4615" w:type="dxa"/>
            <w:vAlign w:val="center"/>
          </w:tcPr>
          <w:p>
            <w:pPr>
              <w:pStyle w:val="43"/>
            </w:pPr>
            <w:r>
              <w:rPr>
                <w:rFonts w:hint="eastAsia"/>
              </w:rPr>
              <w:t>现场测量、调查。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65" w:hRule="atLeast"/>
        </w:trPr>
        <w:tc>
          <w:tcPr>
            <w:tcW w:w="0" w:type="auto"/>
            <w:vMerge w:val="continue"/>
            <w:vAlign w:val="center"/>
          </w:tcPr>
          <w:p>
            <w:pPr>
              <w:pStyle w:val="43"/>
            </w:pPr>
          </w:p>
        </w:tc>
        <w:tc>
          <w:tcPr>
            <w:tcW w:w="0" w:type="auto"/>
            <w:vMerge w:val="continue"/>
            <w:vAlign w:val="center"/>
          </w:tcPr>
          <w:p>
            <w:pPr>
              <w:pStyle w:val="43"/>
            </w:pPr>
          </w:p>
        </w:tc>
        <w:tc>
          <w:tcPr>
            <w:tcW w:w="1685" w:type="dxa"/>
            <w:vAlign w:val="center"/>
          </w:tcPr>
          <w:p>
            <w:pPr>
              <w:pStyle w:val="43"/>
            </w:pPr>
            <w:r>
              <w:rPr>
                <w:rFonts w:hint="eastAsia"/>
              </w:rPr>
              <w:t>河流纵向连通性指数</w:t>
            </w:r>
          </w:p>
        </w:tc>
        <w:tc>
          <w:tcPr>
            <w:tcW w:w="4615" w:type="dxa"/>
            <w:vAlign w:val="center"/>
          </w:tcPr>
          <w:p>
            <w:pPr>
              <w:pStyle w:val="43"/>
            </w:pPr>
            <w:r>
              <w:rPr>
                <w:rFonts w:hint="eastAsia"/>
              </w:rPr>
              <w:t>现场调查。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0" w:hRule="atLeast"/>
        </w:trPr>
        <w:tc>
          <w:tcPr>
            <w:tcW w:w="0" w:type="auto"/>
            <w:vMerge w:val="continue"/>
            <w:vAlign w:val="center"/>
          </w:tcPr>
          <w:p>
            <w:pPr>
              <w:pStyle w:val="43"/>
            </w:pPr>
          </w:p>
        </w:tc>
        <w:tc>
          <w:tcPr>
            <w:tcW w:w="0" w:type="auto"/>
            <w:vMerge w:val="restart"/>
            <w:vAlign w:val="center"/>
          </w:tcPr>
          <w:p>
            <w:pPr>
              <w:pStyle w:val="43"/>
            </w:pPr>
            <w:r>
              <w:rPr>
                <w:rFonts w:hint="eastAsia"/>
              </w:rPr>
              <w:t>水质</w:t>
            </w:r>
          </w:p>
        </w:tc>
        <w:tc>
          <w:tcPr>
            <w:tcW w:w="1685" w:type="dxa"/>
            <w:vAlign w:val="center"/>
          </w:tcPr>
          <w:p>
            <w:pPr>
              <w:pStyle w:val="43"/>
            </w:pPr>
            <w:r>
              <w:rPr>
                <w:rFonts w:hint="eastAsia"/>
              </w:rPr>
              <w:t>水体整洁程度</w:t>
            </w:r>
          </w:p>
        </w:tc>
        <w:tc>
          <w:tcPr>
            <w:tcW w:w="4615" w:type="dxa"/>
            <w:vAlign w:val="center"/>
          </w:tcPr>
          <w:p>
            <w:pPr>
              <w:pStyle w:val="43"/>
            </w:pPr>
            <w:r>
              <w:rPr>
                <w:rFonts w:hint="eastAsia"/>
              </w:rPr>
              <w:t>现场调查。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0" w:hRule="atLeast"/>
        </w:trPr>
        <w:tc>
          <w:tcPr>
            <w:tcW w:w="0" w:type="auto"/>
            <w:vMerge w:val="continue"/>
            <w:vAlign w:val="center"/>
          </w:tcPr>
          <w:p>
            <w:pPr>
              <w:pStyle w:val="43"/>
            </w:pPr>
          </w:p>
        </w:tc>
        <w:tc>
          <w:tcPr>
            <w:tcW w:w="0" w:type="auto"/>
            <w:vMerge w:val="continue"/>
            <w:vAlign w:val="center"/>
          </w:tcPr>
          <w:p>
            <w:pPr>
              <w:pStyle w:val="43"/>
            </w:pPr>
          </w:p>
        </w:tc>
        <w:tc>
          <w:tcPr>
            <w:tcW w:w="1685" w:type="dxa"/>
            <w:vAlign w:val="center"/>
          </w:tcPr>
          <w:p>
            <w:pPr>
              <w:pStyle w:val="43"/>
            </w:pPr>
            <w:r>
              <w:rPr>
                <w:rFonts w:hint="eastAsia"/>
              </w:rPr>
              <w:t>水质优劣程度</w:t>
            </w:r>
          </w:p>
        </w:tc>
        <w:tc>
          <w:tcPr>
            <w:tcW w:w="4615" w:type="dxa"/>
            <w:vAlign w:val="center"/>
          </w:tcPr>
          <w:p>
            <w:pPr>
              <w:pStyle w:val="43"/>
            </w:pPr>
            <w:r>
              <w:rPr>
                <w:rFonts w:hint="eastAsia"/>
              </w:rPr>
              <w:t>《2</w:t>
            </w:r>
            <w:r>
              <w:t>020</w:t>
            </w:r>
            <w:r>
              <w:rPr>
                <w:rFonts w:hint="eastAsia"/>
              </w:rPr>
              <w:t>县级河长制水质监测》报告中查询水质类别，补充监测取样送检。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0" w:hRule="atLeast"/>
        </w:trPr>
        <w:tc>
          <w:tcPr>
            <w:tcW w:w="0" w:type="auto"/>
            <w:vMerge w:val="continue"/>
            <w:vAlign w:val="center"/>
          </w:tcPr>
          <w:p>
            <w:pPr>
              <w:pStyle w:val="43"/>
            </w:pPr>
          </w:p>
        </w:tc>
        <w:tc>
          <w:tcPr>
            <w:tcW w:w="0" w:type="auto"/>
            <w:vMerge w:val="continue"/>
            <w:vAlign w:val="center"/>
          </w:tcPr>
          <w:p>
            <w:pPr>
              <w:pStyle w:val="43"/>
            </w:pPr>
          </w:p>
        </w:tc>
        <w:tc>
          <w:tcPr>
            <w:tcW w:w="1685" w:type="dxa"/>
            <w:vAlign w:val="center"/>
          </w:tcPr>
          <w:p>
            <w:pPr>
              <w:pStyle w:val="43"/>
            </w:pPr>
            <w:r>
              <w:rPr>
                <w:rFonts w:hint="eastAsia"/>
              </w:rPr>
              <w:t>水质变化趋势</w:t>
            </w:r>
          </w:p>
        </w:tc>
        <w:tc>
          <w:tcPr>
            <w:tcW w:w="4615" w:type="dxa"/>
            <w:vAlign w:val="center"/>
          </w:tcPr>
          <w:p>
            <w:pPr>
              <w:pStyle w:val="43"/>
            </w:pPr>
            <w:r>
              <w:rPr>
                <w:rFonts w:hint="eastAsia"/>
              </w:rPr>
              <w:t>补充监测送检报告中查询水质类别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25" w:hRule="atLeast"/>
        </w:trPr>
        <w:tc>
          <w:tcPr>
            <w:tcW w:w="0" w:type="auto"/>
            <w:vMerge w:val="continue"/>
            <w:vAlign w:val="center"/>
          </w:tcPr>
          <w:p>
            <w:pPr>
              <w:pStyle w:val="43"/>
            </w:pPr>
          </w:p>
        </w:tc>
        <w:tc>
          <w:tcPr>
            <w:tcW w:w="0" w:type="auto"/>
            <w:vMerge w:val="restart"/>
            <w:vAlign w:val="center"/>
          </w:tcPr>
          <w:p>
            <w:pPr>
              <w:pStyle w:val="43"/>
            </w:pPr>
            <w:r>
              <w:rPr>
                <w:rFonts w:hint="eastAsia"/>
              </w:rPr>
              <w:t>生物</w:t>
            </w:r>
          </w:p>
        </w:tc>
        <w:tc>
          <w:tcPr>
            <w:tcW w:w="1685" w:type="dxa"/>
            <w:vAlign w:val="center"/>
          </w:tcPr>
          <w:p>
            <w:pPr>
              <w:pStyle w:val="43"/>
            </w:pPr>
            <w:r>
              <w:rPr>
                <w:rFonts w:hint="eastAsia"/>
              </w:rPr>
              <w:t>鱼类保有指数</w:t>
            </w:r>
          </w:p>
        </w:tc>
        <w:tc>
          <w:tcPr>
            <w:tcW w:w="4615" w:type="dxa"/>
            <w:vAlign w:val="center"/>
          </w:tcPr>
          <w:p>
            <w:pPr>
              <w:pStyle w:val="43"/>
            </w:pPr>
            <w:r>
              <w:rPr>
                <w:rFonts w:hint="eastAsia"/>
              </w:rPr>
              <w:t>历史鱼类种类通过文献查询，现状通过访问渔民、垂钓爱好者和走访东河湿地保护区管理单位，进行动态调查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25" w:hRule="atLeast"/>
        </w:trPr>
        <w:tc>
          <w:tcPr>
            <w:tcW w:w="0" w:type="auto"/>
            <w:vMerge w:val="continue"/>
            <w:vAlign w:val="center"/>
          </w:tcPr>
          <w:p>
            <w:pPr>
              <w:pStyle w:val="43"/>
            </w:pPr>
          </w:p>
        </w:tc>
        <w:tc>
          <w:tcPr>
            <w:tcW w:w="0" w:type="auto"/>
            <w:vMerge w:val="continue"/>
            <w:vAlign w:val="center"/>
          </w:tcPr>
          <w:p>
            <w:pPr>
              <w:pStyle w:val="43"/>
            </w:pPr>
          </w:p>
        </w:tc>
        <w:tc>
          <w:tcPr>
            <w:tcW w:w="1685" w:type="dxa"/>
            <w:vAlign w:val="center"/>
          </w:tcPr>
          <w:p>
            <w:pPr>
              <w:pStyle w:val="43"/>
            </w:pPr>
            <w:r>
              <w:rPr>
                <w:rFonts w:hint="eastAsia"/>
              </w:rPr>
              <w:t>外来水生动植物</w:t>
            </w:r>
          </w:p>
        </w:tc>
        <w:tc>
          <w:tcPr>
            <w:tcW w:w="4615" w:type="dxa"/>
            <w:vAlign w:val="center"/>
          </w:tcPr>
          <w:p>
            <w:pPr>
              <w:pStyle w:val="43"/>
              <w:rPr>
                <w:snapToGrid/>
              </w:rPr>
            </w:pPr>
            <w:r>
              <w:rPr>
                <w:rFonts w:hint="eastAsia"/>
                <w:snapToGrid/>
              </w:rPr>
              <w:t>通过访问东河湿地保护区管理单位，进行动态调查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0" w:hRule="atLeast"/>
        </w:trPr>
        <w:tc>
          <w:tcPr>
            <w:tcW w:w="0" w:type="auto"/>
            <w:vMerge w:val="continue"/>
            <w:vAlign w:val="center"/>
          </w:tcPr>
          <w:p>
            <w:pPr>
              <w:pStyle w:val="43"/>
            </w:pPr>
          </w:p>
        </w:tc>
        <w:tc>
          <w:tcPr>
            <w:tcW w:w="0" w:type="auto"/>
            <w:vMerge w:val="restart"/>
            <w:vAlign w:val="center"/>
          </w:tcPr>
          <w:p>
            <w:pPr>
              <w:pStyle w:val="43"/>
            </w:pPr>
            <w:r>
              <w:rPr>
                <w:rFonts w:hint="eastAsia"/>
              </w:rPr>
              <w:t>河湖管理与社会服务功能</w:t>
            </w:r>
          </w:p>
        </w:tc>
        <w:tc>
          <w:tcPr>
            <w:tcW w:w="1685" w:type="dxa"/>
            <w:vAlign w:val="center"/>
          </w:tcPr>
          <w:p>
            <w:pPr>
              <w:pStyle w:val="43"/>
            </w:pPr>
            <w:r>
              <w:rPr>
                <w:rFonts w:hint="eastAsia"/>
              </w:rPr>
              <w:t>公众满意度</w:t>
            </w:r>
          </w:p>
        </w:tc>
        <w:tc>
          <w:tcPr>
            <w:tcW w:w="4615" w:type="dxa"/>
            <w:vAlign w:val="center"/>
          </w:tcPr>
          <w:p>
            <w:pPr>
              <w:pStyle w:val="43"/>
            </w:pPr>
            <w:r>
              <w:rPr>
                <w:rFonts w:hint="eastAsia"/>
              </w:rPr>
              <w:t>现场问卷调查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trPr>
        <w:tc>
          <w:tcPr>
            <w:tcW w:w="0" w:type="auto"/>
            <w:vMerge w:val="continue"/>
            <w:vAlign w:val="center"/>
          </w:tcPr>
          <w:p>
            <w:pPr>
              <w:pStyle w:val="43"/>
            </w:pPr>
          </w:p>
        </w:tc>
        <w:tc>
          <w:tcPr>
            <w:tcW w:w="0" w:type="auto"/>
            <w:vMerge w:val="continue"/>
            <w:vAlign w:val="center"/>
          </w:tcPr>
          <w:p>
            <w:pPr>
              <w:pStyle w:val="43"/>
            </w:pPr>
          </w:p>
        </w:tc>
        <w:tc>
          <w:tcPr>
            <w:tcW w:w="1685" w:type="dxa"/>
            <w:vAlign w:val="center"/>
          </w:tcPr>
          <w:p>
            <w:pPr>
              <w:pStyle w:val="43"/>
            </w:pPr>
            <w:r>
              <w:rPr>
                <w:rFonts w:hint="eastAsia"/>
              </w:rPr>
              <w:t>防洪指标</w:t>
            </w:r>
          </w:p>
        </w:tc>
        <w:tc>
          <w:tcPr>
            <w:tcW w:w="4615" w:type="dxa"/>
            <w:vAlign w:val="center"/>
          </w:tcPr>
          <w:p>
            <w:pPr>
              <w:pStyle w:val="43"/>
            </w:pPr>
            <w:r>
              <w:rPr>
                <w:rFonts w:hint="eastAsia"/>
              </w:rPr>
              <w:t>相关工程设计报告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trPr>
        <w:tc>
          <w:tcPr>
            <w:tcW w:w="0" w:type="auto"/>
            <w:vMerge w:val="continue"/>
            <w:vAlign w:val="center"/>
          </w:tcPr>
          <w:p>
            <w:pPr>
              <w:pStyle w:val="43"/>
            </w:pPr>
          </w:p>
        </w:tc>
        <w:tc>
          <w:tcPr>
            <w:tcW w:w="0" w:type="auto"/>
            <w:vMerge w:val="continue"/>
            <w:vAlign w:val="center"/>
          </w:tcPr>
          <w:p>
            <w:pPr>
              <w:pStyle w:val="43"/>
            </w:pPr>
          </w:p>
        </w:tc>
        <w:tc>
          <w:tcPr>
            <w:tcW w:w="1685" w:type="dxa"/>
            <w:vAlign w:val="center"/>
          </w:tcPr>
          <w:p>
            <w:pPr>
              <w:pStyle w:val="43"/>
            </w:pPr>
            <w:r>
              <w:rPr>
                <w:rFonts w:hint="eastAsia"/>
              </w:rPr>
              <w:t>供水指标</w:t>
            </w:r>
          </w:p>
        </w:tc>
        <w:tc>
          <w:tcPr>
            <w:tcW w:w="4615" w:type="dxa"/>
            <w:vAlign w:val="center"/>
          </w:tcPr>
          <w:p>
            <w:pPr>
              <w:pStyle w:val="43"/>
            </w:pPr>
            <w:r>
              <w:rPr>
                <w:rFonts w:hint="eastAsia"/>
              </w:rPr>
              <w:t>水利局现场查阅资料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020" w:hRule="atLeast"/>
        </w:trPr>
        <w:tc>
          <w:tcPr>
            <w:tcW w:w="0" w:type="auto"/>
            <w:vMerge w:val="continue"/>
            <w:vAlign w:val="center"/>
          </w:tcPr>
          <w:p>
            <w:pPr>
              <w:pStyle w:val="43"/>
            </w:pPr>
          </w:p>
        </w:tc>
        <w:tc>
          <w:tcPr>
            <w:tcW w:w="0" w:type="auto"/>
            <w:vMerge w:val="continue"/>
            <w:vAlign w:val="center"/>
          </w:tcPr>
          <w:p>
            <w:pPr>
              <w:pStyle w:val="43"/>
            </w:pPr>
          </w:p>
        </w:tc>
        <w:tc>
          <w:tcPr>
            <w:tcW w:w="1685" w:type="dxa"/>
            <w:vAlign w:val="center"/>
          </w:tcPr>
          <w:p>
            <w:pPr>
              <w:pStyle w:val="43"/>
            </w:pPr>
            <w:r>
              <w:rPr>
                <w:rFonts w:hint="eastAsia"/>
              </w:rPr>
              <w:t>开发利用现状与规划的符合性</w:t>
            </w:r>
          </w:p>
        </w:tc>
        <w:tc>
          <w:tcPr>
            <w:tcW w:w="4615" w:type="dxa"/>
            <w:vAlign w:val="center"/>
          </w:tcPr>
          <w:p>
            <w:pPr>
              <w:pStyle w:val="43"/>
            </w:pPr>
            <w:r>
              <w:rPr>
                <w:rFonts w:hint="eastAsia"/>
              </w:rPr>
              <w:t>相关工程设计报告、相关规划</w:t>
            </w:r>
          </w:p>
        </w:tc>
      </w:tr>
    </w:tbl>
    <w:p>
      <w:pPr>
        <w:ind w:firstLine="480"/>
      </w:pPr>
    </w:p>
    <w:p>
      <w:pPr>
        <w:pStyle w:val="3"/>
        <w:ind w:left="301" w:hanging="301"/>
      </w:pPr>
      <w:bookmarkStart w:id="132" w:name="_Toc86049189"/>
      <w:bookmarkStart w:id="133" w:name="_Toc80719405"/>
      <w:r>
        <w:rPr>
          <w:rFonts w:hint="eastAsia"/>
        </w:rPr>
        <w:t>代表点位或断面的选择</w:t>
      </w:r>
      <w:bookmarkEnd w:id="132"/>
      <w:bookmarkEnd w:id="133"/>
    </w:p>
    <w:p>
      <w:pPr>
        <w:pStyle w:val="4"/>
        <w:ind w:left="240"/>
      </w:pPr>
      <w:bookmarkStart w:id="134" w:name="_Toc86049190"/>
      <w:bookmarkStart w:id="135" w:name="_Toc80719406"/>
      <w:r>
        <w:rPr>
          <w:rFonts w:hint="eastAsia"/>
        </w:rPr>
        <w:t>监测点位布置原则</w:t>
      </w:r>
      <w:bookmarkEnd w:id="134"/>
      <w:bookmarkEnd w:id="135"/>
    </w:p>
    <w:p>
      <w:pPr>
        <w:ind w:firstLine="480"/>
      </w:pPr>
      <w:r>
        <w:rPr>
          <w:rFonts w:hint="eastAsia"/>
        </w:rPr>
        <w:t>按照《指南》评价要求，河流健康评价水质监测需包含一个完整的丰、平、枯过程，本次旺苍县盐井河河湖健康评价收集到盐井河2</w:t>
      </w:r>
      <w:r>
        <w:t>020</w:t>
      </w:r>
      <w:r>
        <w:rPr>
          <w:rFonts w:hint="eastAsia"/>
        </w:rPr>
        <w:t>年1</w:t>
      </w:r>
      <w:r>
        <w:t>2</w:t>
      </w:r>
      <w:r>
        <w:rPr>
          <w:rFonts w:hint="eastAsia"/>
        </w:rPr>
        <w:t>月水质监测报告，水质监测资料较少，因此，初步拟定的专项监测方案为补充</w:t>
      </w:r>
      <w:r>
        <w:t>2</w:t>
      </w:r>
      <w:r>
        <w:rPr>
          <w:rFonts w:hint="eastAsia"/>
        </w:rPr>
        <w:t>次水质监测。监测河段及监测断面可按图4</w:t>
      </w:r>
      <w:r>
        <w:t>.2-1</w:t>
      </w:r>
      <w:r>
        <w:rPr>
          <w:rFonts w:hint="eastAsia"/>
        </w:rPr>
        <w:t>设置。</w:t>
      </w:r>
    </w:p>
    <w:p>
      <w:pPr>
        <w:ind w:firstLine="0" w:firstLineChars="0"/>
        <w:jc w:val="center"/>
      </w:pPr>
      <w:r>
        <w:rPr>
          <w:rFonts w:cs="Times New Roman"/>
        </w:rPr>
        <w:drawing>
          <wp:inline distT="0" distB="0" distL="114300" distR="114300">
            <wp:extent cx="4198620" cy="2626995"/>
            <wp:effectExtent l="0" t="0" r="1143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8"/>
                    <a:stretch>
                      <a:fillRect/>
                    </a:stretch>
                  </pic:blipFill>
                  <pic:spPr>
                    <a:xfrm>
                      <a:off x="0" y="0"/>
                      <a:ext cx="4198620" cy="2626995"/>
                    </a:xfrm>
                    <a:prstGeom prst="rect">
                      <a:avLst/>
                    </a:prstGeom>
                    <a:noFill/>
                    <a:ln w="9525">
                      <a:noFill/>
                    </a:ln>
                  </pic:spPr>
                </pic:pic>
              </a:graphicData>
            </a:graphic>
          </wp:inline>
        </w:drawing>
      </w:r>
    </w:p>
    <w:p>
      <w:pPr>
        <w:pStyle w:val="57"/>
      </w:pPr>
      <w:bookmarkStart w:id="136" w:name="_Ref31693"/>
      <w:r>
        <w:rPr>
          <w:rFonts w:hint="eastAsia"/>
        </w:rPr>
        <w:t>图</w:t>
      </w:r>
      <w:r>
        <w:fldChar w:fldCharType="begin"/>
      </w:r>
      <w:r>
        <w:instrText xml:space="preserve"> </w:instrText>
      </w:r>
      <w:r>
        <w:rPr>
          <w:rFonts w:hint="eastAsia"/>
        </w:rPr>
        <w:instrText xml:space="preserve">STYLEREF 2 \s</w:instrText>
      </w:r>
      <w:r>
        <w:instrText xml:space="preserve"> </w:instrText>
      </w:r>
      <w:r>
        <w:fldChar w:fldCharType="separate"/>
      </w:r>
      <w:r>
        <w:t>4.2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t>1</w:t>
      </w:r>
      <w:r>
        <w:fldChar w:fldCharType="end"/>
      </w:r>
      <w:r>
        <w:rPr>
          <w:rFonts w:hint="eastAsia"/>
        </w:rPr>
        <w:t>河流健康评价分段示意图</w:t>
      </w:r>
      <w:bookmarkEnd w:id="136"/>
    </w:p>
    <w:p>
      <w:pPr>
        <w:ind w:firstLine="480"/>
      </w:pPr>
      <w:r>
        <w:rPr>
          <w:rFonts w:hint="eastAsia"/>
        </w:rPr>
        <w:t>（1）评价河段</w:t>
      </w:r>
    </w:p>
    <w:p>
      <w:pPr>
        <w:ind w:firstLine="480"/>
        <w:rPr>
          <w:rFonts w:cs="Times New Roman"/>
        </w:rPr>
      </w:pPr>
      <w:r>
        <w:rPr>
          <w:rFonts w:hint="eastAsia" w:cs="Times New Roman"/>
        </w:rPr>
        <w:t>本次盐井河河流健康评价选取整条河流为评价单元，分一个评价河段，评价范围为盐井河陕川入境至东河口，总长</w:t>
      </w:r>
      <w:r>
        <w:rPr>
          <w:rFonts w:cs="Times New Roman"/>
        </w:rPr>
        <w:t>43.3km</w:t>
      </w:r>
      <w:r>
        <w:rPr>
          <w:rFonts w:hint="eastAsia" w:cs="Times New Roman"/>
        </w:rPr>
        <w:t>。</w:t>
      </w:r>
    </w:p>
    <w:p>
      <w:pPr>
        <w:ind w:firstLine="480"/>
      </w:pPr>
      <w:r>
        <w:rPr>
          <w:rFonts w:hint="eastAsia"/>
        </w:rPr>
        <w:t>（2）监测点位</w:t>
      </w:r>
    </w:p>
    <w:p>
      <w:pPr>
        <w:ind w:firstLine="480"/>
        <w:rPr>
          <w:rFonts w:cs="Times New Roman"/>
        </w:rPr>
      </w:pPr>
      <w:r>
        <w:rPr>
          <w:rFonts w:hint="eastAsia" w:cs="Times New Roman"/>
        </w:rPr>
        <w:t>每个评价河段内可根据评价指标特点设置</w:t>
      </w:r>
      <w:r>
        <w:rPr>
          <w:rFonts w:cs="Times New Roman"/>
        </w:rPr>
        <w:t>1</w:t>
      </w:r>
      <w:r>
        <w:rPr>
          <w:rFonts w:hint="eastAsia" w:cs="Times New Roman"/>
        </w:rPr>
        <w:t>个或多个监测点位。监测点位应按下列要求确定：</w:t>
      </w:r>
    </w:p>
    <w:p>
      <w:pPr>
        <w:ind w:firstLine="480"/>
        <w:rPr>
          <w:rFonts w:cs="Times New Roman"/>
        </w:rPr>
      </w:pPr>
      <w:r>
        <w:rPr>
          <w:rFonts w:hint="eastAsia" w:cs="Times New Roman"/>
        </w:rPr>
        <w:t>1）水量、水质监测点位设置应符合水文及水质监测规范要求，优先选择现有常规水文站及水质监测断面。</w:t>
      </w:r>
    </w:p>
    <w:p>
      <w:pPr>
        <w:ind w:firstLine="480"/>
        <w:rPr>
          <w:rFonts w:cs="Times New Roman"/>
        </w:rPr>
      </w:pPr>
      <w:r>
        <w:rPr>
          <w:rFonts w:hint="eastAsia" w:cs="Times New Roman"/>
        </w:rPr>
        <w:t>2）不同指标的监测点位可根据河段特点分别选取，评价指标的监测点位位置宜保持一致。</w:t>
      </w:r>
    </w:p>
    <w:p>
      <w:pPr>
        <w:ind w:firstLine="480"/>
        <w:rPr>
          <w:rFonts w:cs="Times New Roman"/>
        </w:rPr>
      </w:pPr>
      <w:r>
        <w:rPr>
          <w:rFonts w:hint="eastAsia" w:cs="Times New Roman"/>
        </w:rPr>
        <w:t>3）综合考虑代表性、监测便利性和取样监测安全保障等确定多个备选点位，可结合现场勘察，最终确定合适的监测点位。</w:t>
      </w:r>
    </w:p>
    <w:p>
      <w:pPr>
        <w:ind w:firstLine="480"/>
      </w:pPr>
      <w:r>
        <w:rPr>
          <w:rFonts w:hint="eastAsia"/>
        </w:rPr>
        <w:t>（3）监测河段</w:t>
      </w:r>
    </w:p>
    <w:p>
      <w:pPr>
        <w:ind w:firstLine="480"/>
        <w:rPr>
          <w:rFonts w:cs="Times New Roman"/>
        </w:rPr>
      </w:pPr>
      <w:r>
        <w:rPr>
          <w:rFonts w:hint="eastAsia" w:cs="Times New Roman"/>
        </w:rPr>
        <w:t>应根据评价指标特点在监测点位设置监测河段，监测河段范围采用固定长度方法或河道水面宽度倍数法确定，监测河段长度规定如下：</w:t>
      </w:r>
    </w:p>
    <w:p>
      <w:pPr>
        <w:ind w:firstLine="480"/>
        <w:rPr>
          <w:rFonts w:cs="Times New Roman"/>
        </w:rPr>
      </w:pPr>
      <w:r>
        <w:rPr>
          <w:rFonts w:hint="eastAsia" w:cs="Times New Roman"/>
        </w:rPr>
        <w:t>1）深泓水深小于5m的河流（小河），监测河段长度可采用河道水面宽度倍数法确定，其长度为40倍水面宽度，最大长度宜不超过1km。</w:t>
      </w:r>
    </w:p>
    <w:p>
      <w:pPr>
        <w:ind w:firstLine="480"/>
        <w:rPr>
          <w:rFonts w:cs="Times New Roman"/>
        </w:rPr>
      </w:pPr>
      <w:r>
        <w:rPr>
          <w:rFonts w:hint="eastAsia" w:cs="Times New Roman"/>
        </w:rPr>
        <w:t>2）深泓水深不小于5m的河流（大河）采用固定长度法，规定长度为1km。</w:t>
      </w:r>
    </w:p>
    <w:p>
      <w:pPr>
        <w:ind w:firstLine="480"/>
      </w:pPr>
      <w:r>
        <w:rPr>
          <w:rFonts w:hint="eastAsia"/>
        </w:rPr>
        <w:t>（4）监测断面</w:t>
      </w:r>
    </w:p>
    <w:p>
      <w:pPr>
        <w:ind w:firstLine="480"/>
        <w:rPr>
          <w:rFonts w:cs="Times New Roman"/>
        </w:rPr>
      </w:pPr>
      <w:r>
        <w:rPr>
          <w:rFonts w:hint="eastAsia" w:cs="Times New Roman"/>
        </w:rPr>
        <w:t>每个监测河段可设置若干监测断面。监测断面应按下列要求确定：深泓水深小于</w:t>
      </w:r>
      <w:r>
        <w:rPr>
          <w:rFonts w:cs="Times New Roman"/>
        </w:rPr>
        <w:t>5m</w:t>
      </w:r>
      <w:r>
        <w:rPr>
          <w:rFonts w:hint="eastAsia" w:cs="Times New Roman"/>
        </w:rPr>
        <w:t>的小河，监测断面可根据深泓线设置，参考监测断面间距可为</w:t>
      </w:r>
      <w:r>
        <w:rPr>
          <w:rFonts w:cs="Times New Roman"/>
        </w:rPr>
        <w:t>4</w:t>
      </w:r>
      <w:r>
        <w:rPr>
          <w:rFonts w:hint="eastAsia" w:cs="Times New Roman"/>
        </w:rPr>
        <w:t>倍河宽；深泓水深不小于</w:t>
      </w:r>
      <w:r>
        <w:rPr>
          <w:rFonts w:cs="Times New Roman"/>
        </w:rPr>
        <w:t>5m</w:t>
      </w:r>
      <w:r>
        <w:rPr>
          <w:rFonts w:hint="eastAsia" w:cs="Times New Roman"/>
        </w:rPr>
        <w:t>的大河，监测断面可根据河岸线设置，参考监测断面间距可为</w:t>
      </w:r>
      <w:r>
        <w:rPr>
          <w:rFonts w:cs="Times New Roman"/>
        </w:rPr>
        <w:t>50m</w:t>
      </w:r>
      <w:r>
        <w:rPr>
          <w:rFonts w:hint="eastAsia" w:cs="Times New Roman"/>
        </w:rPr>
        <w:t>；根据现场考察，分析断面设置的合理性，可根据取样的便利性适当调整监测断面位置。</w:t>
      </w:r>
    </w:p>
    <w:p>
      <w:pPr>
        <w:pStyle w:val="4"/>
        <w:ind w:left="240"/>
      </w:pPr>
      <w:bookmarkStart w:id="137" w:name="_Toc80719407"/>
      <w:bookmarkStart w:id="138" w:name="_Toc86049191"/>
      <w:r>
        <w:rPr>
          <w:rFonts w:hint="eastAsia"/>
        </w:rPr>
        <w:t>监测断面设置</w:t>
      </w:r>
      <w:bookmarkEnd w:id="137"/>
      <w:bookmarkEnd w:id="138"/>
    </w:p>
    <w:p>
      <w:pPr>
        <w:ind w:firstLine="480"/>
      </w:pPr>
      <w:r>
        <w:rPr>
          <w:rFonts w:hint="eastAsia"/>
        </w:rPr>
        <w:t>（1）断面设置</w:t>
      </w:r>
    </w:p>
    <w:p>
      <w:pPr>
        <w:ind w:firstLine="480"/>
      </w:pPr>
      <w:r>
        <w:rPr>
          <w:rFonts w:hint="eastAsia"/>
        </w:rPr>
        <w:t>盐井河自陕川交界入境旺苍县，至双汇镇汇入东河，境内长度43.3km，考虑盐井河为跨境河流，本次盐井河健康评价共布设两个代表断面，上游断面位于盐井河入境断面下游6</w:t>
      </w:r>
      <w:r>
        <w:t>.7</w:t>
      </w:r>
      <w:r>
        <w:rPr>
          <w:rFonts w:hint="eastAsia"/>
        </w:rPr>
        <w:t>km处的高家垭群建村，以反映盐井河入境水质状况；下游断面位于双汇镇入东河汇口上游1km处，两水质监测点结合以反映盐井河旺苍境内河段水质情况。监测断面附图</w:t>
      </w:r>
      <w:r>
        <w:t>4-1</w:t>
      </w:r>
      <w:r>
        <w:rPr>
          <w:rFonts w:hint="eastAsia"/>
        </w:rPr>
        <w:t>。</w:t>
      </w:r>
    </w:p>
    <w:p>
      <w:pPr>
        <w:ind w:firstLine="480"/>
      </w:pPr>
      <w:r>
        <w:rPr>
          <w:rFonts w:hint="eastAsia"/>
        </w:rPr>
        <w:t>（</w:t>
      </w:r>
      <w:r>
        <w:t>2</w:t>
      </w:r>
      <w:r>
        <w:rPr>
          <w:rFonts w:hint="eastAsia"/>
        </w:rPr>
        <w:t>）监测点位布设合理性分析</w:t>
      </w:r>
    </w:p>
    <w:p>
      <w:pPr>
        <w:ind w:firstLine="480"/>
      </w:pPr>
      <w:r>
        <w:rPr>
          <w:rFonts w:hint="eastAsia"/>
        </w:rPr>
        <w:t>根据《水环境监测规范</w:t>
      </w:r>
      <w:r>
        <w:t>SL219-2013</w:t>
      </w:r>
      <w:r>
        <w:rPr>
          <w:rFonts w:hint="eastAsia"/>
        </w:rPr>
        <w:t>》，应符合以下原则：</w:t>
      </w:r>
    </w:p>
    <w:p>
      <w:pPr>
        <w:ind w:firstLine="480"/>
      </w:pPr>
      <w:r>
        <w:t>1</w:t>
      </w:r>
      <w:r>
        <w:rPr>
          <w:rFonts w:hint="eastAsia"/>
        </w:rPr>
        <w:t>）在调查范围的两端布设一个取样断面；</w:t>
      </w:r>
    </w:p>
    <w:p>
      <w:pPr>
        <w:ind w:firstLine="480"/>
      </w:pPr>
      <w:r>
        <w:t>2</w:t>
      </w:r>
      <w:r>
        <w:rPr>
          <w:rFonts w:hint="eastAsia"/>
        </w:rPr>
        <w:t>）重点保护水域及环境敏感点附近水域应布设取样断面；</w:t>
      </w:r>
    </w:p>
    <w:p>
      <w:pPr>
        <w:ind w:firstLine="480"/>
      </w:pPr>
      <w:r>
        <w:t>3</w:t>
      </w:r>
      <w:r>
        <w:rPr>
          <w:rFonts w:hint="eastAsia"/>
        </w:rPr>
        <w:t>）水文特征突然变化处</w:t>
      </w:r>
      <w:r>
        <w:t>(</w:t>
      </w:r>
      <w:r>
        <w:rPr>
          <w:rFonts w:hint="eastAsia"/>
        </w:rPr>
        <w:t>如支流汇入</w:t>
      </w:r>
      <w:r>
        <w:t>)</w:t>
      </w:r>
      <w:r>
        <w:rPr>
          <w:rFonts w:hint="eastAsia"/>
        </w:rPr>
        <w:t>应布设取样断面；</w:t>
      </w:r>
    </w:p>
    <w:p>
      <w:pPr>
        <w:ind w:firstLine="480"/>
      </w:pPr>
      <w:r>
        <w:t>4</w:t>
      </w:r>
      <w:r>
        <w:rPr>
          <w:rFonts w:hint="eastAsia"/>
        </w:rPr>
        <w:t>）水质急剧变化处</w:t>
      </w:r>
      <w:r>
        <w:t>(</w:t>
      </w:r>
      <w:r>
        <w:rPr>
          <w:rFonts w:hint="eastAsia"/>
        </w:rPr>
        <w:t>如有污水排入</w:t>
      </w:r>
      <w:r>
        <w:t>)</w:t>
      </w:r>
      <w:r>
        <w:rPr>
          <w:rFonts w:hint="eastAsia"/>
        </w:rPr>
        <w:t>应布设取样断面；</w:t>
      </w:r>
    </w:p>
    <w:p>
      <w:pPr>
        <w:ind w:firstLine="480"/>
      </w:pPr>
      <w:r>
        <w:t>5</w:t>
      </w:r>
      <w:r>
        <w:rPr>
          <w:rFonts w:hint="eastAsia"/>
        </w:rPr>
        <w:t>）重点水工构筑物附近（如取水口、闸坝</w:t>
      </w:r>
      <w:r>
        <w:t>)</w:t>
      </w:r>
      <w:r>
        <w:rPr>
          <w:rFonts w:hint="eastAsia"/>
        </w:rPr>
        <w:t>应布设取样断面；</w:t>
      </w:r>
    </w:p>
    <w:p>
      <w:pPr>
        <w:ind w:firstLine="480"/>
      </w:pPr>
      <w:r>
        <w:t>6</w:t>
      </w:r>
      <w:r>
        <w:rPr>
          <w:rFonts w:hint="eastAsia"/>
        </w:rPr>
        <w:t>）建设项目拟建排污口上游</w:t>
      </w:r>
      <w:r>
        <w:t>500</w:t>
      </w:r>
      <w:r>
        <w:rPr>
          <w:rFonts w:hint="eastAsia"/>
        </w:rPr>
        <w:t>米处应布设取样断面。</w:t>
      </w:r>
    </w:p>
    <w:p>
      <w:pPr>
        <w:ind w:firstLine="480"/>
      </w:pPr>
      <w:r>
        <w:rPr>
          <w:rFonts w:hint="eastAsia"/>
        </w:rPr>
        <w:t>盐井河位于</w:t>
      </w:r>
      <w:r>
        <w:rPr>
          <w:rFonts w:hint="eastAsia"/>
          <w:bCs/>
          <w:szCs w:val="24"/>
        </w:rPr>
        <w:t>东河上游特有鱼类省级水产种质资源保护区及</w:t>
      </w:r>
      <w:r>
        <w:rPr>
          <w:rFonts w:hint="eastAsia"/>
        </w:rPr>
        <w:t>四川汉王山东河湿地省级自然保护区，且为跨界河流，本次考虑在盐井河入境处处布置一处水质监测点，即群建村水质监测点，用于监测入境河水水质，在盐井河汇入东河汇口上游1km处设置一处水质监测点，即双汇水质监测点，用于监测盐井河河口水质，两处水质监测结合以反映评价河段区间水质情况。因此本次水质监测点位选取群建村及双汇镇小学两处，具有较好的代表性及取样的便利性，且数据便于获取。</w:t>
      </w:r>
    </w:p>
    <w:p>
      <w:pPr>
        <w:pStyle w:val="3"/>
        <w:ind w:left="301" w:hanging="301"/>
      </w:pPr>
      <w:bookmarkStart w:id="139" w:name="_Toc80719408"/>
      <w:bookmarkStart w:id="140" w:name="_Toc86049192"/>
      <w:r>
        <w:rPr>
          <w:rFonts w:hint="eastAsia"/>
        </w:rPr>
        <w:t>监测方法</w:t>
      </w:r>
      <w:bookmarkEnd w:id="139"/>
      <w:bookmarkEnd w:id="140"/>
    </w:p>
    <w:p>
      <w:pPr>
        <w:pStyle w:val="4"/>
        <w:ind w:left="240"/>
      </w:pPr>
      <w:bookmarkStart w:id="141" w:name="_Toc80719409"/>
      <w:bookmarkStart w:id="142" w:name="_Toc86049193"/>
      <w:r>
        <w:rPr>
          <w:rFonts w:hint="eastAsia"/>
        </w:rPr>
        <w:t>监测项目</w:t>
      </w:r>
      <w:bookmarkEnd w:id="141"/>
      <w:bookmarkEnd w:id="142"/>
    </w:p>
    <w:p>
      <w:pPr>
        <w:ind w:firstLine="480"/>
      </w:pPr>
      <w:r>
        <w:rPr>
          <w:rFonts w:hint="eastAsia"/>
        </w:rPr>
        <w:t>根据《地表水环境质量标准》（GB</w:t>
      </w:r>
      <w:r>
        <w:t>3838-2002</w:t>
      </w:r>
      <w:r>
        <w:rPr>
          <w:rFonts w:hint="eastAsia"/>
        </w:rPr>
        <w:t>），盐井河水质监测项目为水温、p</w:t>
      </w:r>
      <w:r>
        <w:t>H</w:t>
      </w:r>
      <w:r>
        <w:rPr>
          <w:rFonts w:hint="eastAsia"/>
        </w:rPr>
        <w:t>、溶解氧、高锰酸钾指数、五日生化需氧量、氨氮、总磷、总氮、氟化物、氰化物、挥发酚、石油类、阴离子表面活性剂、硫化物、粪类大肠杆菌、化学需氧量、硫酸盐、氯化物、硝酸盐等。</w:t>
      </w:r>
    </w:p>
    <w:p>
      <w:pPr>
        <w:pStyle w:val="4"/>
        <w:ind w:left="240"/>
      </w:pPr>
      <w:bookmarkStart w:id="143" w:name="_Toc80719410"/>
      <w:bookmarkStart w:id="144" w:name="_Toc86049194"/>
      <w:r>
        <w:rPr>
          <w:rFonts w:hint="eastAsia"/>
        </w:rPr>
        <w:t>监测频次</w:t>
      </w:r>
      <w:bookmarkEnd w:id="143"/>
      <w:bookmarkEnd w:id="144"/>
    </w:p>
    <w:p>
      <w:pPr>
        <w:ind w:firstLine="480"/>
      </w:pPr>
      <w:r>
        <w:rPr>
          <w:rFonts w:hint="eastAsia"/>
        </w:rPr>
        <w:t>本次收集到盐井河枯水期（2</w:t>
      </w:r>
      <w:r>
        <w:t>020</w:t>
      </w:r>
      <w:r>
        <w:rPr>
          <w:rFonts w:hint="eastAsia"/>
        </w:rPr>
        <w:t>年1</w:t>
      </w:r>
      <w:r>
        <w:t>2</w:t>
      </w:r>
      <w:r>
        <w:rPr>
          <w:rFonts w:hint="eastAsia"/>
        </w:rPr>
        <w:t>月）水质监测报告，补充水质监测方案为2</w:t>
      </w:r>
      <w:r>
        <w:t>021</w:t>
      </w:r>
      <w:r>
        <w:rPr>
          <w:rFonts w:hint="eastAsia"/>
        </w:rPr>
        <w:t>年8月、1</w:t>
      </w:r>
      <w:r>
        <w:t>0</w:t>
      </w:r>
      <w:r>
        <w:rPr>
          <w:rFonts w:hint="eastAsia"/>
        </w:rPr>
        <w:t>月各监测一次，监测频率为每次监测1天，每天取样1次。</w:t>
      </w:r>
    </w:p>
    <w:p>
      <w:pPr>
        <w:pStyle w:val="4"/>
        <w:ind w:left="240"/>
      </w:pPr>
      <w:bookmarkStart w:id="145" w:name="_Toc80719411"/>
      <w:bookmarkStart w:id="146" w:name="_Toc86049195"/>
      <w:r>
        <w:rPr>
          <w:rFonts w:hint="eastAsia"/>
        </w:rPr>
        <w:t>监测时间</w:t>
      </w:r>
      <w:bookmarkEnd w:id="145"/>
      <w:bookmarkEnd w:id="146"/>
    </w:p>
    <w:p>
      <w:pPr>
        <w:ind w:firstLine="480"/>
        <w:rPr>
          <w:highlight w:val="yellow"/>
        </w:rPr>
      </w:pPr>
      <w:r>
        <w:rPr>
          <w:rFonts w:hint="eastAsia"/>
        </w:rPr>
        <w:t>盐井河</w:t>
      </w:r>
      <w:r>
        <w:t>12月～次年3月流量较小且不稳定，基本无洪水发生，为枯水期；4月有小洪水发生，属于汛前过渡期；年最大流量主要出现在5月～10月为主汛期；</w:t>
      </w:r>
      <w:r>
        <w:rPr>
          <w:rFonts w:hint="eastAsia"/>
        </w:rPr>
        <w:t>由此可知，盐井河来水量在7月~</w:t>
      </w:r>
      <w:r>
        <w:t>8</w:t>
      </w:r>
      <w:r>
        <w:rPr>
          <w:rFonts w:hint="eastAsia"/>
        </w:rPr>
        <w:t>月最丰，5月、1</w:t>
      </w:r>
      <w:r>
        <w:t>0</w:t>
      </w:r>
      <w:r>
        <w:rPr>
          <w:rFonts w:hint="eastAsia"/>
        </w:rPr>
        <w:t>月为平水期，1</w:t>
      </w:r>
      <w:r>
        <w:t>2</w:t>
      </w:r>
      <w:r>
        <w:rPr>
          <w:rFonts w:hint="eastAsia"/>
        </w:rPr>
        <w:t>月~次年3月为枯水期。根据盐井河各月来水情况，拟</w:t>
      </w:r>
      <w:r>
        <w:t>8</w:t>
      </w:r>
      <w:r>
        <w:rPr>
          <w:rFonts w:hint="eastAsia"/>
        </w:rPr>
        <w:t>月和1</w:t>
      </w:r>
      <w:r>
        <w:t>0</w:t>
      </w:r>
      <w:r>
        <w:rPr>
          <w:rFonts w:hint="eastAsia"/>
        </w:rPr>
        <w:t>月各进行一次补充监测。</w:t>
      </w:r>
    </w:p>
    <w:p>
      <w:pPr>
        <w:pStyle w:val="4"/>
        <w:ind w:left="240"/>
      </w:pPr>
      <w:bookmarkStart w:id="147" w:name="_Toc80719412"/>
      <w:bookmarkStart w:id="148" w:name="_Toc86049196"/>
      <w:r>
        <w:rPr>
          <w:rFonts w:hint="eastAsia"/>
        </w:rPr>
        <w:t>监测设备与监测方法</w:t>
      </w:r>
      <w:bookmarkEnd w:id="147"/>
      <w:bookmarkEnd w:id="148"/>
    </w:p>
    <w:p>
      <w:pPr>
        <w:ind w:firstLine="480"/>
      </w:pPr>
      <w:r>
        <w:rPr>
          <w:rFonts w:hint="eastAsia" w:cs="Times New Roman"/>
        </w:rPr>
        <w:t>各项水质监测项目监测方法来源、使用仪器及单位见</w:t>
      </w:r>
      <w:r>
        <w:fldChar w:fldCharType="begin"/>
      </w:r>
      <w:r>
        <w:rPr>
          <w:rFonts w:cs="Times New Roman"/>
        </w:rPr>
        <w:instrText xml:space="preserve"> </w:instrText>
      </w:r>
      <w:r>
        <w:rPr>
          <w:rFonts w:hint="eastAsia" w:cs="Times New Roman"/>
        </w:rPr>
        <w:instrText xml:space="preserve">REF _Ref80717109 \h</w:instrText>
      </w:r>
      <w:r>
        <w:rPr>
          <w:rFonts w:cs="Times New Roman"/>
        </w:rPr>
        <w:instrText xml:space="preserve"> </w:instrText>
      </w:r>
      <w:r>
        <w:fldChar w:fldCharType="separate"/>
      </w:r>
      <w:r>
        <w:rPr>
          <w:rFonts w:hint="eastAsia"/>
        </w:rPr>
        <w:t>表</w:t>
      </w:r>
      <w:r>
        <w:t>4.3</w:t>
      </w:r>
      <w:r>
        <w:noBreakHyphen/>
      </w:r>
      <w:r>
        <w:t>1</w:t>
      </w:r>
      <w:r>
        <w:fldChar w:fldCharType="end"/>
      </w:r>
      <w:r>
        <w:rPr>
          <w:rFonts w:hint="eastAsia"/>
        </w:rPr>
        <w:t>。</w:t>
      </w:r>
    </w:p>
    <w:p>
      <w:pPr>
        <w:ind w:firstLine="0" w:firstLineChars="0"/>
        <w:rPr>
          <w:b/>
        </w:rPr>
        <w:sectPr>
          <w:pgSz w:w="11906" w:h="16838"/>
          <w:pgMar w:top="1440" w:right="1800" w:bottom="1440" w:left="1800" w:header="851" w:footer="992" w:gutter="0"/>
          <w:cols w:space="425" w:num="1"/>
          <w:docGrid w:type="lines" w:linePitch="312" w:charSpace="0"/>
        </w:sectPr>
      </w:pPr>
    </w:p>
    <w:p>
      <w:pPr>
        <w:ind w:firstLine="0" w:firstLineChars="0"/>
        <w:rPr>
          <w:b/>
        </w:rPr>
      </w:pPr>
    </w:p>
    <w:p>
      <w:pPr>
        <w:pStyle w:val="58"/>
        <w:rPr>
          <w:color w:val="auto"/>
        </w:rPr>
      </w:pPr>
      <w:bookmarkStart w:id="149" w:name="_Ref80717109"/>
      <w:r>
        <w:rPr>
          <w:rFonts w:hint="eastAsia"/>
          <w:color w:val="auto"/>
        </w:rPr>
        <w:t>表</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4.3</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1</w:t>
      </w:r>
      <w:r>
        <w:rPr>
          <w:color w:val="auto"/>
        </w:rPr>
        <w:fldChar w:fldCharType="end"/>
      </w:r>
      <w:bookmarkEnd w:id="149"/>
      <w:r>
        <w:rPr>
          <w:rFonts w:hint="eastAsia"/>
          <w:color w:val="auto"/>
        </w:rPr>
        <w:t>盐井河水质监测项目及监测方法一览表</w:t>
      </w:r>
    </w:p>
    <w:tbl>
      <w:tblPr>
        <w:tblStyle w:val="24"/>
        <w:tblW w:w="487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565"/>
        <w:gridCol w:w="1563"/>
        <w:gridCol w:w="6168"/>
        <w:gridCol w:w="3639"/>
        <w:gridCol w:w="1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0" w:hRule="atLeast"/>
          <w:tblHeader/>
        </w:trPr>
        <w:tc>
          <w:tcPr>
            <w:tcW w:w="207" w:type="pct"/>
            <w:vAlign w:val="center"/>
          </w:tcPr>
          <w:p>
            <w:pPr>
              <w:pStyle w:val="43"/>
            </w:pPr>
            <w:r>
              <w:rPr>
                <w:rFonts w:hint="eastAsia"/>
              </w:rPr>
              <w:t>序号</w:t>
            </w:r>
          </w:p>
        </w:tc>
        <w:tc>
          <w:tcPr>
            <w:tcW w:w="573" w:type="pct"/>
            <w:vAlign w:val="center"/>
          </w:tcPr>
          <w:p>
            <w:pPr>
              <w:pStyle w:val="43"/>
            </w:pPr>
            <w:r>
              <w:rPr>
                <w:rFonts w:hint="eastAsia"/>
              </w:rPr>
              <w:t>项目名称</w:t>
            </w:r>
          </w:p>
        </w:tc>
        <w:tc>
          <w:tcPr>
            <w:tcW w:w="2261" w:type="pct"/>
            <w:vAlign w:val="center"/>
          </w:tcPr>
          <w:p>
            <w:pPr>
              <w:pStyle w:val="43"/>
            </w:pPr>
            <w:r>
              <w:rPr>
                <w:rFonts w:hint="eastAsia"/>
              </w:rPr>
              <w:t>分析方法来源</w:t>
            </w:r>
          </w:p>
        </w:tc>
        <w:tc>
          <w:tcPr>
            <w:tcW w:w="1334" w:type="pct"/>
            <w:vAlign w:val="center"/>
          </w:tcPr>
          <w:p>
            <w:pPr>
              <w:pStyle w:val="43"/>
            </w:pPr>
            <w:r>
              <w:rPr>
                <w:rFonts w:hint="eastAsia"/>
              </w:rPr>
              <w:t>检测仪器</w:t>
            </w:r>
          </w:p>
        </w:tc>
        <w:tc>
          <w:tcPr>
            <w:tcW w:w="625" w:type="pct"/>
            <w:vAlign w:val="center"/>
          </w:tcPr>
          <w:p>
            <w:pPr>
              <w:pStyle w:val="43"/>
            </w:pPr>
            <w:r>
              <w:rPr>
                <w:rFonts w:hint="eastAsia"/>
              </w:rPr>
              <w:t>检出限及单位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trPr>
        <w:tc>
          <w:tcPr>
            <w:tcW w:w="207" w:type="pct"/>
            <w:vAlign w:val="center"/>
          </w:tcPr>
          <w:p>
            <w:pPr>
              <w:pStyle w:val="43"/>
            </w:pPr>
            <w:r>
              <w:rPr>
                <w:rFonts w:hint="eastAsia"/>
              </w:rPr>
              <w:t>1</w:t>
            </w:r>
          </w:p>
        </w:tc>
        <w:tc>
          <w:tcPr>
            <w:tcW w:w="573" w:type="pct"/>
            <w:vAlign w:val="center"/>
          </w:tcPr>
          <w:p>
            <w:pPr>
              <w:pStyle w:val="43"/>
            </w:pPr>
            <w:r>
              <w:rPr>
                <w:rFonts w:hint="eastAsia"/>
              </w:rPr>
              <w:t>样品采集</w:t>
            </w:r>
          </w:p>
        </w:tc>
        <w:tc>
          <w:tcPr>
            <w:tcW w:w="2261" w:type="pct"/>
            <w:vAlign w:val="center"/>
          </w:tcPr>
          <w:p>
            <w:pPr>
              <w:pStyle w:val="43"/>
            </w:pPr>
            <w:r>
              <w:t>HJ/T91-2002</w:t>
            </w:r>
            <w:r>
              <w:rPr>
                <w:rFonts w:hint="eastAsia"/>
              </w:rPr>
              <w:t>地表水和污水监测技术规范</w:t>
            </w:r>
          </w:p>
        </w:tc>
        <w:tc>
          <w:tcPr>
            <w:tcW w:w="1334" w:type="pct"/>
            <w:vAlign w:val="center"/>
          </w:tcPr>
          <w:p>
            <w:pPr>
              <w:pStyle w:val="43"/>
            </w:pPr>
            <w:r>
              <w:t>\</w:t>
            </w:r>
          </w:p>
        </w:tc>
        <w:tc>
          <w:tcPr>
            <w:tcW w:w="625" w:type="pct"/>
            <w:vAlign w:val="center"/>
          </w:tcPr>
          <w:p>
            <w:pPr>
              <w:pStyle w:val="43"/>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0" w:hRule="atLeast"/>
        </w:trPr>
        <w:tc>
          <w:tcPr>
            <w:tcW w:w="207" w:type="pct"/>
            <w:vAlign w:val="center"/>
          </w:tcPr>
          <w:p>
            <w:pPr>
              <w:pStyle w:val="43"/>
            </w:pPr>
            <w:r>
              <w:rPr>
                <w:rFonts w:hint="eastAsia"/>
              </w:rPr>
              <w:t>2</w:t>
            </w:r>
          </w:p>
        </w:tc>
        <w:tc>
          <w:tcPr>
            <w:tcW w:w="573" w:type="pct"/>
            <w:vAlign w:val="center"/>
          </w:tcPr>
          <w:p>
            <w:pPr>
              <w:pStyle w:val="43"/>
            </w:pPr>
            <w:r>
              <w:rPr>
                <w:rFonts w:hint="eastAsia"/>
              </w:rPr>
              <w:t>水温</w:t>
            </w:r>
          </w:p>
        </w:tc>
        <w:tc>
          <w:tcPr>
            <w:tcW w:w="2261" w:type="pct"/>
            <w:vAlign w:val="center"/>
          </w:tcPr>
          <w:p>
            <w:pPr>
              <w:pStyle w:val="43"/>
            </w:pPr>
            <w:r>
              <w:t>GB13195-91</w:t>
            </w:r>
            <w:r>
              <w:rPr>
                <w:rFonts w:hint="eastAsia"/>
              </w:rPr>
              <w:t>水质水温的测定温度计或颠倒温度计测定法</w:t>
            </w:r>
          </w:p>
        </w:tc>
        <w:tc>
          <w:tcPr>
            <w:tcW w:w="1334" w:type="pct"/>
            <w:vAlign w:val="center"/>
          </w:tcPr>
          <w:p>
            <w:pPr>
              <w:pStyle w:val="43"/>
            </w:pPr>
            <w:r>
              <w:rPr>
                <w:rFonts w:hint="eastAsia"/>
              </w:rPr>
              <w:t>水银温度计</w:t>
            </w:r>
            <w:r>
              <w:t>KL-FZ-X137</w:t>
            </w:r>
          </w:p>
        </w:tc>
        <w:tc>
          <w:tcPr>
            <w:tcW w:w="625" w:type="pct"/>
            <w:vAlign w:val="center"/>
          </w:tcPr>
          <w:p>
            <w:pPr>
              <w:pStyle w:val="43"/>
            </w:pPr>
            <w:r>
              <w:t>\</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0" w:hRule="atLeast"/>
        </w:trPr>
        <w:tc>
          <w:tcPr>
            <w:tcW w:w="207" w:type="pct"/>
            <w:vAlign w:val="center"/>
          </w:tcPr>
          <w:p>
            <w:pPr>
              <w:pStyle w:val="43"/>
            </w:pPr>
            <w:r>
              <w:rPr>
                <w:rFonts w:hint="eastAsia"/>
              </w:rPr>
              <w:t>3</w:t>
            </w:r>
          </w:p>
        </w:tc>
        <w:tc>
          <w:tcPr>
            <w:tcW w:w="573" w:type="pct"/>
            <w:vAlign w:val="center"/>
          </w:tcPr>
          <w:p>
            <w:pPr>
              <w:pStyle w:val="43"/>
            </w:pPr>
            <w:r>
              <w:t>pH</w:t>
            </w:r>
          </w:p>
        </w:tc>
        <w:tc>
          <w:tcPr>
            <w:tcW w:w="2261" w:type="pct"/>
            <w:vAlign w:val="center"/>
          </w:tcPr>
          <w:p>
            <w:pPr>
              <w:pStyle w:val="43"/>
            </w:pPr>
            <w:r>
              <w:rPr>
                <w:rFonts w:hint="eastAsia"/>
              </w:rPr>
              <w:t>HJ</w:t>
            </w:r>
            <w:r>
              <w:t>1147-2020</w:t>
            </w:r>
            <w:r>
              <w:rPr>
                <w:rFonts w:hint="eastAsia"/>
              </w:rPr>
              <w:t>水质pH的测定电极法</w:t>
            </w:r>
          </w:p>
        </w:tc>
        <w:tc>
          <w:tcPr>
            <w:tcW w:w="1334" w:type="pct"/>
            <w:vAlign w:val="center"/>
          </w:tcPr>
          <w:p>
            <w:pPr>
              <w:pStyle w:val="43"/>
            </w:pPr>
            <w:r>
              <w:rPr>
                <w:rFonts w:hint="eastAsia"/>
              </w:rPr>
              <w:t>便携式</w:t>
            </w:r>
            <w:r>
              <w:t>pH</w:t>
            </w:r>
            <w:r>
              <w:rPr>
                <w:rFonts w:hint="eastAsia"/>
              </w:rPr>
              <w:t>计</w:t>
            </w:r>
            <w:r>
              <w:t>KL-PH-26</w:t>
            </w:r>
          </w:p>
        </w:tc>
        <w:tc>
          <w:tcPr>
            <w:tcW w:w="625" w:type="pct"/>
            <w:vAlign w:val="center"/>
          </w:tcPr>
          <w:p>
            <w:pPr>
              <w:pStyle w:val="43"/>
            </w:pPr>
            <w:r>
              <w:t>\</w:t>
            </w:r>
            <w:r>
              <w:rPr>
                <w:rFonts w:hint="eastAsia"/>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0" w:hRule="atLeast"/>
        </w:trPr>
        <w:tc>
          <w:tcPr>
            <w:tcW w:w="207" w:type="pct"/>
            <w:vAlign w:val="center"/>
          </w:tcPr>
          <w:p>
            <w:pPr>
              <w:pStyle w:val="43"/>
            </w:pPr>
            <w:r>
              <w:rPr>
                <w:rFonts w:hint="eastAsia"/>
              </w:rPr>
              <w:t>4</w:t>
            </w:r>
          </w:p>
        </w:tc>
        <w:tc>
          <w:tcPr>
            <w:tcW w:w="573" w:type="pct"/>
            <w:vAlign w:val="center"/>
          </w:tcPr>
          <w:p>
            <w:pPr>
              <w:pStyle w:val="43"/>
            </w:pPr>
            <w:r>
              <w:rPr>
                <w:rFonts w:hint="eastAsia"/>
              </w:rPr>
              <w:t>溶解氧</w:t>
            </w:r>
          </w:p>
        </w:tc>
        <w:tc>
          <w:tcPr>
            <w:tcW w:w="2261" w:type="pct"/>
            <w:vAlign w:val="center"/>
          </w:tcPr>
          <w:p>
            <w:pPr>
              <w:pStyle w:val="43"/>
            </w:pPr>
            <w:r>
              <w:t>HJ506-2009</w:t>
            </w:r>
            <w:r>
              <w:rPr>
                <w:rFonts w:hint="eastAsia"/>
              </w:rPr>
              <w:t>水质溶解氧的测定电化学探头法</w:t>
            </w:r>
          </w:p>
        </w:tc>
        <w:tc>
          <w:tcPr>
            <w:tcW w:w="1334" w:type="pct"/>
            <w:vAlign w:val="center"/>
          </w:tcPr>
          <w:p>
            <w:pPr>
              <w:pStyle w:val="43"/>
            </w:pPr>
            <w:r>
              <w:rPr>
                <w:rFonts w:hint="eastAsia"/>
              </w:rPr>
              <w:t>便携式溶解氧测定仪</w:t>
            </w:r>
            <w:r>
              <w:t>KL-DO-03</w:t>
            </w:r>
          </w:p>
        </w:tc>
        <w:tc>
          <w:tcPr>
            <w:tcW w:w="625" w:type="pct"/>
            <w:vAlign w:val="center"/>
          </w:tcPr>
          <w:p>
            <w:pPr>
              <w:pStyle w:val="43"/>
            </w:pPr>
            <w: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trPr>
        <w:tc>
          <w:tcPr>
            <w:tcW w:w="207" w:type="pct"/>
            <w:vAlign w:val="center"/>
          </w:tcPr>
          <w:p>
            <w:pPr>
              <w:pStyle w:val="43"/>
            </w:pPr>
            <w:r>
              <w:rPr>
                <w:rFonts w:hint="eastAsia"/>
              </w:rPr>
              <w:t>5</w:t>
            </w:r>
          </w:p>
        </w:tc>
        <w:tc>
          <w:tcPr>
            <w:tcW w:w="573" w:type="pct"/>
            <w:vAlign w:val="center"/>
          </w:tcPr>
          <w:p>
            <w:pPr>
              <w:pStyle w:val="43"/>
            </w:pPr>
            <w:r>
              <w:rPr>
                <w:rFonts w:hint="eastAsia"/>
              </w:rPr>
              <w:t>高锰酸钾指数</w:t>
            </w:r>
          </w:p>
        </w:tc>
        <w:tc>
          <w:tcPr>
            <w:tcW w:w="2261" w:type="pct"/>
            <w:vAlign w:val="center"/>
          </w:tcPr>
          <w:p>
            <w:pPr>
              <w:pStyle w:val="43"/>
            </w:pPr>
            <w:r>
              <w:t>GB11892-89</w:t>
            </w:r>
            <w:r>
              <w:rPr>
                <w:rFonts w:hint="eastAsia"/>
              </w:rPr>
              <w:t>水质高锰酸盐指数的测定</w:t>
            </w:r>
          </w:p>
        </w:tc>
        <w:tc>
          <w:tcPr>
            <w:tcW w:w="1334" w:type="pct"/>
            <w:vAlign w:val="center"/>
          </w:tcPr>
          <w:p>
            <w:pPr>
              <w:pStyle w:val="43"/>
            </w:pPr>
            <w:r>
              <w:t>50mL</w:t>
            </w:r>
            <w:r>
              <w:rPr>
                <w:rFonts w:hint="eastAsia"/>
              </w:rPr>
              <w:t>滴定管</w:t>
            </w:r>
          </w:p>
        </w:tc>
        <w:tc>
          <w:tcPr>
            <w:tcW w:w="625" w:type="pct"/>
            <w:vAlign w:val="center"/>
          </w:tcPr>
          <w:p>
            <w:pPr>
              <w:pStyle w:val="43"/>
            </w:pPr>
            <w:r>
              <w:t>0.5mg/L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0" w:hRule="atLeast"/>
        </w:trPr>
        <w:tc>
          <w:tcPr>
            <w:tcW w:w="207" w:type="pct"/>
            <w:vAlign w:val="center"/>
          </w:tcPr>
          <w:p>
            <w:pPr>
              <w:pStyle w:val="43"/>
            </w:pPr>
            <w:r>
              <w:rPr>
                <w:rFonts w:hint="eastAsia"/>
              </w:rPr>
              <w:t>6</w:t>
            </w:r>
          </w:p>
        </w:tc>
        <w:tc>
          <w:tcPr>
            <w:tcW w:w="573" w:type="pct"/>
            <w:vAlign w:val="center"/>
          </w:tcPr>
          <w:p>
            <w:pPr>
              <w:pStyle w:val="43"/>
            </w:pPr>
            <w:r>
              <w:rPr>
                <w:rFonts w:hint="eastAsia"/>
              </w:rPr>
              <w:t>化学需氧量</w:t>
            </w:r>
          </w:p>
        </w:tc>
        <w:tc>
          <w:tcPr>
            <w:tcW w:w="2261" w:type="pct"/>
            <w:vAlign w:val="center"/>
          </w:tcPr>
          <w:p>
            <w:pPr>
              <w:pStyle w:val="43"/>
            </w:pPr>
            <w:r>
              <w:t>HJ828-2017</w:t>
            </w:r>
            <w:r>
              <w:rPr>
                <w:rFonts w:hint="eastAsia"/>
              </w:rPr>
              <w:t>水质化学需氧量的测定重铬酸盐法</w:t>
            </w:r>
          </w:p>
        </w:tc>
        <w:tc>
          <w:tcPr>
            <w:tcW w:w="1334" w:type="pct"/>
            <w:vAlign w:val="center"/>
          </w:tcPr>
          <w:p>
            <w:pPr>
              <w:pStyle w:val="43"/>
            </w:pPr>
            <w:r>
              <w:t>50mL</w:t>
            </w:r>
            <w:r>
              <w:rPr>
                <w:rFonts w:hint="eastAsia"/>
              </w:rPr>
              <w:t>滴定管</w:t>
            </w:r>
          </w:p>
        </w:tc>
        <w:tc>
          <w:tcPr>
            <w:tcW w:w="625" w:type="pct"/>
            <w:vAlign w:val="center"/>
          </w:tcPr>
          <w:p>
            <w:pPr>
              <w:pStyle w:val="43"/>
            </w:pPr>
            <w:r>
              <w:t>4mg/L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0" w:hRule="atLeast"/>
        </w:trPr>
        <w:tc>
          <w:tcPr>
            <w:tcW w:w="207" w:type="pct"/>
            <w:vAlign w:val="center"/>
          </w:tcPr>
          <w:p>
            <w:pPr>
              <w:pStyle w:val="43"/>
            </w:pPr>
            <w:r>
              <w:rPr>
                <w:rFonts w:hint="eastAsia"/>
              </w:rPr>
              <w:t>7</w:t>
            </w:r>
          </w:p>
        </w:tc>
        <w:tc>
          <w:tcPr>
            <w:tcW w:w="573" w:type="pct"/>
            <w:vAlign w:val="center"/>
          </w:tcPr>
          <w:p>
            <w:pPr>
              <w:pStyle w:val="43"/>
            </w:pPr>
            <w:r>
              <w:rPr>
                <w:rFonts w:hint="eastAsia"/>
              </w:rPr>
              <w:t>五日生化需氧量</w:t>
            </w:r>
          </w:p>
        </w:tc>
        <w:tc>
          <w:tcPr>
            <w:tcW w:w="2261" w:type="pct"/>
            <w:vAlign w:val="center"/>
          </w:tcPr>
          <w:p>
            <w:pPr>
              <w:pStyle w:val="43"/>
            </w:pPr>
            <w:r>
              <w:t>HJ505-2009</w:t>
            </w:r>
            <w:r>
              <w:rPr>
                <w:rFonts w:hint="eastAsia"/>
              </w:rPr>
              <w:t>水质五日生化需氧量</w:t>
            </w:r>
            <w:r>
              <w:t>(BOD5)</w:t>
            </w:r>
            <w:r>
              <w:rPr>
                <w:rFonts w:hint="eastAsia"/>
              </w:rPr>
              <w:t>的测定稀释与接种法</w:t>
            </w:r>
          </w:p>
        </w:tc>
        <w:tc>
          <w:tcPr>
            <w:tcW w:w="1334" w:type="pct"/>
            <w:vAlign w:val="center"/>
          </w:tcPr>
          <w:p>
            <w:pPr>
              <w:pStyle w:val="43"/>
            </w:pPr>
            <w:r>
              <w:t>50mL</w:t>
            </w:r>
            <w:r>
              <w:rPr>
                <w:rFonts w:hint="eastAsia"/>
              </w:rPr>
              <w:t>滴定管</w:t>
            </w:r>
          </w:p>
        </w:tc>
        <w:tc>
          <w:tcPr>
            <w:tcW w:w="625" w:type="pct"/>
            <w:vAlign w:val="center"/>
          </w:tcPr>
          <w:p>
            <w:pPr>
              <w:pStyle w:val="43"/>
            </w:pPr>
            <w:r>
              <w:t>0.5mg/L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0" w:hRule="atLeast"/>
        </w:trPr>
        <w:tc>
          <w:tcPr>
            <w:tcW w:w="207" w:type="pct"/>
            <w:vAlign w:val="center"/>
          </w:tcPr>
          <w:p>
            <w:pPr>
              <w:pStyle w:val="43"/>
            </w:pPr>
            <w:r>
              <w:rPr>
                <w:rFonts w:hint="eastAsia"/>
              </w:rPr>
              <w:t>8</w:t>
            </w:r>
          </w:p>
        </w:tc>
        <w:tc>
          <w:tcPr>
            <w:tcW w:w="573" w:type="pct"/>
            <w:vAlign w:val="center"/>
          </w:tcPr>
          <w:p>
            <w:pPr>
              <w:pStyle w:val="43"/>
            </w:pPr>
            <w:r>
              <w:rPr>
                <w:rFonts w:hint="eastAsia"/>
              </w:rPr>
              <w:t>氨氮</w:t>
            </w:r>
          </w:p>
        </w:tc>
        <w:tc>
          <w:tcPr>
            <w:tcW w:w="2261" w:type="pct"/>
            <w:vAlign w:val="center"/>
          </w:tcPr>
          <w:p>
            <w:pPr>
              <w:pStyle w:val="43"/>
            </w:pPr>
            <w:r>
              <w:t>HJ535-2009</w:t>
            </w:r>
            <w:r>
              <w:rPr>
                <w:rFonts w:hint="eastAsia"/>
              </w:rPr>
              <w:t>水质氨氮的测定纳氏试剂分光光度法</w:t>
            </w:r>
          </w:p>
        </w:tc>
        <w:tc>
          <w:tcPr>
            <w:tcW w:w="1334" w:type="pct"/>
            <w:vAlign w:val="center"/>
          </w:tcPr>
          <w:p>
            <w:pPr>
              <w:pStyle w:val="43"/>
            </w:pPr>
            <w:r>
              <w:rPr>
                <w:rFonts w:hint="eastAsia"/>
              </w:rPr>
              <w:t>紫外可见分光光度计</w:t>
            </w:r>
          </w:p>
          <w:p>
            <w:pPr>
              <w:pStyle w:val="43"/>
            </w:pPr>
            <w:r>
              <w:t>KL-ST-09</w:t>
            </w:r>
          </w:p>
        </w:tc>
        <w:tc>
          <w:tcPr>
            <w:tcW w:w="625" w:type="pct"/>
            <w:vAlign w:val="center"/>
          </w:tcPr>
          <w:p>
            <w:pPr>
              <w:pStyle w:val="43"/>
            </w:pPr>
            <w:r>
              <w:t>0.025mg/L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0" w:hRule="atLeast"/>
        </w:trPr>
        <w:tc>
          <w:tcPr>
            <w:tcW w:w="207" w:type="pct"/>
            <w:vAlign w:val="center"/>
          </w:tcPr>
          <w:p>
            <w:pPr>
              <w:pStyle w:val="43"/>
            </w:pPr>
            <w:r>
              <w:rPr>
                <w:rFonts w:hint="eastAsia"/>
              </w:rPr>
              <w:t>9</w:t>
            </w:r>
          </w:p>
        </w:tc>
        <w:tc>
          <w:tcPr>
            <w:tcW w:w="573" w:type="pct"/>
            <w:vAlign w:val="center"/>
          </w:tcPr>
          <w:p>
            <w:pPr>
              <w:pStyle w:val="43"/>
            </w:pPr>
            <w:r>
              <w:rPr>
                <w:rFonts w:hint="eastAsia"/>
              </w:rPr>
              <w:t>总磷</w:t>
            </w:r>
          </w:p>
        </w:tc>
        <w:tc>
          <w:tcPr>
            <w:tcW w:w="2261" w:type="pct"/>
            <w:vAlign w:val="center"/>
          </w:tcPr>
          <w:p>
            <w:pPr>
              <w:pStyle w:val="43"/>
            </w:pPr>
            <w:r>
              <w:t>GB11893-89</w:t>
            </w:r>
            <w:r>
              <w:rPr>
                <w:rFonts w:hint="eastAsia"/>
              </w:rPr>
              <w:t>水质总磷的测定钼酸铵分光光度法</w:t>
            </w:r>
          </w:p>
        </w:tc>
        <w:tc>
          <w:tcPr>
            <w:tcW w:w="1334" w:type="pct"/>
            <w:vAlign w:val="center"/>
          </w:tcPr>
          <w:p>
            <w:pPr>
              <w:pStyle w:val="43"/>
            </w:pPr>
            <w:r>
              <w:rPr>
                <w:rFonts w:hint="eastAsia"/>
              </w:rPr>
              <w:t>紫外可见分光光度计</w:t>
            </w:r>
          </w:p>
          <w:p>
            <w:pPr>
              <w:pStyle w:val="43"/>
            </w:pPr>
            <w:r>
              <w:t>KL-ST-05</w:t>
            </w:r>
          </w:p>
        </w:tc>
        <w:tc>
          <w:tcPr>
            <w:tcW w:w="625" w:type="pct"/>
            <w:vAlign w:val="center"/>
          </w:tcPr>
          <w:p>
            <w:pPr>
              <w:pStyle w:val="43"/>
            </w:pPr>
            <w:r>
              <w:t>0.01g/L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0" w:hRule="atLeast"/>
        </w:trPr>
        <w:tc>
          <w:tcPr>
            <w:tcW w:w="207" w:type="pct"/>
            <w:vAlign w:val="center"/>
          </w:tcPr>
          <w:p>
            <w:pPr>
              <w:pStyle w:val="43"/>
            </w:pPr>
            <w:r>
              <w:rPr>
                <w:rFonts w:hint="eastAsia"/>
              </w:rPr>
              <w:t>1</w:t>
            </w:r>
            <w:r>
              <w:t>0</w:t>
            </w:r>
          </w:p>
        </w:tc>
        <w:tc>
          <w:tcPr>
            <w:tcW w:w="573" w:type="pct"/>
            <w:vAlign w:val="center"/>
          </w:tcPr>
          <w:p>
            <w:pPr>
              <w:pStyle w:val="43"/>
            </w:pPr>
            <w:r>
              <w:rPr>
                <w:rFonts w:hint="eastAsia"/>
              </w:rPr>
              <w:t>总氮</w:t>
            </w:r>
          </w:p>
        </w:tc>
        <w:tc>
          <w:tcPr>
            <w:tcW w:w="2261" w:type="pct"/>
            <w:vAlign w:val="center"/>
          </w:tcPr>
          <w:p>
            <w:pPr>
              <w:pStyle w:val="43"/>
            </w:pPr>
            <w:r>
              <w:t>HJ636-2012</w:t>
            </w:r>
            <w:r>
              <w:rPr>
                <w:rFonts w:hint="eastAsia"/>
              </w:rPr>
              <w:t>水质总氮的测定碱性过硫酸钾消解紫外分光光度法</w:t>
            </w:r>
          </w:p>
        </w:tc>
        <w:tc>
          <w:tcPr>
            <w:tcW w:w="1334" w:type="pct"/>
            <w:vAlign w:val="center"/>
          </w:tcPr>
          <w:p>
            <w:pPr>
              <w:pStyle w:val="43"/>
            </w:pPr>
            <w:r>
              <w:rPr>
                <w:rFonts w:hint="eastAsia"/>
              </w:rPr>
              <w:t>紫外可见分光光度计</w:t>
            </w:r>
          </w:p>
          <w:p>
            <w:pPr>
              <w:pStyle w:val="43"/>
            </w:pPr>
            <w:r>
              <w:t>KL-ST-06</w:t>
            </w:r>
          </w:p>
        </w:tc>
        <w:tc>
          <w:tcPr>
            <w:tcW w:w="625" w:type="pct"/>
            <w:vAlign w:val="center"/>
          </w:tcPr>
          <w:p>
            <w:pPr>
              <w:pStyle w:val="43"/>
            </w:pPr>
            <w:r>
              <w:t>0.05mg/L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0" w:hRule="atLeast"/>
        </w:trPr>
        <w:tc>
          <w:tcPr>
            <w:tcW w:w="207" w:type="pct"/>
            <w:vAlign w:val="center"/>
          </w:tcPr>
          <w:p>
            <w:pPr>
              <w:pStyle w:val="43"/>
            </w:pPr>
            <w:r>
              <w:t>11</w:t>
            </w:r>
          </w:p>
        </w:tc>
        <w:tc>
          <w:tcPr>
            <w:tcW w:w="573" w:type="pct"/>
            <w:vAlign w:val="center"/>
          </w:tcPr>
          <w:p>
            <w:pPr>
              <w:pStyle w:val="43"/>
            </w:pPr>
            <w:r>
              <w:rPr>
                <w:rFonts w:hint="eastAsia"/>
              </w:rPr>
              <w:t>氟化物</w:t>
            </w:r>
          </w:p>
        </w:tc>
        <w:tc>
          <w:tcPr>
            <w:tcW w:w="2261" w:type="pct"/>
            <w:vAlign w:val="center"/>
          </w:tcPr>
          <w:p>
            <w:pPr>
              <w:pStyle w:val="43"/>
            </w:pPr>
            <w:r>
              <w:t>HJ84-2016</w:t>
            </w:r>
            <w:r>
              <w:rPr>
                <w:rFonts w:hint="eastAsia"/>
              </w:rPr>
              <w:t>水质无机阴离子</w:t>
            </w:r>
            <w:r>
              <w:t>(F-</w:t>
            </w:r>
            <w:r>
              <w:rPr>
                <w:rFonts w:hint="eastAsia"/>
              </w:rPr>
              <w:t>、</w:t>
            </w:r>
            <w:r>
              <w:t>Cl-</w:t>
            </w:r>
            <w:r>
              <w:rPr>
                <w:rFonts w:hint="eastAsia"/>
              </w:rPr>
              <w:t>、</w:t>
            </w:r>
            <w:r>
              <w:t>NO2-</w:t>
            </w:r>
            <w:r>
              <w:rPr>
                <w:rFonts w:hint="eastAsia"/>
              </w:rPr>
              <w:t>、</w:t>
            </w:r>
            <w:r>
              <w:t>Br-</w:t>
            </w:r>
            <w:r>
              <w:rPr>
                <w:rFonts w:hint="eastAsia"/>
              </w:rPr>
              <w:t>、</w:t>
            </w:r>
            <w:r>
              <w:t>NO3-</w:t>
            </w:r>
            <w:r>
              <w:rPr>
                <w:rFonts w:hint="eastAsia"/>
              </w:rPr>
              <w:t>、</w:t>
            </w:r>
            <w:r>
              <w:t>PO43-</w:t>
            </w:r>
            <w:r>
              <w:rPr>
                <w:rFonts w:hint="eastAsia"/>
              </w:rPr>
              <w:t>、</w:t>
            </w:r>
            <w:r>
              <w:t>SO32-</w:t>
            </w:r>
            <w:r>
              <w:rPr>
                <w:rFonts w:hint="eastAsia"/>
              </w:rPr>
              <w:t>、</w:t>
            </w:r>
            <w:r>
              <w:t>SO42-)</w:t>
            </w:r>
            <w:r>
              <w:rPr>
                <w:rFonts w:hint="eastAsia"/>
              </w:rPr>
              <w:t>的测定离子色谱法</w:t>
            </w:r>
          </w:p>
        </w:tc>
        <w:tc>
          <w:tcPr>
            <w:tcW w:w="1334" w:type="pct"/>
            <w:vAlign w:val="center"/>
          </w:tcPr>
          <w:p>
            <w:pPr>
              <w:pStyle w:val="43"/>
            </w:pPr>
            <w:r>
              <w:rPr>
                <w:rFonts w:hint="eastAsia"/>
              </w:rPr>
              <w:t>离子色谱仪</w:t>
            </w:r>
          </w:p>
          <w:p>
            <w:pPr>
              <w:pStyle w:val="43"/>
            </w:pPr>
            <w:r>
              <w:t>KL-IC-02</w:t>
            </w:r>
          </w:p>
        </w:tc>
        <w:tc>
          <w:tcPr>
            <w:tcW w:w="625" w:type="pct"/>
            <w:vAlign w:val="center"/>
          </w:tcPr>
          <w:p>
            <w:pPr>
              <w:pStyle w:val="43"/>
            </w:pPr>
            <w:r>
              <w:t>0.006mg/L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0" w:hRule="atLeast"/>
        </w:trPr>
        <w:tc>
          <w:tcPr>
            <w:tcW w:w="207" w:type="pct"/>
            <w:vAlign w:val="center"/>
          </w:tcPr>
          <w:p>
            <w:pPr>
              <w:pStyle w:val="43"/>
            </w:pPr>
            <w:r>
              <w:t>12</w:t>
            </w:r>
          </w:p>
        </w:tc>
        <w:tc>
          <w:tcPr>
            <w:tcW w:w="573" w:type="pct"/>
            <w:vAlign w:val="center"/>
          </w:tcPr>
          <w:p>
            <w:pPr>
              <w:pStyle w:val="43"/>
            </w:pPr>
            <w:r>
              <w:rPr>
                <w:rFonts w:hint="eastAsia"/>
              </w:rPr>
              <w:t>氰化物</w:t>
            </w:r>
          </w:p>
        </w:tc>
        <w:tc>
          <w:tcPr>
            <w:tcW w:w="2261" w:type="pct"/>
            <w:vAlign w:val="center"/>
          </w:tcPr>
          <w:p>
            <w:pPr>
              <w:pStyle w:val="43"/>
            </w:pPr>
            <w:r>
              <w:t>HJ823-2017</w:t>
            </w:r>
            <w:r>
              <w:rPr>
                <w:rFonts w:hint="eastAsia"/>
              </w:rPr>
              <w:t>水质氰化物的测定流动注射</w:t>
            </w:r>
            <w:r>
              <w:t>-</w:t>
            </w:r>
            <w:r>
              <w:rPr>
                <w:rFonts w:hint="eastAsia"/>
              </w:rPr>
              <w:t>分光光度法</w:t>
            </w:r>
          </w:p>
        </w:tc>
        <w:tc>
          <w:tcPr>
            <w:tcW w:w="1334" w:type="pct"/>
            <w:vAlign w:val="center"/>
          </w:tcPr>
          <w:p>
            <w:pPr>
              <w:pStyle w:val="43"/>
            </w:pPr>
            <w:r>
              <w:rPr>
                <w:rFonts w:hint="eastAsia"/>
              </w:rPr>
              <w:t>全自动流动注射分析仪</w:t>
            </w:r>
            <w:r>
              <w:t>KL-FIA-02</w:t>
            </w:r>
          </w:p>
        </w:tc>
        <w:tc>
          <w:tcPr>
            <w:tcW w:w="625" w:type="pct"/>
            <w:vAlign w:val="center"/>
          </w:tcPr>
          <w:p>
            <w:pPr>
              <w:pStyle w:val="43"/>
            </w:pPr>
            <w:r>
              <w:t>0.001mg/L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0" w:hRule="atLeast"/>
        </w:trPr>
        <w:tc>
          <w:tcPr>
            <w:tcW w:w="207" w:type="pct"/>
            <w:vAlign w:val="center"/>
          </w:tcPr>
          <w:p>
            <w:pPr>
              <w:pStyle w:val="43"/>
            </w:pPr>
            <w:r>
              <w:t>13</w:t>
            </w:r>
          </w:p>
        </w:tc>
        <w:tc>
          <w:tcPr>
            <w:tcW w:w="573" w:type="pct"/>
            <w:vAlign w:val="center"/>
          </w:tcPr>
          <w:p>
            <w:pPr>
              <w:pStyle w:val="43"/>
            </w:pPr>
            <w:r>
              <w:rPr>
                <w:rFonts w:hint="eastAsia"/>
              </w:rPr>
              <w:t>挥发酚</w:t>
            </w:r>
          </w:p>
        </w:tc>
        <w:tc>
          <w:tcPr>
            <w:tcW w:w="2261" w:type="pct"/>
            <w:vAlign w:val="center"/>
          </w:tcPr>
          <w:p>
            <w:pPr>
              <w:pStyle w:val="43"/>
            </w:pPr>
            <w:r>
              <w:t>HJ503-2009</w:t>
            </w:r>
            <w:r>
              <w:rPr>
                <w:rFonts w:hint="eastAsia"/>
              </w:rPr>
              <w:t>水质挥发酚的测定</w:t>
            </w:r>
            <w:r>
              <w:t>4-</w:t>
            </w:r>
            <w:r>
              <w:rPr>
                <w:rFonts w:hint="eastAsia"/>
              </w:rPr>
              <w:t>氨基安替比林分光光度法</w:t>
            </w:r>
          </w:p>
        </w:tc>
        <w:tc>
          <w:tcPr>
            <w:tcW w:w="1334" w:type="pct"/>
            <w:vAlign w:val="center"/>
          </w:tcPr>
          <w:p>
            <w:pPr>
              <w:pStyle w:val="43"/>
            </w:pPr>
            <w:r>
              <w:rPr>
                <w:rFonts w:hint="eastAsia"/>
              </w:rPr>
              <w:t>紫外可见分光光度计</w:t>
            </w:r>
          </w:p>
          <w:p>
            <w:pPr>
              <w:pStyle w:val="43"/>
            </w:pPr>
            <w:r>
              <w:t>KL-ST-08</w:t>
            </w:r>
          </w:p>
        </w:tc>
        <w:tc>
          <w:tcPr>
            <w:tcW w:w="625" w:type="pct"/>
            <w:vAlign w:val="center"/>
          </w:tcPr>
          <w:p>
            <w:pPr>
              <w:pStyle w:val="43"/>
            </w:pPr>
            <w:r>
              <w:t>0.0003mg/L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0" w:hRule="atLeast"/>
        </w:trPr>
        <w:tc>
          <w:tcPr>
            <w:tcW w:w="207" w:type="pct"/>
            <w:vAlign w:val="center"/>
          </w:tcPr>
          <w:p>
            <w:pPr>
              <w:pStyle w:val="43"/>
            </w:pPr>
            <w:r>
              <w:t>14</w:t>
            </w:r>
          </w:p>
        </w:tc>
        <w:tc>
          <w:tcPr>
            <w:tcW w:w="573" w:type="pct"/>
            <w:vAlign w:val="center"/>
          </w:tcPr>
          <w:p>
            <w:pPr>
              <w:pStyle w:val="43"/>
            </w:pPr>
            <w:r>
              <w:rPr>
                <w:rFonts w:hint="eastAsia"/>
              </w:rPr>
              <w:t>石油类</w:t>
            </w:r>
          </w:p>
        </w:tc>
        <w:tc>
          <w:tcPr>
            <w:tcW w:w="2261" w:type="pct"/>
            <w:vAlign w:val="center"/>
          </w:tcPr>
          <w:p>
            <w:pPr>
              <w:pStyle w:val="43"/>
            </w:pPr>
            <w:r>
              <w:t>HJ970-2018</w:t>
            </w:r>
            <w:r>
              <w:rPr>
                <w:rFonts w:hint="eastAsia"/>
              </w:rPr>
              <w:t>水质石油类的测定紫外分光光度法</w:t>
            </w:r>
            <w:r>
              <w:t>(</w:t>
            </w:r>
            <w:r>
              <w:rPr>
                <w:rFonts w:hint="eastAsia"/>
              </w:rPr>
              <w:t>试行</w:t>
            </w:r>
            <w:r>
              <w:t>)</w:t>
            </w:r>
          </w:p>
        </w:tc>
        <w:tc>
          <w:tcPr>
            <w:tcW w:w="1334" w:type="pct"/>
            <w:vAlign w:val="center"/>
          </w:tcPr>
          <w:p>
            <w:pPr>
              <w:pStyle w:val="43"/>
            </w:pPr>
            <w:r>
              <w:rPr>
                <w:rFonts w:hint="eastAsia"/>
              </w:rPr>
              <w:t>紫外可见分光光度计</w:t>
            </w:r>
          </w:p>
          <w:p>
            <w:pPr>
              <w:pStyle w:val="43"/>
            </w:pPr>
            <w:r>
              <w:t>KL-ST-08</w:t>
            </w:r>
          </w:p>
        </w:tc>
        <w:tc>
          <w:tcPr>
            <w:tcW w:w="625" w:type="pct"/>
            <w:vAlign w:val="center"/>
          </w:tcPr>
          <w:p>
            <w:pPr>
              <w:pStyle w:val="43"/>
            </w:pPr>
            <w:r>
              <w:t>0.01mg/L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0" w:hRule="atLeast"/>
        </w:trPr>
        <w:tc>
          <w:tcPr>
            <w:tcW w:w="207" w:type="pct"/>
            <w:vAlign w:val="center"/>
          </w:tcPr>
          <w:p>
            <w:pPr>
              <w:pStyle w:val="43"/>
            </w:pPr>
            <w:r>
              <w:t>15</w:t>
            </w:r>
          </w:p>
        </w:tc>
        <w:tc>
          <w:tcPr>
            <w:tcW w:w="573" w:type="pct"/>
            <w:vAlign w:val="center"/>
          </w:tcPr>
          <w:p>
            <w:pPr>
              <w:pStyle w:val="43"/>
            </w:pPr>
            <w:r>
              <w:rPr>
                <w:rFonts w:hint="eastAsia"/>
              </w:rPr>
              <w:t>阴离子表面活性剂</w:t>
            </w:r>
          </w:p>
        </w:tc>
        <w:tc>
          <w:tcPr>
            <w:tcW w:w="2261" w:type="pct"/>
            <w:vAlign w:val="center"/>
          </w:tcPr>
          <w:p>
            <w:pPr>
              <w:pStyle w:val="43"/>
            </w:pPr>
            <w:r>
              <w:rPr>
                <w:rFonts w:hint="eastAsia"/>
              </w:rPr>
              <w:t>GB7494</w:t>
            </w:r>
            <w:r>
              <w:t>-87</w:t>
            </w:r>
            <w:r>
              <w:rPr>
                <w:rFonts w:hint="eastAsia"/>
              </w:rPr>
              <w:t>水质阴离子表面活性剂的测定亚甲蓝分光光度法</w:t>
            </w:r>
          </w:p>
        </w:tc>
        <w:tc>
          <w:tcPr>
            <w:tcW w:w="1334" w:type="pct"/>
            <w:vAlign w:val="center"/>
          </w:tcPr>
          <w:p>
            <w:pPr>
              <w:pStyle w:val="43"/>
            </w:pPr>
            <w:r>
              <w:rPr>
                <w:rFonts w:hint="eastAsia"/>
              </w:rPr>
              <w:t>紫外可见分光光度计</w:t>
            </w:r>
          </w:p>
          <w:p>
            <w:pPr>
              <w:pStyle w:val="43"/>
            </w:pPr>
            <w:r>
              <w:t>KL-ST-08</w:t>
            </w:r>
          </w:p>
        </w:tc>
        <w:tc>
          <w:tcPr>
            <w:tcW w:w="625" w:type="pct"/>
            <w:vAlign w:val="center"/>
          </w:tcPr>
          <w:p>
            <w:pPr>
              <w:pStyle w:val="43"/>
            </w:pPr>
            <w:r>
              <w:t>0.05mg/L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0" w:hRule="atLeast"/>
        </w:trPr>
        <w:tc>
          <w:tcPr>
            <w:tcW w:w="207" w:type="pct"/>
            <w:vAlign w:val="center"/>
          </w:tcPr>
          <w:p>
            <w:pPr>
              <w:pStyle w:val="43"/>
            </w:pPr>
            <w:r>
              <w:t>16</w:t>
            </w:r>
          </w:p>
        </w:tc>
        <w:tc>
          <w:tcPr>
            <w:tcW w:w="573" w:type="pct"/>
            <w:vAlign w:val="center"/>
          </w:tcPr>
          <w:p>
            <w:pPr>
              <w:pStyle w:val="43"/>
            </w:pPr>
            <w:r>
              <w:rPr>
                <w:rFonts w:hint="eastAsia"/>
              </w:rPr>
              <w:t>硫化物</w:t>
            </w:r>
          </w:p>
        </w:tc>
        <w:tc>
          <w:tcPr>
            <w:tcW w:w="2261" w:type="pct"/>
            <w:vAlign w:val="center"/>
          </w:tcPr>
          <w:p>
            <w:pPr>
              <w:pStyle w:val="43"/>
            </w:pPr>
            <w:r>
              <w:rPr>
                <w:rFonts w:hint="eastAsia"/>
              </w:rPr>
              <w:t>GB</w:t>
            </w:r>
            <w:r>
              <w:t>/</w:t>
            </w:r>
            <w:r>
              <w:rPr>
                <w:rFonts w:hint="eastAsia"/>
              </w:rPr>
              <w:t>T</w:t>
            </w:r>
            <w:r>
              <w:t>16489-1996</w:t>
            </w:r>
            <w:r>
              <w:rPr>
                <w:rFonts w:hint="eastAsia"/>
              </w:rPr>
              <w:t>水质硫化物的测定亚甲基蓝分光光度法</w:t>
            </w:r>
          </w:p>
        </w:tc>
        <w:tc>
          <w:tcPr>
            <w:tcW w:w="1334" w:type="pct"/>
            <w:vAlign w:val="center"/>
          </w:tcPr>
          <w:p>
            <w:pPr>
              <w:pStyle w:val="43"/>
            </w:pPr>
            <w:r>
              <w:rPr>
                <w:rFonts w:hint="eastAsia"/>
              </w:rPr>
              <w:t>紫外可见分光光度计</w:t>
            </w:r>
          </w:p>
          <w:p>
            <w:pPr>
              <w:pStyle w:val="43"/>
            </w:pPr>
            <w:r>
              <w:t>KL-ST-08</w:t>
            </w:r>
          </w:p>
        </w:tc>
        <w:tc>
          <w:tcPr>
            <w:tcW w:w="625" w:type="pct"/>
            <w:vAlign w:val="center"/>
          </w:tcPr>
          <w:p>
            <w:pPr>
              <w:pStyle w:val="43"/>
            </w:pPr>
            <w:r>
              <w:t>0.005mg/L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0" w:hRule="atLeast"/>
        </w:trPr>
        <w:tc>
          <w:tcPr>
            <w:tcW w:w="207" w:type="pct"/>
            <w:vAlign w:val="center"/>
          </w:tcPr>
          <w:p>
            <w:pPr>
              <w:pStyle w:val="43"/>
            </w:pPr>
            <w:r>
              <w:t>17</w:t>
            </w:r>
          </w:p>
        </w:tc>
        <w:tc>
          <w:tcPr>
            <w:tcW w:w="573" w:type="pct"/>
            <w:vAlign w:val="center"/>
          </w:tcPr>
          <w:p>
            <w:pPr>
              <w:pStyle w:val="43"/>
            </w:pPr>
            <w:r>
              <w:rPr>
                <w:rFonts w:hint="eastAsia"/>
              </w:rPr>
              <w:t>粪大肠菌群</w:t>
            </w:r>
          </w:p>
        </w:tc>
        <w:tc>
          <w:tcPr>
            <w:tcW w:w="2261" w:type="pct"/>
            <w:vAlign w:val="center"/>
          </w:tcPr>
          <w:p>
            <w:pPr>
              <w:pStyle w:val="43"/>
            </w:pPr>
            <w:r>
              <w:t>HJ1001-2018</w:t>
            </w:r>
            <w:r>
              <w:rPr>
                <w:rFonts w:hint="eastAsia"/>
              </w:rPr>
              <w:t>水质总大肠菌群、粪大肠菌群和大肠埃希氏菌的测定酶底物法</w:t>
            </w:r>
          </w:p>
        </w:tc>
        <w:tc>
          <w:tcPr>
            <w:tcW w:w="1334" w:type="pct"/>
            <w:vAlign w:val="center"/>
          </w:tcPr>
          <w:p>
            <w:pPr>
              <w:pStyle w:val="43"/>
            </w:pPr>
            <w:r>
              <w:t>\</w:t>
            </w:r>
          </w:p>
        </w:tc>
        <w:tc>
          <w:tcPr>
            <w:tcW w:w="625" w:type="pct"/>
            <w:vAlign w:val="center"/>
          </w:tcPr>
          <w:p>
            <w:pPr>
              <w:pStyle w:val="43"/>
            </w:pPr>
            <w:r>
              <w:t>10MPN/L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0" w:hRule="atLeast"/>
        </w:trPr>
        <w:tc>
          <w:tcPr>
            <w:tcW w:w="207" w:type="pct"/>
            <w:vAlign w:val="center"/>
          </w:tcPr>
          <w:p>
            <w:pPr>
              <w:pStyle w:val="43"/>
            </w:pPr>
            <w:r>
              <w:rPr>
                <w:rFonts w:hint="eastAsia"/>
              </w:rPr>
              <w:t>1</w:t>
            </w:r>
            <w:r>
              <w:t>8</w:t>
            </w:r>
          </w:p>
        </w:tc>
        <w:tc>
          <w:tcPr>
            <w:tcW w:w="573" w:type="pct"/>
            <w:vAlign w:val="center"/>
          </w:tcPr>
          <w:p>
            <w:pPr>
              <w:pStyle w:val="43"/>
            </w:pPr>
            <w:r>
              <w:rPr>
                <w:rFonts w:hint="eastAsia"/>
              </w:rPr>
              <w:t>硫酸盐</w:t>
            </w:r>
          </w:p>
        </w:tc>
        <w:tc>
          <w:tcPr>
            <w:tcW w:w="2261" w:type="pct"/>
            <w:vMerge w:val="restart"/>
            <w:vAlign w:val="center"/>
          </w:tcPr>
          <w:p>
            <w:pPr>
              <w:pStyle w:val="43"/>
            </w:pPr>
            <w:r>
              <w:rPr>
                <w:rFonts w:hint="eastAsia"/>
              </w:rPr>
              <w:t>HJ</w:t>
            </w:r>
            <w:r>
              <w:t>84-2016</w:t>
            </w:r>
            <w:r>
              <w:rPr>
                <w:rFonts w:hint="eastAsia"/>
              </w:rPr>
              <w:t>水质无机阴离子（F</w:t>
            </w:r>
            <w:r>
              <w:rPr>
                <w:vertAlign w:val="superscript"/>
              </w:rPr>
              <w:t>-</w:t>
            </w:r>
            <w:r>
              <w:rPr>
                <w:rFonts w:hint="eastAsia"/>
              </w:rPr>
              <w:t>、Cl</w:t>
            </w:r>
            <w:r>
              <w:rPr>
                <w:vertAlign w:val="superscript"/>
              </w:rPr>
              <w:t>-</w:t>
            </w:r>
            <w:r>
              <w:rPr>
                <w:rFonts w:hint="eastAsia"/>
              </w:rPr>
              <w:t>、NO</w:t>
            </w:r>
            <w:r>
              <w:rPr>
                <w:vertAlign w:val="superscript"/>
              </w:rPr>
              <w:t>2-</w:t>
            </w:r>
            <w:r>
              <w:rPr>
                <w:rFonts w:hint="eastAsia"/>
              </w:rPr>
              <w:t>、Br</w:t>
            </w:r>
            <w:r>
              <w:rPr>
                <w:rFonts w:hint="eastAsia"/>
                <w:vertAlign w:val="superscript"/>
              </w:rPr>
              <w:t>-</w:t>
            </w:r>
            <w:r>
              <w:rPr>
                <w:rFonts w:hint="eastAsia"/>
              </w:rPr>
              <w:t>、NO</w:t>
            </w:r>
            <w:r>
              <w:rPr>
                <w:vertAlign w:val="superscript"/>
              </w:rPr>
              <w:t>3-</w:t>
            </w:r>
            <w:r>
              <w:rPr>
                <w:rFonts w:hint="eastAsia"/>
              </w:rPr>
              <w:t>、PO</w:t>
            </w:r>
            <w:r>
              <w:rPr>
                <w:vertAlign w:val="subscript"/>
              </w:rPr>
              <w:t>4</w:t>
            </w:r>
            <w:r>
              <w:rPr>
                <w:vertAlign w:val="superscript"/>
              </w:rPr>
              <w:t>3-</w:t>
            </w:r>
            <w:r>
              <w:rPr>
                <w:rFonts w:hint="eastAsia"/>
              </w:rPr>
              <w:t>、SO</w:t>
            </w:r>
            <w:r>
              <w:rPr>
                <w:rFonts w:hint="eastAsia"/>
                <w:vertAlign w:val="subscript"/>
              </w:rPr>
              <w:t>3</w:t>
            </w:r>
            <w:r>
              <w:rPr>
                <w:rFonts w:hint="eastAsia"/>
                <w:vertAlign w:val="superscript"/>
              </w:rPr>
              <w:t>2-</w:t>
            </w:r>
            <w:r>
              <w:rPr>
                <w:rFonts w:hint="eastAsia"/>
              </w:rPr>
              <w:t>、SO</w:t>
            </w:r>
            <w:r>
              <w:rPr>
                <w:vertAlign w:val="subscript"/>
              </w:rPr>
              <w:t>4</w:t>
            </w:r>
            <w:r>
              <w:rPr>
                <w:vertAlign w:val="superscript"/>
              </w:rPr>
              <w:t>2-</w:t>
            </w:r>
            <w:r>
              <w:rPr>
                <w:rFonts w:hint="eastAsia"/>
              </w:rPr>
              <w:t>）的测定离子色谱法</w:t>
            </w:r>
          </w:p>
        </w:tc>
        <w:tc>
          <w:tcPr>
            <w:tcW w:w="1334" w:type="pct"/>
            <w:vMerge w:val="restart"/>
            <w:vAlign w:val="center"/>
          </w:tcPr>
          <w:p>
            <w:pPr>
              <w:pStyle w:val="43"/>
            </w:pPr>
            <w:r>
              <w:rPr>
                <w:rFonts w:hint="eastAsia"/>
              </w:rPr>
              <w:t>离子色谱仪KL</w:t>
            </w:r>
            <w:r>
              <w:t>-</w:t>
            </w:r>
            <w:r>
              <w:rPr>
                <w:rFonts w:hint="eastAsia"/>
              </w:rPr>
              <w:t>IC</w:t>
            </w:r>
            <w:r>
              <w:t>-02</w:t>
            </w:r>
          </w:p>
        </w:tc>
        <w:tc>
          <w:tcPr>
            <w:tcW w:w="625" w:type="pct"/>
            <w:vAlign w:val="center"/>
          </w:tcPr>
          <w:p>
            <w:pPr>
              <w:pStyle w:val="43"/>
            </w:pPr>
            <w:r>
              <w:rPr>
                <w:rFonts w:hint="eastAsia"/>
              </w:rPr>
              <w:t>0</w:t>
            </w:r>
            <w:r>
              <w:t>.018</w:t>
            </w:r>
            <w:r>
              <w:rPr>
                <w:rFonts w:hint="eastAsia"/>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0" w:hRule="atLeast"/>
        </w:trPr>
        <w:tc>
          <w:tcPr>
            <w:tcW w:w="207" w:type="pct"/>
            <w:vAlign w:val="center"/>
          </w:tcPr>
          <w:p>
            <w:pPr>
              <w:pStyle w:val="43"/>
            </w:pPr>
            <w:r>
              <w:rPr>
                <w:rFonts w:hint="eastAsia"/>
              </w:rPr>
              <w:t>1</w:t>
            </w:r>
            <w:r>
              <w:t>9</w:t>
            </w:r>
          </w:p>
        </w:tc>
        <w:tc>
          <w:tcPr>
            <w:tcW w:w="573" w:type="pct"/>
            <w:vAlign w:val="center"/>
          </w:tcPr>
          <w:p>
            <w:pPr>
              <w:pStyle w:val="43"/>
            </w:pPr>
            <w:r>
              <w:rPr>
                <w:rFonts w:hint="eastAsia"/>
              </w:rPr>
              <w:t>氯化物</w:t>
            </w:r>
          </w:p>
        </w:tc>
        <w:tc>
          <w:tcPr>
            <w:tcW w:w="2261" w:type="pct"/>
            <w:vMerge w:val="continue"/>
            <w:vAlign w:val="center"/>
          </w:tcPr>
          <w:p>
            <w:pPr>
              <w:pStyle w:val="43"/>
            </w:pPr>
          </w:p>
        </w:tc>
        <w:tc>
          <w:tcPr>
            <w:tcW w:w="1334" w:type="pct"/>
            <w:vMerge w:val="continue"/>
            <w:vAlign w:val="center"/>
          </w:tcPr>
          <w:p>
            <w:pPr>
              <w:pStyle w:val="43"/>
            </w:pPr>
          </w:p>
        </w:tc>
        <w:tc>
          <w:tcPr>
            <w:tcW w:w="625" w:type="pct"/>
            <w:vAlign w:val="center"/>
          </w:tcPr>
          <w:p>
            <w:pPr>
              <w:pStyle w:val="43"/>
            </w:pPr>
            <w:r>
              <w:rPr>
                <w:rFonts w:hint="eastAsia"/>
              </w:rPr>
              <w:t>0</w:t>
            </w:r>
            <w:r>
              <w:t>.007</w:t>
            </w:r>
            <w:r>
              <w:rPr>
                <w:rFonts w:hint="eastAsia"/>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0" w:hRule="atLeast"/>
        </w:trPr>
        <w:tc>
          <w:tcPr>
            <w:tcW w:w="207" w:type="pct"/>
            <w:vAlign w:val="center"/>
          </w:tcPr>
          <w:p>
            <w:pPr>
              <w:pStyle w:val="43"/>
            </w:pPr>
            <w:r>
              <w:rPr>
                <w:rFonts w:hint="eastAsia"/>
              </w:rPr>
              <w:t>2</w:t>
            </w:r>
            <w:r>
              <w:t>0</w:t>
            </w:r>
          </w:p>
        </w:tc>
        <w:tc>
          <w:tcPr>
            <w:tcW w:w="573" w:type="pct"/>
            <w:vAlign w:val="center"/>
          </w:tcPr>
          <w:p>
            <w:pPr>
              <w:pStyle w:val="43"/>
            </w:pPr>
            <w:r>
              <w:rPr>
                <w:rFonts w:hint="eastAsia"/>
              </w:rPr>
              <w:t>硝酸盐</w:t>
            </w:r>
          </w:p>
        </w:tc>
        <w:tc>
          <w:tcPr>
            <w:tcW w:w="2261" w:type="pct"/>
            <w:vMerge w:val="continue"/>
            <w:vAlign w:val="center"/>
          </w:tcPr>
          <w:p>
            <w:pPr>
              <w:pStyle w:val="43"/>
            </w:pPr>
          </w:p>
        </w:tc>
        <w:tc>
          <w:tcPr>
            <w:tcW w:w="1334" w:type="pct"/>
            <w:vMerge w:val="continue"/>
            <w:vAlign w:val="center"/>
          </w:tcPr>
          <w:p>
            <w:pPr>
              <w:pStyle w:val="43"/>
            </w:pPr>
          </w:p>
        </w:tc>
        <w:tc>
          <w:tcPr>
            <w:tcW w:w="625" w:type="pct"/>
            <w:vAlign w:val="center"/>
          </w:tcPr>
          <w:p>
            <w:pPr>
              <w:pStyle w:val="43"/>
            </w:pPr>
            <w:r>
              <w:rPr>
                <w:rFonts w:hint="eastAsia"/>
              </w:rPr>
              <w:t>0</w:t>
            </w:r>
            <w:r>
              <w:t>.004</w:t>
            </w:r>
            <w:r>
              <w:rPr>
                <w:rFonts w:hint="eastAsia"/>
              </w:rPr>
              <w:t>mg/L</w:t>
            </w:r>
          </w:p>
        </w:tc>
      </w:tr>
    </w:tbl>
    <w:p>
      <w:pPr>
        <w:ind w:firstLine="480"/>
        <w:sectPr>
          <w:pgSz w:w="16838" w:h="11906" w:orient="landscape"/>
          <w:pgMar w:top="1800" w:right="1440" w:bottom="1800" w:left="1440" w:header="851" w:footer="992" w:gutter="0"/>
          <w:cols w:space="425" w:num="1"/>
          <w:docGrid w:type="lines" w:linePitch="326" w:charSpace="0"/>
        </w:sectPr>
      </w:pPr>
    </w:p>
    <w:p>
      <w:pPr>
        <w:pStyle w:val="4"/>
        <w:ind w:left="240"/>
      </w:pPr>
      <w:bookmarkStart w:id="150" w:name="_Toc86049197"/>
      <w:bookmarkStart w:id="151" w:name="_Toc80719413"/>
      <w:r>
        <w:rPr>
          <w:rFonts w:hint="eastAsia"/>
        </w:rPr>
        <w:t>监测成果</w:t>
      </w:r>
      <w:bookmarkEnd w:id="150"/>
      <w:bookmarkEnd w:id="151"/>
    </w:p>
    <w:p>
      <w:pPr>
        <w:ind w:firstLine="482"/>
        <w:rPr>
          <w:b/>
        </w:rPr>
      </w:pPr>
      <w:r>
        <w:rPr>
          <w:rFonts w:hint="eastAsia"/>
          <w:b/>
        </w:rPr>
        <w:t>1、已有监测成果</w:t>
      </w:r>
    </w:p>
    <w:p>
      <w:pPr>
        <w:ind w:firstLine="480"/>
      </w:pPr>
      <w:r>
        <w:rPr>
          <w:rFonts w:hint="eastAsia"/>
        </w:rPr>
        <w:t>本次收集到旺苍县县级河长制水质监测报告，监测时间为2</w:t>
      </w:r>
      <w:r>
        <w:t>020</w:t>
      </w:r>
      <w:r>
        <w:rPr>
          <w:rFonts w:hint="eastAsia"/>
        </w:rPr>
        <w:t>年1</w:t>
      </w:r>
      <w:r>
        <w:t>2</w:t>
      </w:r>
      <w:r>
        <w:rPr>
          <w:rFonts w:hint="eastAsia"/>
        </w:rPr>
        <w:t>月2</w:t>
      </w:r>
      <w:r>
        <w:t>2</w:t>
      </w:r>
      <w:r>
        <w:rPr>
          <w:rFonts w:hint="eastAsia"/>
        </w:rPr>
        <w:t>日，为旺苍县生态环境局委托四川凯乐检测技术有限公司监测，监测频次为1天1次，监测报告见附件1。</w:t>
      </w:r>
    </w:p>
    <w:p>
      <w:pPr>
        <w:ind w:firstLine="480"/>
      </w:pPr>
      <w:r>
        <w:rPr>
          <w:rFonts w:hint="eastAsia"/>
        </w:rPr>
        <w:t>盐井河河长制水质取样信息见</w:t>
      </w:r>
      <w:r>
        <w:fldChar w:fldCharType="begin"/>
      </w:r>
      <w:r>
        <w:instrText xml:space="preserve"> </w:instrText>
      </w:r>
      <w:r>
        <w:rPr>
          <w:rFonts w:hint="eastAsia"/>
        </w:rPr>
        <w:instrText xml:space="preserve">REF _Ref80717139 \h</w:instrText>
      </w:r>
      <w:r>
        <w:instrText xml:space="preserve"> </w:instrText>
      </w:r>
      <w:r>
        <w:fldChar w:fldCharType="separate"/>
      </w:r>
      <w:r>
        <w:rPr>
          <w:rFonts w:hint="eastAsia"/>
        </w:rPr>
        <w:t>表</w:t>
      </w:r>
      <w:r>
        <w:t>4.3</w:t>
      </w:r>
      <w:r>
        <w:noBreakHyphen/>
      </w:r>
      <w:r>
        <w:t>2</w:t>
      </w:r>
      <w:r>
        <w:fldChar w:fldCharType="end"/>
      </w:r>
      <w:r>
        <w:rPr>
          <w:rFonts w:hint="eastAsia"/>
        </w:rPr>
        <w:t>。盐井河河长制水质检测结果见</w:t>
      </w:r>
      <w:r>
        <w:fldChar w:fldCharType="begin"/>
      </w:r>
      <w:r>
        <w:instrText xml:space="preserve"> </w:instrText>
      </w:r>
      <w:r>
        <w:rPr>
          <w:rFonts w:hint="eastAsia"/>
        </w:rPr>
        <w:instrText xml:space="preserve">REF _Ref80717162 \h</w:instrText>
      </w:r>
      <w:r>
        <w:instrText xml:space="preserve"> </w:instrText>
      </w:r>
      <w:r>
        <w:fldChar w:fldCharType="separate"/>
      </w:r>
      <w:r>
        <w:rPr>
          <w:rFonts w:hint="eastAsia"/>
        </w:rPr>
        <w:t>表</w:t>
      </w:r>
      <w:r>
        <w:t>4.3</w:t>
      </w:r>
      <w:r>
        <w:noBreakHyphen/>
      </w:r>
      <w:r>
        <w:t>3</w:t>
      </w:r>
      <w:r>
        <w:fldChar w:fldCharType="end"/>
      </w:r>
      <w:r>
        <w:rPr>
          <w:rFonts w:hint="eastAsia"/>
        </w:rPr>
        <w:t>。</w:t>
      </w:r>
    </w:p>
    <w:p>
      <w:pPr>
        <w:pStyle w:val="58"/>
        <w:rPr>
          <w:color w:val="auto"/>
        </w:rPr>
      </w:pPr>
      <w:bookmarkStart w:id="152" w:name="_Ref80717139"/>
      <w:r>
        <w:rPr>
          <w:rFonts w:hint="eastAsia"/>
          <w:color w:val="auto"/>
        </w:rPr>
        <w:t>表</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4.3</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2</w:t>
      </w:r>
      <w:r>
        <w:rPr>
          <w:color w:val="auto"/>
        </w:rPr>
        <w:fldChar w:fldCharType="end"/>
      </w:r>
      <w:bookmarkEnd w:id="152"/>
      <w:r>
        <w:rPr>
          <w:rFonts w:hint="eastAsia"/>
          <w:color w:val="auto"/>
        </w:rPr>
        <w:t>盐井河河长制水质监测取样信息</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5"/>
        <w:gridCol w:w="1172"/>
        <w:gridCol w:w="1843"/>
        <w:gridCol w:w="1199"/>
        <w:gridCol w:w="1377"/>
        <w:gridCol w:w="13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5" w:type="dxa"/>
            <w:vAlign w:val="center"/>
          </w:tcPr>
          <w:p>
            <w:pPr>
              <w:pStyle w:val="43"/>
            </w:pPr>
            <w:r>
              <w:rPr>
                <w:rFonts w:hint="eastAsia"/>
              </w:rPr>
              <w:t>河流</w:t>
            </w:r>
          </w:p>
        </w:tc>
        <w:tc>
          <w:tcPr>
            <w:tcW w:w="1172" w:type="dxa"/>
            <w:vAlign w:val="center"/>
          </w:tcPr>
          <w:p>
            <w:pPr>
              <w:pStyle w:val="43"/>
            </w:pPr>
            <w:r>
              <w:rPr>
                <w:rFonts w:hint="eastAsia"/>
              </w:rPr>
              <w:t>监测断面</w:t>
            </w:r>
          </w:p>
        </w:tc>
        <w:tc>
          <w:tcPr>
            <w:tcW w:w="1843" w:type="dxa"/>
            <w:vAlign w:val="center"/>
          </w:tcPr>
          <w:p>
            <w:pPr>
              <w:pStyle w:val="43"/>
            </w:pPr>
            <w:r>
              <w:rPr>
                <w:rFonts w:hint="eastAsia"/>
              </w:rPr>
              <w:t>检测项目</w:t>
            </w:r>
          </w:p>
        </w:tc>
        <w:tc>
          <w:tcPr>
            <w:tcW w:w="1199" w:type="dxa"/>
            <w:vAlign w:val="center"/>
          </w:tcPr>
          <w:p>
            <w:pPr>
              <w:pStyle w:val="43"/>
            </w:pPr>
            <w:r>
              <w:rPr>
                <w:rFonts w:hint="eastAsia"/>
              </w:rPr>
              <w:t>检测频次</w:t>
            </w:r>
          </w:p>
        </w:tc>
        <w:tc>
          <w:tcPr>
            <w:tcW w:w="1377" w:type="dxa"/>
            <w:vAlign w:val="center"/>
          </w:tcPr>
          <w:p>
            <w:pPr>
              <w:pStyle w:val="43"/>
            </w:pPr>
            <w:r>
              <w:rPr>
                <w:rFonts w:hint="eastAsia"/>
              </w:rPr>
              <w:t>采样时间</w:t>
            </w:r>
          </w:p>
        </w:tc>
        <w:tc>
          <w:tcPr>
            <w:tcW w:w="1330" w:type="dxa"/>
            <w:vAlign w:val="center"/>
          </w:tcPr>
          <w:p>
            <w:pPr>
              <w:pStyle w:val="43"/>
            </w:pPr>
            <w:r>
              <w:rPr>
                <w:rFonts w:hint="eastAsia"/>
              </w:rPr>
              <w:t>样品性状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5" w:type="dxa"/>
            <w:vAlign w:val="center"/>
          </w:tcPr>
          <w:p>
            <w:pPr>
              <w:pStyle w:val="43"/>
            </w:pPr>
            <w:r>
              <w:rPr>
                <w:rFonts w:hint="eastAsia"/>
              </w:rPr>
              <w:t>盐井河</w:t>
            </w:r>
          </w:p>
        </w:tc>
        <w:tc>
          <w:tcPr>
            <w:tcW w:w="1172" w:type="dxa"/>
            <w:vAlign w:val="center"/>
          </w:tcPr>
          <w:p>
            <w:pPr>
              <w:pStyle w:val="43"/>
            </w:pPr>
            <w:r>
              <w:rPr>
                <w:rFonts w:hint="eastAsia"/>
              </w:rPr>
              <w:t>汇口上游1km</w:t>
            </w:r>
          </w:p>
        </w:tc>
        <w:tc>
          <w:tcPr>
            <w:tcW w:w="1843" w:type="dxa"/>
            <w:vAlign w:val="center"/>
          </w:tcPr>
          <w:p>
            <w:pPr>
              <w:pStyle w:val="43"/>
            </w:pPr>
            <w:r>
              <w:rPr>
                <w:rFonts w:hint="eastAsia"/>
              </w:rPr>
              <w:t>铜、铅、隔、氰化物、挥发酚、阴离子表面活性剂、石油类、粪类大肠杆菌</w:t>
            </w:r>
          </w:p>
        </w:tc>
        <w:tc>
          <w:tcPr>
            <w:tcW w:w="1199" w:type="dxa"/>
            <w:vAlign w:val="center"/>
          </w:tcPr>
          <w:p>
            <w:pPr>
              <w:pStyle w:val="43"/>
            </w:pPr>
            <w:r>
              <w:rPr>
                <w:rFonts w:hint="eastAsia"/>
              </w:rPr>
              <w:t>1天1次</w:t>
            </w:r>
          </w:p>
        </w:tc>
        <w:tc>
          <w:tcPr>
            <w:tcW w:w="1377" w:type="dxa"/>
            <w:vAlign w:val="center"/>
          </w:tcPr>
          <w:p>
            <w:pPr>
              <w:pStyle w:val="43"/>
            </w:pPr>
            <w:r>
              <w:rPr>
                <w:rFonts w:hint="eastAsia"/>
              </w:rPr>
              <w:t>1</w:t>
            </w:r>
            <w:r>
              <w:t>2</w:t>
            </w:r>
            <w:r>
              <w:rPr>
                <w:rFonts w:hint="eastAsia"/>
              </w:rPr>
              <w:t>月2</w:t>
            </w:r>
            <w:r>
              <w:t>2</w:t>
            </w:r>
            <w:r>
              <w:rPr>
                <w:rFonts w:hint="eastAsia"/>
              </w:rPr>
              <w:t>日</w:t>
            </w:r>
          </w:p>
        </w:tc>
        <w:tc>
          <w:tcPr>
            <w:tcW w:w="1330" w:type="dxa"/>
            <w:vAlign w:val="center"/>
          </w:tcPr>
          <w:p>
            <w:pPr>
              <w:pStyle w:val="43"/>
            </w:pPr>
            <w:r>
              <w:rPr>
                <w:rFonts w:hint="eastAsia"/>
              </w:rPr>
              <w:t>清澈、无臭、无浮油、无色</w:t>
            </w:r>
          </w:p>
        </w:tc>
      </w:tr>
    </w:tbl>
    <w:p>
      <w:pPr>
        <w:ind w:firstLine="480"/>
      </w:pPr>
    </w:p>
    <w:p>
      <w:pPr>
        <w:pStyle w:val="58"/>
        <w:rPr>
          <w:color w:val="auto"/>
        </w:rPr>
      </w:pPr>
      <w:bookmarkStart w:id="153" w:name="_Ref80717162"/>
      <w:r>
        <w:rPr>
          <w:rFonts w:hint="eastAsia"/>
          <w:color w:val="auto"/>
        </w:rPr>
        <w:t>表</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4.3</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3</w:t>
      </w:r>
      <w:r>
        <w:rPr>
          <w:color w:val="auto"/>
        </w:rPr>
        <w:fldChar w:fldCharType="end"/>
      </w:r>
      <w:bookmarkEnd w:id="153"/>
      <w:r>
        <w:rPr>
          <w:rFonts w:hint="eastAsia"/>
          <w:color w:val="auto"/>
        </w:rPr>
        <w:t>盐井河河长制水质检测成果表</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60"/>
        <w:gridCol w:w="1068"/>
        <w:gridCol w:w="1078"/>
        <w:gridCol w:w="1134"/>
        <w:gridCol w:w="1559"/>
        <w:gridCol w:w="14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0" w:type="dxa"/>
            <w:vAlign w:val="center"/>
          </w:tcPr>
          <w:p>
            <w:pPr>
              <w:pStyle w:val="43"/>
            </w:pPr>
            <w:r>
              <w:rPr>
                <w:rFonts w:hint="eastAsia"/>
              </w:rPr>
              <w:t>检测项目</w:t>
            </w:r>
          </w:p>
        </w:tc>
        <w:tc>
          <w:tcPr>
            <w:tcW w:w="1068" w:type="dxa"/>
            <w:vAlign w:val="center"/>
          </w:tcPr>
          <w:p>
            <w:pPr>
              <w:pStyle w:val="43"/>
            </w:pPr>
            <w:r>
              <w:rPr>
                <w:rFonts w:hint="eastAsia"/>
              </w:rPr>
              <w:t>单位</w:t>
            </w:r>
          </w:p>
        </w:tc>
        <w:tc>
          <w:tcPr>
            <w:tcW w:w="1078" w:type="dxa"/>
            <w:vAlign w:val="center"/>
          </w:tcPr>
          <w:p>
            <w:pPr>
              <w:pStyle w:val="43"/>
            </w:pPr>
            <w:r>
              <w:rPr>
                <w:rFonts w:hint="eastAsia"/>
              </w:rPr>
              <w:t>检出限</w:t>
            </w:r>
          </w:p>
        </w:tc>
        <w:tc>
          <w:tcPr>
            <w:tcW w:w="1134" w:type="dxa"/>
            <w:vAlign w:val="center"/>
          </w:tcPr>
          <w:p>
            <w:pPr>
              <w:pStyle w:val="43"/>
            </w:pPr>
            <w:r>
              <w:rPr>
                <w:rFonts w:hint="eastAsia"/>
              </w:rPr>
              <w:t>检测结果</w:t>
            </w:r>
          </w:p>
        </w:tc>
        <w:tc>
          <w:tcPr>
            <w:tcW w:w="1559" w:type="dxa"/>
            <w:vAlign w:val="center"/>
          </w:tcPr>
          <w:p>
            <w:pPr>
              <w:pStyle w:val="43"/>
            </w:pPr>
            <w:r>
              <w:rPr>
                <w:rFonts w:hint="eastAsia"/>
              </w:rPr>
              <w:t>Ⅱ类标准限值</w:t>
            </w:r>
          </w:p>
        </w:tc>
        <w:tc>
          <w:tcPr>
            <w:tcW w:w="1497" w:type="dxa"/>
          </w:tcPr>
          <w:p>
            <w:pPr>
              <w:pStyle w:val="43"/>
            </w:pPr>
            <w:r>
              <w:rPr>
                <w:rFonts w:hint="eastAsia"/>
              </w:rPr>
              <w:t>水质类别评价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0" w:type="dxa"/>
            <w:vAlign w:val="center"/>
          </w:tcPr>
          <w:p>
            <w:pPr>
              <w:pStyle w:val="43"/>
            </w:pPr>
            <w:r>
              <w:rPr>
                <w:rFonts w:hint="eastAsia"/>
              </w:rPr>
              <w:t>铜</w:t>
            </w:r>
          </w:p>
        </w:tc>
        <w:tc>
          <w:tcPr>
            <w:tcW w:w="1068" w:type="dxa"/>
            <w:vAlign w:val="center"/>
          </w:tcPr>
          <w:p>
            <w:pPr>
              <w:pStyle w:val="43"/>
            </w:pPr>
            <w:r>
              <w:rPr>
                <w:rFonts w:hint="eastAsia"/>
              </w:rPr>
              <w:t>mg/L</w:t>
            </w:r>
          </w:p>
        </w:tc>
        <w:tc>
          <w:tcPr>
            <w:tcW w:w="1078" w:type="dxa"/>
            <w:vAlign w:val="center"/>
          </w:tcPr>
          <w:p>
            <w:pPr>
              <w:pStyle w:val="43"/>
            </w:pPr>
            <w:r>
              <w:rPr>
                <w:rFonts w:hint="eastAsia"/>
              </w:rPr>
              <w:t>0</w:t>
            </w:r>
            <w:r>
              <w:t>.00008</w:t>
            </w:r>
          </w:p>
        </w:tc>
        <w:tc>
          <w:tcPr>
            <w:tcW w:w="1134" w:type="dxa"/>
            <w:vAlign w:val="center"/>
          </w:tcPr>
          <w:p>
            <w:pPr>
              <w:pStyle w:val="43"/>
            </w:pPr>
            <w:r>
              <w:rPr>
                <w:rFonts w:hint="eastAsia"/>
              </w:rPr>
              <w:t>0</w:t>
            </w:r>
            <w:r>
              <w:t>.00009</w:t>
            </w:r>
          </w:p>
        </w:tc>
        <w:tc>
          <w:tcPr>
            <w:tcW w:w="1559" w:type="dxa"/>
            <w:vAlign w:val="center"/>
          </w:tcPr>
          <w:p>
            <w:pPr>
              <w:pStyle w:val="43"/>
            </w:pPr>
            <w:r>
              <w:rPr>
                <w:rFonts w:hint="eastAsia"/>
              </w:rPr>
              <w:t>1</w:t>
            </w:r>
            <w:r>
              <w:t>.0</w:t>
            </w:r>
          </w:p>
        </w:tc>
        <w:tc>
          <w:tcPr>
            <w:tcW w:w="1497" w:type="dxa"/>
          </w:tcPr>
          <w:p>
            <w:pPr>
              <w:pStyle w:val="43"/>
            </w:pPr>
            <w:r>
              <w:rPr>
                <w:rFonts w:hint="eastAsia"/>
              </w:rPr>
              <w:t>Ⅱ类达标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0" w:type="dxa"/>
            <w:vAlign w:val="center"/>
          </w:tcPr>
          <w:p>
            <w:pPr>
              <w:pStyle w:val="43"/>
            </w:pPr>
            <w:r>
              <w:rPr>
                <w:rFonts w:hint="eastAsia"/>
              </w:rPr>
              <w:t>铅</w:t>
            </w:r>
          </w:p>
        </w:tc>
        <w:tc>
          <w:tcPr>
            <w:tcW w:w="1068" w:type="dxa"/>
            <w:vAlign w:val="center"/>
          </w:tcPr>
          <w:p>
            <w:pPr>
              <w:pStyle w:val="43"/>
            </w:pPr>
            <w:r>
              <w:rPr>
                <w:rFonts w:hint="eastAsia"/>
              </w:rPr>
              <w:t>mg/L</w:t>
            </w:r>
          </w:p>
        </w:tc>
        <w:tc>
          <w:tcPr>
            <w:tcW w:w="1078" w:type="dxa"/>
            <w:vAlign w:val="center"/>
          </w:tcPr>
          <w:p>
            <w:pPr>
              <w:pStyle w:val="43"/>
            </w:pPr>
            <w:r>
              <w:rPr>
                <w:rFonts w:hint="eastAsia"/>
              </w:rPr>
              <w:t>0</w:t>
            </w:r>
            <w:r>
              <w:t>.00005</w:t>
            </w:r>
          </w:p>
        </w:tc>
        <w:tc>
          <w:tcPr>
            <w:tcW w:w="1134" w:type="dxa"/>
            <w:vAlign w:val="center"/>
          </w:tcPr>
          <w:p>
            <w:pPr>
              <w:pStyle w:val="43"/>
            </w:pPr>
            <w:r>
              <w:rPr>
                <w:rFonts w:hint="eastAsia"/>
              </w:rPr>
              <w:t>未检出</w:t>
            </w:r>
          </w:p>
        </w:tc>
        <w:tc>
          <w:tcPr>
            <w:tcW w:w="1559" w:type="dxa"/>
            <w:vAlign w:val="center"/>
          </w:tcPr>
          <w:p>
            <w:pPr>
              <w:pStyle w:val="43"/>
            </w:pPr>
            <w:r>
              <w:rPr>
                <w:rFonts w:hint="eastAsia"/>
              </w:rPr>
              <w:t>0</w:t>
            </w:r>
            <w:r>
              <w:t>.01</w:t>
            </w:r>
          </w:p>
        </w:tc>
        <w:tc>
          <w:tcPr>
            <w:tcW w:w="1497" w:type="dxa"/>
          </w:tcPr>
          <w:p>
            <w:pPr>
              <w:pStyle w:val="43"/>
            </w:pPr>
            <w:r>
              <w:rPr>
                <w:rFonts w:hint="eastAsia"/>
              </w:rPr>
              <w:t>Ⅱ类达标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0" w:type="dxa"/>
            <w:vAlign w:val="center"/>
          </w:tcPr>
          <w:p>
            <w:pPr>
              <w:pStyle w:val="43"/>
            </w:pPr>
            <w:r>
              <w:rPr>
                <w:rFonts w:hint="eastAsia"/>
              </w:rPr>
              <w:t>镉</w:t>
            </w:r>
          </w:p>
        </w:tc>
        <w:tc>
          <w:tcPr>
            <w:tcW w:w="1068" w:type="dxa"/>
            <w:vAlign w:val="center"/>
          </w:tcPr>
          <w:p>
            <w:pPr>
              <w:pStyle w:val="43"/>
            </w:pPr>
            <w:r>
              <w:rPr>
                <w:rFonts w:hint="eastAsia"/>
              </w:rPr>
              <w:t>mg/L</w:t>
            </w:r>
          </w:p>
        </w:tc>
        <w:tc>
          <w:tcPr>
            <w:tcW w:w="1078" w:type="dxa"/>
            <w:vAlign w:val="center"/>
          </w:tcPr>
          <w:p>
            <w:pPr>
              <w:pStyle w:val="43"/>
            </w:pPr>
            <w:r>
              <w:rPr>
                <w:rFonts w:hint="eastAsia"/>
              </w:rPr>
              <w:t>0</w:t>
            </w:r>
            <w:r>
              <w:t>.00009</w:t>
            </w:r>
          </w:p>
        </w:tc>
        <w:tc>
          <w:tcPr>
            <w:tcW w:w="1134" w:type="dxa"/>
            <w:vAlign w:val="center"/>
          </w:tcPr>
          <w:p>
            <w:pPr>
              <w:pStyle w:val="43"/>
            </w:pPr>
            <w:r>
              <w:rPr>
                <w:rFonts w:hint="eastAsia"/>
              </w:rPr>
              <w:t>未检出</w:t>
            </w:r>
          </w:p>
        </w:tc>
        <w:tc>
          <w:tcPr>
            <w:tcW w:w="1559" w:type="dxa"/>
            <w:vAlign w:val="center"/>
          </w:tcPr>
          <w:p>
            <w:pPr>
              <w:pStyle w:val="43"/>
            </w:pPr>
            <w:r>
              <w:rPr>
                <w:rFonts w:hint="eastAsia"/>
              </w:rPr>
              <w:t>0</w:t>
            </w:r>
            <w:r>
              <w:t>.005</w:t>
            </w:r>
          </w:p>
        </w:tc>
        <w:tc>
          <w:tcPr>
            <w:tcW w:w="1497" w:type="dxa"/>
          </w:tcPr>
          <w:p>
            <w:pPr>
              <w:pStyle w:val="43"/>
            </w:pPr>
            <w:r>
              <w:rPr>
                <w:rFonts w:hint="eastAsia"/>
              </w:rPr>
              <w:t>Ⅱ类达标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0" w:type="dxa"/>
            <w:vAlign w:val="center"/>
          </w:tcPr>
          <w:p>
            <w:pPr>
              <w:pStyle w:val="43"/>
            </w:pPr>
            <w:r>
              <w:rPr>
                <w:rFonts w:hint="eastAsia"/>
              </w:rPr>
              <w:t>氰化物</w:t>
            </w:r>
          </w:p>
        </w:tc>
        <w:tc>
          <w:tcPr>
            <w:tcW w:w="1068" w:type="dxa"/>
            <w:vAlign w:val="center"/>
          </w:tcPr>
          <w:p>
            <w:pPr>
              <w:pStyle w:val="43"/>
            </w:pPr>
            <w:r>
              <w:rPr>
                <w:rFonts w:hint="eastAsia"/>
              </w:rPr>
              <w:t>mg/L</w:t>
            </w:r>
          </w:p>
        </w:tc>
        <w:tc>
          <w:tcPr>
            <w:tcW w:w="1078" w:type="dxa"/>
            <w:vAlign w:val="center"/>
          </w:tcPr>
          <w:p>
            <w:pPr>
              <w:pStyle w:val="43"/>
            </w:pPr>
            <w:r>
              <w:rPr>
                <w:rFonts w:hint="eastAsia"/>
              </w:rPr>
              <w:t>0</w:t>
            </w:r>
            <w:r>
              <w:t>.001</w:t>
            </w:r>
          </w:p>
        </w:tc>
        <w:tc>
          <w:tcPr>
            <w:tcW w:w="1134" w:type="dxa"/>
            <w:vAlign w:val="center"/>
          </w:tcPr>
          <w:p>
            <w:pPr>
              <w:pStyle w:val="43"/>
            </w:pPr>
            <w:r>
              <w:rPr>
                <w:rFonts w:hint="eastAsia"/>
              </w:rPr>
              <w:t>未检出</w:t>
            </w:r>
          </w:p>
        </w:tc>
        <w:tc>
          <w:tcPr>
            <w:tcW w:w="1559" w:type="dxa"/>
            <w:vAlign w:val="center"/>
          </w:tcPr>
          <w:p>
            <w:pPr>
              <w:pStyle w:val="43"/>
            </w:pPr>
            <w:r>
              <w:rPr>
                <w:rFonts w:hint="eastAsia"/>
              </w:rPr>
              <w:t>0</w:t>
            </w:r>
            <w:r>
              <w:t>.05</w:t>
            </w:r>
          </w:p>
        </w:tc>
        <w:tc>
          <w:tcPr>
            <w:tcW w:w="1497" w:type="dxa"/>
          </w:tcPr>
          <w:p>
            <w:pPr>
              <w:pStyle w:val="43"/>
            </w:pPr>
            <w:r>
              <w:rPr>
                <w:rFonts w:hint="eastAsia"/>
              </w:rPr>
              <w:t>Ⅱ类达标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0" w:type="dxa"/>
            <w:vAlign w:val="center"/>
          </w:tcPr>
          <w:p>
            <w:pPr>
              <w:pStyle w:val="43"/>
            </w:pPr>
            <w:r>
              <w:rPr>
                <w:rFonts w:hint="eastAsia"/>
              </w:rPr>
              <w:t>挥发酚</w:t>
            </w:r>
          </w:p>
        </w:tc>
        <w:tc>
          <w:tcPr>
            <w:tcW w:w="1068" w:type="dxa"/>
            <w:vAlign w:val="center"/>
          </w:tcPr>
          <w:p>
            <w:pPr>
              <w:pStyle w:val="43"/>
            </w:pPr>
            <w:r>
              <w:rPr>
                <w:rFonts w:hint="eastAsia"/>
              </w:rPr>
              <w:t>mg/L</w:t>
            </w:r>
          </w:p>
        </w:tc>
        <w:tc>
          <w:tcPr>
            <w:tcW w:w="1078" w:type="dxa"/>
            <w:vAlign w:val="center"/>
          </w:tcPr>
          <w:p>
            <w:pPr>
              <w:pStyle w:val="43"/>
            </w:pPr>
            <w:r>
              <w:rPr>
                <w:rFonts w:hint="eastAsia"/>
              </w:rPr>
              <w:t>0</w:t>
            </w:r>
            <w:r>
              <w:t>.0003</w:t>
            </w:r>
          </w:p>
        </w:tc>
        <w:tc>
          <w:tcPr>
            <w:tcW w:w="1134" w:type="dxa"/>
            <w:vAlign w:val="center"/>
          </w:tcPr>
          <w:p>
            <w:pPr>
              <w:pStyle w:val="43"/>
            </w:pPr>
            <w:r>
              <w:rPr>
                <w:rFonts w:hint="eastAsia"/>
              </w:rPr>
              <w:t>未检出</w:t>
            </w:r>
          </w:p>
        </w:tc>
        <w:tc>
          <w:tcPr>
            <w:tcW w:w="1559" w:type="dxa"/>
            <w:vAlign w:val="center"/>
          </w:tcPr>
          <w:p>
            <w:pPr>
              <w:pStyle w:val="43"/>
            </w:pPr>
            <w:r>
              <w:rPr>
                <w:rFonts w:hint="eastAsia"/>
              </w:rPr>
              <w:t>0</w:t>
            </w:r>
            <w:r>
              <w:t>.002</w:t>
            </w:r>
          </w:p>
        </w:tc>
        <w:tc>
          <w:tcPr>
            <w:tcW w:w="1497" w:type="dxa"/>
          </w:tcPr>
          <w:p>
            <w:pPr>
              <w:pStyle w:val="43"/>
            </w:pPr>
            <w:r>
              <w:rPr>
                <w:rFonts w:hint="eastAsia"/>
              </w:rPr>
              <w:t>Ⅱ类达标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0" w:type="dxa"/>
            <w:vAlign w:val="center"/>
          </w:tcPr>
          <w:p>
            <w:pPr>
              <w:pStyle w:val="43"/>
            </w:pPr>
            <w:r>
              <w:rPr>
                <w:rFonts w:hint="eastAsia"/>
              </w:rPr>
              <w:t>阴离子表面活性剂</w:t>
            </w:r>
          </w:p>
        </w:tc>
        <w:tc>
          <w:tcPr>
            <w:tcW w:w="1068" w:type="dxa"/>
            <w:vAlign w:val="center"/>
          </w:tcPr>
          <w:p>
            <w:pPr>
              <w:pStyle w:val="43"/>
            </w:pPr>
            <w:r>
              <w:rPr>
                <w:rFonts w:hint="eastAsia"/>
              </w:rPr>
              <w:t>mg/L</w:t>
            </w:r>
          </w:p>
        </w:tc>
        <w:tc>
          <w:tcPr>
            <w:tcW w:w="1078" w:type="dxa"/>
            <w:vAlign w:val="center"/>
          </w:tcPr>
          <w:p>
            <w:pPr>
              <w:pStyle w:val="43"/>
            </w:pPr>
            <w:r>
              <w:rPr>
                <w:rFonts w:hint="eastAsia"/>
              </w:rPr>
              <w:t>0</w:t>
            </w:r>
            <w:r>
              <w:t>.01</w:t>
            </w:r>
          </w:p>
        </w:tc>
        <w:tc>
          <w:tcPr>
            <w:tcW w:w="1134" w:type="dxa"/>
            <w:vAlign w:val="center"/>
          </w:tcPr>
          <w:p>
            <w:pPr>
              <w:pStyle w:val="43"/>
            </w:pPr>
            <w:r>
              <w:rPr>
                <w:rFonts w:hint="eastAsia"/>
              </w:rPr>
              <w:t>未检出</w:t>
            </w:r>
          </w:p>
        </w:tc>
        <w:tc>
          <w:tcPr>
            <w:tcW w:w="1559" w:type="dxa"/>
            <w:vAlign w:val="center"/>
          </w:tcPr>
          <w:p>
            <w:pPr>
              <w:pStyle w:val="43"/>
            </w:pPr>
            <w:r>
              <w:rPr>
                <w:rFonts w:hint="eastAsia"/>
              </w:rPr>
              <w:t>0</w:t>
            </w:r>
            <w:r>
              <w:t>.2</w:t>
            </w:r>
          </w:p>
        </w:tc>
        <w:tc>
          <w:tcPr>
            <w:tcW w:w="1497" w:type="dxa"/>
          </w:tcPr>
          <w:p>
            <w:pPr>
              <w:pStyle w:val="43"/>
            </w:pPr>
            <w:r>
              <w:rPr>
                <w:rFonts w:hint="eastAsia"/>
              </w:rPr>
              <w:t>Ⅱ类达标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0" w:type="dxa"/>
            <w:vAlign w:val="center"/>
          </w:tcPr>
          <w:p>
            <w:pPr>
              <w:pStyle w:val="43"/>
            </w:pPr>
            <w:r>
              <w:rPr>
                <w:rFonts w:hint="eastAsia"/>
              </w:rPr>
              <w:t>石油类</w:t>
            </w:r>
          </w:p>
        </w:tc>
        <w:tc>
          <w:tcPr>
            <w:tcW w:w="1068" w:type="dxa"/>
            <w:vAlign w:val="center"/>
          </w:tcPr>
          <w:p>
            <w:pPr>
              <w:pStyle w:val="43"/>
            </w:pPr>
            <w:r>
              <w:rPr>
                <w:rFonts w:hint="eastAsia"/>
              </w:rPr>
              <w:t>mg/L</w:t>
            </w:r>
          </w:p>
        </w:tc>
        <w:tc>
          <w:tcPr>
            <w:tcW w:w="1078" w:type="dxa"/>
            <w:vAlign w:val="center"/>
          </w:tcPr>
          <w:p>
            <w:pPr>
              <w:pStyle w:val="43"/>
            </w:pPr>
            <w:r>
              <w:rPr>
                <w:rFonts w:hint="eastAsia"/>
              </w:rPr>
              <w:t>0</w:t>
            </w:r>
            <w:r>
              <w:t>.04</w:t>
            </w:r>
          </w:p>
        </w:tc>
        <w:tc>
          <w:tcPr>
            <w:tcW w:w="1134" w:type="dxa"/>
            <w:vAlign w:val="center"/>
          </w:tcPr>
          <w:p>
            <w:pPr>
              <w:pStyle w:val="43"/>
            </w:pPr>
            <w:r>
              <w:rPr>
                <w:rFonts w:hint="eastAsia"/>
              </w:rPr>
              <w:t>0.</w:t>
            </w:r>
            <w:r>
              <w:t>02</w:t>
            </w:r>
          </w:p>
        </w:tc>
        <w:tc>
          <w:tcPr>
            <w:tcW w:w="1559" w:type="dxa"/>
            <w:vAlign w:val="center"/>
          </w:tcPr>
          <w:p>
            <w:pPr>
              <w:pStyle w:val="43"/>
            </w:pPr>
            <w:r>
              <w:rPr>
                <w:rFonts w:hint="eastAsia"/>
              </w:rPr>
              <w:t>0</w:t>
            </w:r>
            <w:r>
              <w:t>.05</w:t>
            </w:r>
          </w:p>
        </w:tc>
        <w:tc>
          <w:tcPr>
            <w:tcW w:w="1497" w:type="dxa"/>
          </w:tcPr>
          <w:p>
            <w:pPr>
              <w:pStyle w:val="43"/>
            </w:pPr>
            <w:r>
              <w:rPr>
                <w:rFonts w:hint="eastAsia"/>
              </w:rPr>
              <w:t>Ⅱ类达标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0" w:type="dxa"/>
            <w:vAlign w:val="center"/>
          </w:tcPr>
          <w:p>
            <w:pPr>
              <w:pStyle w:val="43"/>
            </w:pPr>
            <w:r>
              <w:rPr>
                <w:rFonts w:hint="eastAsia"/>
              </w:rPr>
              <w:t>粪类大肠杆菌</w:t>
            </w:r>
          </w:p>
        </w:tc>
        <w:tc>
          <w:tcPr>
            <w:tcW w:w="1068" w:type="dxa"/>
            <w:vAlign w:val="center"/>
          </w:tcPr>
          <w:p>
            <w:pPr>
              <w:pStyle w:val="43"/>
            </w:pPr>
            <w:r>
              <w:rPr>
                <w:rFonts w:hint="eastAsia"/>
              </w:rPr>
              <w:t>MPN/L</w:t>
            </w:r>
          </w:p>
        </w:tc>
        <w:tc>
          <w:tcPr>
            <w:tcW w:w="1078" w:type="dxa"/>
            <w:vAlign w:val="center"/>
          </w:tcPr>
          <w:p>
            <w:pPr>
              <w:pStyle w:val="43"/>
            </w:pPr>
            <w:r>
              <w:rPr>
                <w:rFonts w:hint="eastAsia"/>
              </w:rPr>
              <w:t>2</w:t>
            </w:r>
            <w:r>
              <w:t>0</w:t>
            </w:r>
          </w:p>
        </w:tc>
        <w:tc>
          <w:tcPr>
            <w:tcW w:w="1134" w:type="dxa"/>
            <w:vAlign w:val="center"/>
          </w:tcPr>
          <w:p>
            <w:pPr>
              <w:pStyle w:val="43"/>
            </w:pPr>
            <w:r>
              <w:rPr>
                <w:rFonts w:hint="eastAsia"/>
              </w:rPr>
              <w:t>6</w:t>
            </w:r>
            <w:r>
              <w:t>.2</w:t>
            </w:r>
            <w:r>
              <w:rPr>
                <w:rFonts w:hint="eastAsia"/>
              </w:rPr>
              <w:t>×1</w:t>
            </w:r>
            <w:r>
              <w:t>0</w:t>
            </w:r>
            <w:r>
              <w:rPr>
                <w:vertAlign w:val="superscript"/>
              </w:rPr>
              <w:t>2</w:t>
            </w:r>
          </w:p>
        </w:tc>
        <w:tc>
          <w:tcPr>
            <w:tcW w:w="1559" w:type="dxa"/>
            <w:vAlign w:val="center"/>
          </w:tcPr>
          <w:p>
            <w:pPr>
              <w:pStyle w:val="43"/>
            </w:pPr>
            <w:r>
              <w:rPr>
                <w:rFonts w:hint="eastAsia"/>
              </w:rPr>
              <w:t>2</w:t>
            </w:r>
            <w:r>
              <w:t>000</w:t>
            </w:r>
          </w:p>
        </w:tc>
        <w:tc>
          <w:tcPr>
            <w:tcW w:w="1497" w:type="dxa"/>
          </w:tcPr>
          <w:p>
            <w:pPr>
              <w:pStyle w:val="43"/>
            </w:pPr>
            <w:r>
              <w:rPr>
                <w:rFonts w:hint="eastAsia"/>
              </w:rPr>
              <w:t>Ⅱ类达标</w:t>
            </w:r>
          </w:p>
        </w:tc>
      </w:tr>
    </w:tbl>
    <w:p>
      <w:pPr>
        <w:ind w:firstLine="480"/>
      </w:pPr>
    </w:p>
    <w:p>
      <w:pPr>
        <w:ind w:firstLine="480"/>
      </w:pPr>
      <w:r>
        <w:rPr>
          <w:rFonts w:hint="eastAsia"/>
        </w:rPr>
        <w:t>本次检测结果表明，该项目地表水所测指标均符合《地表水环境质量标准》(GB3838-2002)Ⅱ类水质标准限值。</w:t>
      </w:r>
    </w:p>
    <w:p>
      <w:pPr>
        <w:ind w:firstLine="482"/>
        <w:rPr>
          <w:b/>
        </w:rPr>
      </w:pPr>
      <w:r>
        <w:rPr>
          <w:rFonts w:hint="eastAsia"/>
          <w:b/>
        </w:rPr>
        <w:t>2、补充监测成果</w:t>
      </w:r>
    </w:p>
    <w:p>
      <w:pPr>
        <w:ind w:firstLine="480"/>
      </w:pPr>
      <w:r>
        <w:rPr>
          <w:rFonts w:hint="eastAsia"/>
        </w:rPr>
        <w:t>盐井河8月补充监测水质取样信息见</w:t>
      </w:r>
      <w:r>
        <w:fldChar w:fldCharType="begin"/>
      </w:r>
      <w:r>
        <w:instrText xml:space="preserve"> </w:instrText>
      </w:r>
      <w:r>
        <w:rPr>
          <w:rFonts w:hint="eastAsia"/>
        </w:rPr>
        <w:instrText xml:space="preserve">REF _Ref80803772 \h</w:instrText>
      </w:r>
      <w:r>
        <w:instrText xml:space="preserve"> </w:instrText>
      </w:r>
      <w:r>
        <w:fldChar w:fldCharType="separate"/>
      </w:r>
      <w:r>
        <w:rPr>
          <w:rFonts w:hint="eastAsia"/>
        </w:rPr>
        <w:t>表</w:t>
      </w:r>
      <w:r>
        <w:t>4.3</w:t>
      </w:r>
      <w:r>
        <w:noBreakHyphen/>
      </w:r>
      <w:r>
        <w:t>4</w:t>
      </w:r>
      <w:r>
        <w:fldChar w:fldCharType="end"/>
      </w:r>
      <w:r>
        <w:rPr>
          <w:rFonts w:hint="eastAsia"/>
        </w:rPr>
        <w:t>。盐井河8月补充监测水质检测结果见</w:t>
      </w:r>
      <w:r>
        <w:fldChar w:fldCharType="begin"/>
      </w:r>
      <w:r>
        <w:instrText xml:space="preserve"> </w:instrText>
      </w:r>
      <w:r>
        <w:rPr>
          <w:rFonts w:hint="eastAsia"/>
        </w:rPr>
        <w:instrText xml:space="preserve">REF _Ref80803867 \h</w:instrText>
      </w:r>
      <w:r>
        <w:instrText xml:space="preserve"> </w:instrText>
      </w:r>
      <w:r>
        <w:fldChar w:fldCharType="separate"/>
      </w:r>
      <w:r>
        <w:rPr>
          <w:rFonts w:hint="eastAsia"/>
        </w:rPr>
        <w:t>表</w:t>
      </w:r>
      <w:r>
        <w:t>4.3</w:t>
      </w:r>
      <w:r>
        <w:noBreakHyphen/>
      </w:r>
      <w:r>
        <w:t>5</w:t>
      </w:r>
      <w:r>
        <w:fldChar w:fldCharType="end"/>
      </w:r>
      <w:r>
        <w:rPr>
          <w:rFonts w:hint="eastAsia"/>
        </w:rPr>
        <w:t>。</w:t>
      </w:r>
    </w:p>
    <w:p>
      <w:pPr>
        <w:pStyle w:val="58"/>
        <w:rPr>
          <w:color w:val="auto"/>
        </w:rPr>
      </w:pPr>
      <w:bookmarkStart w:id="154" w:name="_Ref80803772"/>
      <w:bookmarkStart w:id="155" w:name="_Ref80803730"/>
      <w:r>
        <w:rPr>
          <w:rFonts w:hint="eastAsia"/>
          <w:color w:val="auto"/>
        </w:rPr>
        <w:t>表</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4.3</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4</w:t>
      </w:r>
      <w:r>
        <w:rPr>
          <w:color w:val="auto"/>
        </w:rPr>
        <w:fldChar w:fldCharType="end"/>
      </w:r>
      <w:bookmarkEnd w:id="154"/>
      <w:r>
        <w:rPr>
          <w:color w:val="auto"/>
        </w:rPr>
        <w:t xml:space="preserve">  </w:t>
      </w:r>
      <w:r>
        <w:rPr>
          <w:rFonts w:hint="eastAsia"/>
          <w:color w:val="auto"/>
        </w:rPr>
        <w:t>盐井河</w:t>
      </w:r>
      <w:r>
        <w:rPr>
          <w:color w:val="auto"/>
        </w:rPr>
        <w:t>8</w:t>
      </w:r>
      <w:r>
        <w:rPr>
          <w:rFonts w:hint="eastAsia"/>
          <w:color w:val="auto"/>
        </w:rPr>
        <w:t>月补充水质监测取样信息</w:t>
      </w:r>
      <w:bookmarkEnd w:id="155"/>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1417"/>
        <w:gridCol w:w="2268"/>
        <w:gridCol w:w="992"/>
        <w:gridCol w:w="1301"/>
        <w:gridCol w:w="13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pPr>
              <w:pStyle w:val="43"/>
            </w:pPr>
            <w:r>
              <w:rPr>
                <w:rFonts w:hint="eastAsia"/>
              </w:rPr>
              <w:t>河流</w:t>
            </w:r>
          </w:p>
        </w:tc>
        <w:tc>
          <w:tcPr>
            <w:tcW w:w="1417" w:type="dxa"/>
            <w:vAlign w:val="center"/>
          </w:tcPr>
          <w:p>
            <w:pPr>
              <w:pStyle w:val="43"/>
            </w:pPr>
            <w:r>
              <w:rPr>
                <w:rFonts w:hint="eastAsia"/>
              </w:rPr>
              <w:t>监测断面</w:t>
            </w:r>
          </w:p>
        </w:tc>
        <w:tc>
          <w:tcPr>
            <w:tcW w:w="2268" w:type="dxa"/>
            <w:vAlign w:val="center"/>
          </w:tcPr>
          <w:p>
            <w:pPr>
              <w:pStyle w:val="43"/>
            </w:pPr>
            <w:r>
              <w:rPr>
                <w:rFonts w:hint="eastAsia"/>
              </w:rPr>
              <w:t>检测项目</w:t>
            </w:r>
          </w:p>
        </w:tc>
        <w:tc>
          <w:tcPr>
            <w:tcW w:w="992" w:type="dxa"/>
            <w:vAlign w:val="center"/>
          </w:tcPr>
          <w:p>
            <w:pPr>
              <w:pStyle w:val="43"/>
            </w:pPr>
            <w:r>
              <w:rPr>
                <w:rFonts w:hint="eastAsia"/>
              </w:rPr>
              <w:t>检测频次</w:t>
            </w:r>
          </w:p>
        </w:tc>
        <w:tc>
          <w:tcPr>
            <w:tcW w:w="1301" w:type="dxa"/>
            <w:vAlign w:val="center"/>
          </w:tcPr>
          <w:p>
            <w:pPr>
              <w:pStyle w:val="43"/>
            </w:pPr>
            <w:r>
              <w:rPr>
                <w:rFonts w:hint="eastAsia"/>
              </w:rPr>
              <w:t>采样时间</w:t>
            </w:r>
          </w:p>
        </w:tc>
        <w:tc>
          <w:tcPr>
            <w:tcW w:w="1330" w:type="dxa"/>
            <w:vAlign w:val="center"/>
          </w:tcPr>
          <w:p>
            <w:pPr>
              <w:pStyle w:val="43"/>
            </w:pPr>
            <w:r>
              <w:rPr>
                <w:rFonts w:hint="eastAsia"/>
              </w:rPr>
              <w:t>样品性状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trPr>
        <w:tc>
          <w:tcPr>
            <w:tcW w:w="988" w:type="dxa"/>
            <w:vAlign w:val="center"/>
          </w:tcPr>
          <w:p>
            <w:pPr>
              <w:pStyle w:val="43"/>
            </w:pPr>
            <w:r>
              <w:rPr>
                <w:rFonts w:hint="eastAsia"/>
              </w:rPr>
              <w:t>盐井河</w:t>
            </w:r>
          </w:p>
        </w:tc>
        <w:tc>
          <w:tcPr>
            <w:tcW w:w="1417" w:type="dxa"/>
            <w:vAlign w:val="center"/>
          </w:tcPr>
          <w:p>
            <w:pPr>
              <w:pStyle w:val="43"/>
            </w:pPr>
            <w:r>
              <w:rPr>
                <w:rFonts w:hint="eastAsia"/>
              </w:rPr>
              <w:t>群建村</w:t>
            </w:r>
          </w:p>
          <w:p>
            <w:pPr>
              <w:pStyle w:val="43"/>
            </w:pPr>
            <w:r>
              <w:rPr>
                <w:rFonts w:hint="eastAsia"/>
              </w:rPr>
              <w:t>（入境）</w:t>
            </w:r>
          </w:p>
        </w:tc>
        <w:tc>
          <w:tcPr>
            <w:tcW w:w="2268" w:type="dxa"/>
            <w:vMerge w:val="restart"/>
            <w:vAlign w:val="center"/>
          </w:tcPr>
          <w:p>
            <w:pPr>
              <w:pStyle w:val="43"/>
            </w:pPr>
            <w:r>
              <w:rPr>
                <w:rFonts w:hint="eastAsia"/>
              </w:rPr>
              <w:t>水温、p</w:t>
            </w:r>
            <w:r>
              <w:t>H</w:t>
            </w:r>
            <w:r>
              <w:rPr>
                <w:rFonts w:hint="eastAsia"/>
              </w:rPr>
              <w:t>、溶解氧、高锰酸钾指数、五日生化需氧量、氨氮、总磷、总氮、氟化物、氰化物、挥发酚、石油类、阴离子表面活性剂、硫化物、粪类大肠杆菌、化学需氧量、硫酸盐、氯化物、硝酸盐</w:t>
            </w:r>
          </w:p>
        </w:tc>
        <w:tc>
          <w:tcPr>
            <w:tcW w:w="992" w:type="dxa"/>
            <w:vAlign w:val="center"/>
          </w:tcPr>
          <w:p>
            <w:pPr>
              <w:pStyle w:val="43"/>
            </w:pPr>
            <w:r>
              <w:rPr>
                <w:rFonts w:hint="eastAsia"/>
              </w:rPr>
              <w:t>1天1次</w:t>
            </w:r>
          </w:p>
        </w:tc>
        <w:tc>
          <w:tcPr>
            <w:tcW w:w="1301" w:type="dxa"/>
            <w:vAlign w:val="center"/>
          </w:tcPr>
          <w:p>
            <w:pPr>
              <w:pStyle w:val="43"/>
            </w:pPr>
            <w:r>
              <w:t>8</w:t>
            </w:r>
            <w:r>
              <w:rPr>
                <w:rFonts w:hint="eastAsia"/>
              </w:rPr>
              <w:t>月</w:t>
            </w:r>
            <w:r>
              <w:t>5</w:t>
            </w:r>
            <w:r>
              <w:rPr>
                <w:rFonts w:hint="eastAsia"/>
              </w:rPr>
              <w:t>日</w:t>
            </w:r>
          </w:p>
          <w:p>
            <w:pPr>
              <w:pStyle w:val="43"/>
            </w:pPr>
          </w:p>
        </w:tc>
        <w:tc>
          <w:tcPr>
            <w:tcW w:w="1330" w:type="dxa"/>
            <w:vAlign w:val="center"/>
          </w:tcPr>
          <w:p>
            <w:pPr>
              <w:pStyle w:val="43"/>
            </w:pPr>
            <w:r>
              <w:rPr>
                <w:rFonts w:hint="eastAsia"/>
              </w:rPr>
              <w:t>清澈、无臭、无浮油、无色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pPr>
              <w:pStyle w:val="43"/>
            </w:pPr>
            <w:r>
              <w:rPr>
                <w:rFonts w:hint="eastAsia"/>
              </w:rPr>
              <w:t>盐井河</w:t>
            </w:r>
          </w:p>
        </w:tc>
        <w:tc>
          <w:tcPr>
            <w:tcW w:w="1417" w:type="dxa"/>
            <w:vAlign w:val="center"/>
          </w:tcPr>
          <w:p>
            <w:pPr>
              <w:pStyle w:val="43"/>
            </w:pPr>
            <w:r>
              <w:rPr>
                <w:rFonts w:hint="eastAsia"/>
              </w:rPr>
              <w:t>双汇小学（汇口前）</w:t>
            </w:r>
          </w:p>
        </w:tc>
        <w:tc>
          <w:tcPr>
            <w:tcW w:w="2268" w:type="dxa"/>
            <w:vMerge w:val="continue"/>
            <w:vAlign w:val="center"/>
          </w:tcPr>
          <w:p>
            <w:pPr>
              <w:pStyle w:val="43"/>
            </w:pPr>
          </w:p>
        </w:tc>
        <w:tc>
          <w:tcPr>
            <w:tcW w:w="992" w:type="dxa"/>
            <w:vAlign w:val="center"/>
          </w:tcPr>
          <w:p>
            <w:pPr>
              <w:pStyle w:val="43"/>
            </w:pPr>
            <w:r>
              <w:rPr>
                <w:rFonts w:hint="eastAsia"/>
              </w:rPr>
              <w:t>1天1次</w:t>
            </w:r>
          </w:p>
        </w:tc>
        <w:tc>
          <w:tcPr>
            <w:tcW w:w="1301" w:type="dxa"/>
            <w:vAlign w:val="center"/>
          </w:tcPr>
          <w:p>
            <w:pPr>
              <w:pStyle w:val="43"/>
            </w:pPr>
            <w:r>
              <w:t>8</w:t>
            </w:r>
            <w:r>
              <w:rPr>
                <w:rFonts w:hint="eastAsia"/>
              </w:rPr>
              <w:t>月</w:t>
            </w:r>
            <w:r>
              <w:t>5</w:t>
            </w:r>
            <w:r>
              <w:rPr>
                <w:rFonts w:hint="eastAsia"/>
              </w:rPr>
              <w:t>日</w:t>
            </w:r>
          </w:p>
        </w:tc>
        <w:tc>
          <w:tcPr>
            <w:tcW w:w="1330" w:type="dxa"/>
            <w:vAlign w:val="center"/>
          </w:tcPr>
          <w:p>
            <w:pPr>
              <w:pStyle w:val="43"/>
            </w:pPr>
            <w:r>
              <w:rPr>
                <w:rFonts w:hint="eastAsia"/>
              </w:rPr>
              <w:t>清澈、无臭、无浮油、无色</w:t>
            </w:r>
          </w:p>
        </w:tc>
      </w:tr>
    </w:tbl>
    <w:p>
      <w:pPr>
        <w:ind w:firstLine="482"/>
        <w:rPr>
          <w:b/>
        </w:rPr>
      </w:pPr>
    </w:p>
    <w:p>
      <w:pPr>
        <w:pStyle w:val="58"/>
        <w:rPr>
          <w:color w:val="auto"/>
        </w:rPr>
      </w:pPr>
      <w:bookmarkStart w:id="156" w:name="_Ref80803867"/>
      <w:r>
        <w:rPr>
          <w:rFonts w:hint="eastAsia"/>
          <w:color w:val="auto"/>
        </w:rPr>
        <w:t>表</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4.3</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5</w:t>
      </w:r>
      <w:r>
        <w:rPr>
          <w:color w:val="auto"/>
        </w:rPr>
        <w:fldChar w:fldCharType="end"/>
      </w:r>
      <w:bookmarkEnd w:id="156"/>
      <w:r>
        <w:rPr>
          <w:color w:val="auto"/>
        </w:rPr>
        <w:t xml:space="preserve">  </w:t>
      </w:r>
      <w:r>
        <w:rPr>
          <w:rFonts w:hint="eastAsia"/>
          <w:color w:val="auto"/>
        </w:rPr>
        <w:t>盐井河8月补充监测水质检测成果表</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0"/>
        <w:gridCol w:w="1134"/>
        <w:gridCol w:w="1417"/>
        <w:gridCol w:w="1276"/>
        <w:gridCol w:w="1134"/>
        <w:gridCol w:w="1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vMerge w:val="restart"/>
            <w:vAlign w:val="center"/>
          </w:tcPr>
          <w:p>
            <w:pPr>
              <w:pStyle w:val="43"/>
            </w:pPr>
            <w:r>
              <w:rPr>
                <w:rFonts w:hint="eastAsia"/>
              </w:rPr>
              <w:t>检测项目</w:t>
            </w:r>
          </w:p>
        </w:tc>
        <w:tc>
          <w:tcPr>
            <w:tcW w:w="1134" w:type="dxa"/>
            <w:vMerge w:val="restart"/>
            <w:vAlign w:val="center"/>
          </w:tcPr>
          <w:p>
            <w:pPr>
              <w:pStyle w:val="43"/>
            </w:pPr>
            <w:r>
              <w:rPr>
                <w:rFonts w:hint="eastAsia"/>
              </w:rPr>
              <w:t>单位</w:t>
            </w:r>
          </w:p>
        </w:tc>
        <w:tc>
          <w:tcPr>
            <w:tcW w:w="2693" w:type="dxa"/>
            <w:gridSpan w:val="2"/>
            <w:vAlign w:val="center"/>
          </w:tcPr>
          <w:p>
            <w:pPr>
              <w:pStyle w:val="43"/>
            </w:pPr>
            <w:r>
              <w:rPr>
                <w:rFonts w:hint="eastAsia"/>
              </w:rPr>
              <w:t>检测结果</w:t>
            </w:r>
          </w:p>
        </w:tc>
        <w:tc>
          <w:tcPr>
            <w:tcW w:w="1134" w:type="dxa"/>
            <w:vMerge w:val="restart"/>
            <w:vAlign w:val="center"/>
          </w:tcPr>
          <w:p>
            <w:pPr>
              <w:pStyle w:val="43"/>
            </w:pPr>
            <w:r>
              <w:rPr>
                <w:rFonts w:hint="eastAsia"/>
              </w:rPr>
              <w:t>Ⅱ类标准限值</w:t>
            </w:r>
          </w:p>
        </w:tc>
        <w:tc>
          <w:tcPr>
            <w:tcW w:w="1355" w:type="dxa"/>
            <w:vMerge w:val="restart"/>
            <w:vAlign w:val="center"/>
          </w:tcPr>
          <w:p>
            <w:pPr>
              <w:pStyle w:val="43"/>
            </w:pPr>
            <w:r>
              <w:rPr>
                <w:rFonts w:hint="eastAsia"/>
              </w:rPr>
              <w:t>水质类别评价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vMerge w:val="continue"/>
            <w:vAlign w:val="center"/>
          </w:tcPr>
          <w:p>
            <w:pPr>
              <w:pStyle w:val="43"/>
            </w:pPr>
          </w:p>
        </w:tc>
        <w:tc>
          <w:tcPr>
            <w:tcW w:w="1134" w:type="dxa"/>
            <w:vMerge w:val="continue"/>
            <w:vAlign w:val="center"/>
          </w:tcPr>
          <w:p>
            <w:pPr>
              <w:pStyle w:val="43"/>
            </w:pPr>
          </w:p>
        </w:tc>
        <w:tc>
          <w:tcPr>
            <w:tcW w:w="1417" w:type="dxa"/>
            <w:vAlign w:val="center"/>
          </w:tcPr>
          <w:p>
            <w:pPr>
              <w:pStyle w:val="43"/>
            </w:pPr>
            <w:r>
              <w:rPr>
                <w:rFonts w:hint="eastAsia"/>
              </w:rPr>
              <w:t>入境（群建村）</w:t>
            </w:r>
          </w:p>
        </w:tc>
        <w:tc>
          <w:tcPr>
            <w:tcW w:w="1276" w:type="dxa"/>
            <w:vAlign w:val="center"/>
          </w:tcPr>
          <w:p>
            <w:pPr>
              <w:pStyle w:val="43"/>
            </w:pPr>
            <w:r>
              <w:rPr>
                <w:rFonts w:hint="eastAsia"/>
              </w:rPr>
              <w:t>汇口（双汇小学）</w:t>
            </w:r>
          </w:p>
        </w:tc>
        <w:tc>
          <w:tcPr>
            <w:tcW w:w="1134" w:type="dxa"/>
            <w:vMerge w:val="continue"/>
            <w:vAlign w:val="center"/>
          </w:tcPr>
          <w:p>
            <w:pPr>
              <w:pStyle w:val="43"/>
            </w:pPr>
          </w:p>
        </w:tc>
        <w:tc>
          <w:tcPr>
            <w:tcW w:w="1355" w:type="dxa"/>
            <w:vMerge w:val="continue"/>
            <w:vAlign w:val="center"/>
          </w:tcPr>
          <w:p>
            <w:pPr>
              <w:pStyle w:val="4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vAlign w:val="center"/>
          </w:tcPr>
          <w:p>
            <w:pPr>
              <w:pStyle w:val="43"/>
            </w:pPr>
            <w:r>
              <w:rPr>
                <w:rFonts w:hint="eastAsia"/>
              </w:rPr>
              <w:t>水温</w:t>
            </w:r>
            <w:r>
              <w:rPr>
                <w:rFonts w:hint="eastAsia" w:ascii="仿宋" w:hAnsi="仿宋"/>
              </w:rPr>
              <w:t>*</w:t>
            </w:r>
          </w:p>
        </w:tc>
        <w:tc>
          <w:tcPr>
            <w:tcW w:w="1134" w:type="dxa"/>
            <w:vAlign w:val="center"/>
          </w:tcPr>
          <w:p>
            <w:pPr>
              <w:pStyle w:val="43"/>
            </w:pPr>
            <w:r>
              <w:rPr>
                <w:rFonts w:hint="eastAsia"/>
              </w:rPr>
              <w:t>℃</w:t>
            </w:r>
          </w:p>
        </w:tc>
        <w:tc>
          <w:tcPr>
            <w:tcW w:w="1417" w:type="dxa"/>
            <w:vAlign w:val="center"/>
          </w:tcPr>
          <w:p>
            <w:pPr>
              <w:pStyle w:val="43"/>
            </w:pPr>
            <w:r>
              <w:t>19.8</w:t>
            </w:r>
          </w:p>
        </w:tc>
        <w:tc>
          <w:tcPr>
            <w:tcW w:w="1276" w:type="dxa"/>
            <w:vAlign w:val="center"/>
          </w:tcPr>
          <w:p>
            <w:pPr>
              <w:pStyle w:val="43"/>
            </w:pPr>
            <w:r>
              <w:rPr>
                <w:rFonts w:hint="eastAsia"/>
              </w:rPr>
              <w:t>2</w:t>
            </w:r>
            <w:r>
              <w:t>0.1</w:t>
            </w:r>
          </w:p>
        </w:tc>
        <w:tc>
          <w:tcPr>
            <w:tcW w:w="1134" w:type="dxa"/>
            <w:vAlign w:val="center"/>
          </w:tcPr>
          <w:p>
            <w:pPr>
              <w:pStyle w:val="43"/>
            </w:pPr>
            <w:r>
              <w:rPr>
                <w:rFonts w:hint="eastAsia"/>
              </w:rPr>
              <w:t>-</w:t>
            </w:r>
          </w:p>
        </w:tc>
        <w:tc>
          <w:tcPr>
            <w:tcW w:w="1355" w:type="dxa"/>
            <w:vAlign w:val="center"/>
          </w:tcPr>
          <w:p>
            <w:pPr>
              <w:pStyle w:val="43"/>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vAlign w:val="center"/>
          </w:tcPr>
          <w:p>
            <w:pPr>
              <w:pStyle w:val="43"/>
            </w:pPr>
            <w:r>
              <w:t>pH</w:t>
            </w:r>
          </w:p>
        </w:tc>
        <w:tc>
          <w:tcPr>
            <w:tcW w:w="1134" w:type="dxa"/>
            <w:vAlign w:val="center"/>
          </w:tcPr>
          <w:p>
            <w:pPr>
              <w:pStyle w:val="43"/>
            </w:pPr>
            <w:r>
              <w:rPr>
                <w:rFonts w:hint="eastAsia"/>
              </w:rPr>
              <w:t>无量纲</w:t>
            </w:r>
          </w:p>
        </w:tc>
        <w:tc>
          <w:tcPr>
            <w:tcW w:w="1417" w:type="dxa"/>
            <w:vAlign w:val="center"/>
          </w:tcPr>
          <w:p>
            <w:pPr>
              <w:pStyle w:val="43"/>
            </w:pPr>
            <w:r>
              <w:rPr>
                <w:rFonts w:hint="eastAsia"/>
              </w:rPr>
              <w:t>7</w:t>
            </w:r>
            <w:r>
              <w:t>.7</w:t>
            </w:r>
          </w:p>
        </w:tc>
        <w:tc>
          <w:tcPr>
            <w:tcW w:w="1276" w:type="dxa"/>
            <w:vAlign w:val="center"/>
          </w:tcPr>
          <w:p>
            <w:pPr>
              <w:pStyle w:val="43"/>
            </w:pPr>
            <w:r>
              <w:rPr>
                <w:rFonts w:hint="eastAsia"/>
              </w:rPr>
              <w:t>7</w:t>
            </w:r>
            <w:r>
              <w:t>.73</w:t>
            </w:r>
          </w:p>
        </w:tc>
        <w:tc>
          <w:tcPr>
            <w:tcW w:w="1134" w:type="dxa"/>
            <w:vAlign w:val="center"/>
          </w:tcPr>
          <w:p>
            <w:pPr>
              <w:pStyle w:val="43"/>
            </w:pPr>
            <w:r>
              <w:rPr>
                <w:rFonts w:hint="eastAsia"/>
              </w:rPr>
              <w:t>6~</w:t>
            </w:r>
            <w:r>
              <w:t>9</w:t>
            </w:r>
          </w:p>
        </w:tc>
        <w:tc>
          <w:tcPr>
            <w:tcW w:w="1355" w:type="dxa"/>
            <w:vAlign w:val="center"/>
          </w:tcPr>
          <w:p>
            <w:pPr>
              <w:pStyle w:val="43"/>
            </w:pPr>
            <w:r>
              <w:rPr>
                <w:rFonts w:hint="eastAsia"/>
              </w:rPr>
              <w:t>Ⅱ类达标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vAlign w:val="center"/>
          </w:tcPr>
          <w:p>
            <w:pPr>
              <w:pStyle w:val="43"/>
            </w:pPr>
            <w:r>
              <w:rPr>
                <w:rFonts w:hint="eastAsia"/>
              </w:rPr>
              <w:t>溶解氧</w:t>
            </w:r>
          </w:p>
        </w:tc>
        <w:tc>
          <w:tcPr>
            <w:tcW w:w="1134" w:type="dxa"/>
            <w:vAlign w:val="center"/>
          </w:tcPr>
          <w:p>
            <w:pPr>
              <w:pStyle w:val="43"/>
            </w:pPr>
            <w:r>
              <w:rPr>
                <w:rFonts w:hint="eastAsia"/>
              </w:rPr>
              <w:t>mg/L</w:t>
            </w:r>
          </w:p>
        </w:tc>
        <w:tc>
          <w:tcPr>
            <w:tcW w:w="1417" w:type="dxa"/>
            <w:vAlign w:val="center"/>
          </w:tcPr>
          <w:p>
            <w:pPr>
              <w:pStyle w:val="43"/>
            </w:pPr>
            <w:r>
              <w:rPr>
                <w:rFonts w:hint="eastAsia"/>
              </w:rPr>
              <w:t>7</w:t>
            </w:r>
            <w:r>
              <w:t>.9</w:t>
            </w:r>
          </w:p>
        </w:tc>
        <w:tc>
          <w:tcPr>
            <w:tcW w:w="1276" w:type="dxa"/>
            <w:vAlign w:val="center"/>
          </w:tcPr>
          <w:p>
            <w:pPr>
              <w:pStyle w:val="43"/>
            </w:pPr>
            <w:r>
              <w:rPr>
                <w:rFonts w:hint="eastAsia"/>
              </w:rPr>
              <w:t>7</w:t>
            </w:r>
            <w:r>
              <w:t>.7</w:t>
            </w:r>
          </w:p>
        </w:tc>
        <w:tc>
          <w:tcPr>
            <w:tcW w:w="1134" w:type="dxa"/>
            <w:vAlign w:val="center"/>
          </w:tcPr>
          <w:p>
            <w:pPr>
              <w:pStyle w:val="43"/>
            </w:pPr>
            <w:r>
              <w:rPr>
                <w:rFonts w:hint="eastAsia"/>
              </w:rPr>
              <w:t>6</w:t>
            </w:r>
          </w:p>
        </w:tc>
        <w:tc>
          <w:tcPr>
            <w:tcW w:w="1355" w:type="dxa"/>
            <w:vAlign w:val="center"/>
          </w:tcPr>
          <w:p>
            <w:pPr>
              <w:pStyle w:val="43"/>
            </w:pPr>
            <w:r>
              <w:rPr>
                <w:rFonts w:hint="eastAsia"/>
              </w:rPr>
              <w:t>Ⅱ类达标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vAlign w:val="center"/>
          </w:tcPr>
          <w:p>
            <w:pPr>
              <w:pStyle w:val="43"/>
            </w:pPr>
            <w:r>
              <w:rPr>
                <w:rFonts w:hint="eastAsia"/>
              </w:rPr>
              <w:t>高锰酸钾指数</w:t>
            </w:r>
          </w:p>
        </w:tc>
        <w:tc>
          <w:tcPr>
            <w:tcW w:w="1134" w:type="dxa"/>
            <w:vAlign w:val="center"/>
          </w:tcPr>
          <w:p>
            <w:pPr>
              <w:pStyle w:val="43"/>
            </w:pPr>
            <w:r>
              <w:rPr>
                <w:rFonts w:hint="eastAsia"/>
              </w:rPr>
              <w:t>mg/L</w:t>
            </w:r>
          </w:p>
        </w:tc>
        <w:tc>
          <w:tcPr>
            <w:tcW w:w="1417" w:type="dxa"/>
            <w:vAlign w:val="center"/>
          </w:tcPr>
          <w:p>
            <w:pPr>
              <w:pStyle w:val="43"/>
            </w:pPr>
            <w:r>
              <w:rPr>
                <w:rFonts w:hint="eastAsia"/>
              </w:rPr>
              <w:t>2</w:t>
            </w:r>
            <w:r>
              <w:t>.2</w:t>
            </w:r>
          </w:p>
        </w:tc>
        <w:tc>
          <w:tcPr>
            <w:tcW w:w="1276" w:type="dxa"/>
            <w:vAlign w:val="center"/>
          </w:tcPr>
          <w:p>
            <w:pPr>
              <w:pStyle w:val="43"/>
            </w:pPr>
            <w:r>
              <w:rPr>
                <w:rFonts w:hint="eastAsia"/>
              </w:rPr>
              <w:t>2</w:t>
            </w:r>
            <w:r>
              <w:t>.1</w:t>
            </w:r>
          </w:p>
        </w:tc>
        <w:tc>
          <w:tcPr>
            <w:tcW w:w="1134" w:type="dxa"/>
            <w:vAlign w:val="center"/>
          </w:tcPr>
          <w:p>
            <w:pPr>
              <w:pStyle w:val="43"/>
            </w:pPr>
            <w:r>
              <w:rPr>
                <w:rFonts w:hint="eastAsia"/>
              </w:rPr>
              <w:t>4</w:t>
            </w:r>
          </w:p>
        </w:tc>
        <w:tc>
          <w:tcPr>
            <w:tcW w:w="1355" w:type="dxa"/>
            <w:vAlign w:val="center"/>
          </w:tcPr>
          <w:p>
            <w:pPr>
              <w:pStyle w:val="43"/>
            </w:pPr>
            <w:r>
              <w:rPr>
                <w:rFonts w:hint="eastAsia"/>
              </w:rPr>
              <w:t>Ⅱ类达标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vAlign w:val="center"/>
          </w:tcPr>
          <w:p>
            <w:pPr>
              <w:pStyle w:val="43"/>
            </w:pPr>
            <w:r>
              <w:rPr>
                <w:rFonts w:hint="eastAsia"/>
              </w:rPr>
              <w:t>化学需氧量</w:t>
            </w:r>
          </w:p>
        </w:tc>
        <w:tc>
          <w:tcPr>
            <w:tcW w:w="1134" w:type="dxa"/>
            <w:vAlign w:val="center"/>
          </w:tcPr>
          <w:p>
            <w:pPr>
              <w:pStyle w:val="43"/>
            </w:pPr>
            <w:r>
              <w:rPr>
                <w:rFonts w:hint="eastAsia"/>
              </w:rPr>
              <w:t>mg/L</w:t>
            </w:r>
          </w:p>
        </w:tc>
        <w:tc>
          <w:tcPr>
            <w:tcW w:w="1417" w:type="dxa"/>
            <w:vAlign w:val="center"/>
          </w:tcPr>
          <w:p>
            <w:pPr>
              <w:pStyle w:val="43"/>
            </w:pPr>
            <w:r>
              <w:rPr>
                <w:rFonts w:hint="eastAsia"/>
              </w:rPr>
              <w:t>1</w:t>
            </w:r>
            <w:r>
              <w:t>0</w:t>
            </w:r>
          </w:p>
        </w:tc>
        <w:tc>
          <w:tcPr>
            <w:tcW w:w="1276" w:type="dxa"/>
            <w:vAlign w:val="center"/>
          </w:tcPr>
          <w:p>
            <w:pPr>
              <w:pStyle w:val="43"/>
            </w:pPr>
            <w:r>
              <w:rPr>
                <w:rFonts w:hint="eastAsia"/>
              </w:rPr>
              <w:t>1</w:t>
            </w:r>
            <w:r>
              <w:t>2</w:t>
            </w:r>
          </w:p>
        </w:tc>
        <w:tc>
          <w:tcPr>
            <w:tcW w:w="1134" w:type="dxa"/>
            <w:vAlign w:val="center"/>
          </w:tcPr>
          <w:p>
            <w:pPr>
              <w:pStyle w:val="43"/>
            </w:pPr>
            <w:r>
              <w:rPr>
                <w:rFonts w:hint="eastAsia"/>
              </w:rPr>
              <w:t>1</w:t>
            </w:r>
            <w:r>
              <w:t>5</w:t>
            </w:r>
          </w:p>
        </w:tc>
        <w:tc>
          <w:tcPr>
            <w:tcW w:w="1355" w:type="dxa"/>
            <w:vAlign w:val="center"/>
          </w:tcPr>
          <w:p>
            <w:pPr>
              <w:pStyle w:val="43"/>
            </w:pPr>
            <w:r>
              <w:rPr>
                <w:rFonts w:hint="eastAsia"/>
              </w:rPr>
              <w:t>Ⅱ类达标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vAlign w:val="center"/>
          </w:tcPr>
          <w:p>
            <w:pPr>
              <w:pStyle w:val="43"/>
            </w:pPr>
            <w:r>
              <w:rPr>
                <w:rFonts w:hint="eastAsia"/>
              </w:rPr>
              <w:t>五日生化需氧量</w:t>
            </w:r>
          </w:p>
        </w:tc>
        <w:tc>
          <w:tcPr>
            <w:tcW w:w="1134" w:type="dxa"/>
            <w:vAlign w:val="center"/>
          </w:tcPr>
          <w:p>
            <w:pPr>
              <w:pStyle w:val="43"/>
            </w:pPr>
            <w:r>
              <w:rPr>
                <w:rFonts w:hint="eastAsia"/>
              </w:rPr>
              <w:t>mg/L</w:t>
            </w:r>
          </w:p>
        </w:tc>
        <w:tc>
          <w:tcPr>
            <w:tcW w:w="1417" w:type="dxa"/>
            <w:vAlign w:val="center"/>
          </w:tcPr>
          <w:p>
            <w:pPr>
              <w:pStyle w:val="43"/>
            </w:pPr>
            <w:r>
              <w:rPr>
                <w:rFonts w:hint="eastAsia"/>
              </w:rPr>
              <w:t>1</w:t>
            </w:r>
            <w:r>
              <w:t>.5</w:t>
            </w:r>
          </w:p>
        </w:tc>
        <w:tc>
          <w:tcPr>
            <w:tcW w:w="1276" w:type="dxa"/>
            <w:vAlign w:val="center"/>
          </w:tcPr>
          <w:p>
            <w:pPr>
              <w:pStyle w:val="43"/>
            </w:pPr>
            <w:r>
              <w:rPr>
                <w:rFonts w:hint="eastAsia"/>
              </w:rPr>
              <w:t>1</w:t>
            </w:r>
            <w:r>
              <w:t>.9</w:t>
            </w:r>
          </w:p>
        </w:tc>
        <w:tc>
          <w:tcPr>
            <w:tcW w:w="1134" w:type="dxa"/>
            <w:vAlign w:val="center"/>
          </w:tcPr>
          <w:p>
            <w:pPr>
              <w:pStyle w:val="43"/>
            </w:pPr>
            <w:r>
              <w:rPr>
                <w:rFonts w:hint="eastAsia"/>
              </w:rPr>
              <w:t>3</w:t>
            </w:r>
          </w:p>
        </w:tc>
        <w:tc>
          <w:tcPr>
            <w:tcW w:w="1355" w:type="dxa"/>
            <w:vAlign w:val="center"/>
          </w:tcPr>
          <w:p>
            <w:pPr>
              <w:pStyle w:val="43"/>
            </w:pPr>
            <w:r>
              <w:rPr>
                <w:rFonts w:hint="eastAsia"/>
              </w:rPr>
              <w:t>Ⅱ类达标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vAlign w:val="center"/>
          </w:tcPr>
          <w:p>
            <w:pPr>
              <w:pStyle w:val="43"/>
            </w:pPr>
            <w:r>
              <w:rPr>
                <w:rFonts w:hint="eastAsia"/>
              </w:rPr>
              <w:t>氨氮</w:t>
            </w:r>
          </w:p>
        </w:tc>
        <w:tc>
          <w:tcPr>
            <w:tcW w:w="1134" w:type="dxa"/>
            <w:vAlign w:val="center"/>
          </w:tcPr>
          <w:p>
            <w:pPr>
              <w:pStyle w:val="43"/>
            </w:pPr>
            <w:r>
              <w:rPr>
                <w:rFonts w:hint="eastAsia"/>
              </w:rPr>
              <w:t>mg/L</w:t>
            </w:r>
          </w:p>
        </w:tc>
        <w:tc>
          <w:tcPr>
            <w:tcW w:w="1417" w:type="dxa"/>
            <w:vAlign w:val="center"/>
          </w:tcPr>
          <w:p>
            <w:pPr>
              <w:pStyle w:val="43"/>
            </w:pPr>
            <w:r>
              <w:rPr>
                <w:rFonts w:hint="eastAsia"/>
              </w:rPr>
              <w:t>0.</w:t>
            </w:r>
            <w:r>
              <w:t>068</w:t>
            </w:r>
          </w:p>
        </w:tc>
        <w:tc>
          <w:tcPr>
            <w:tcW w:w="1276" w:type="dxa"/>
            <w:vAlign w:val="center"/>
          </w:tcPr>
          <w:p>
            <w:pPr>
              <w:pStyle w:val="43"/>
            </w:pPr>
            <w:r>
              <w:rPr>
                <w:rFonts w:hint="eastAsia"/>
              </w:rPr>
              <w:t>0</w:t>
            </w:r>
            <w:r>
              <w:t>.060</w:t>
            </w:r>
          </w:p>
        </w:tc>
        <w:tc>
          <w:tcPr>
            <w:tcW w:w="1134" w:type="dxa"/>
            <w:vAlign w:val="center"/>
          </w:tcPr>
          <w:p>
            <w:pPr>
              <w:pStyle w:val="43"/>
            </w:pPr>
            <w:r>
              <w:rPr>
                <w:rFonts w:hint="eastAsia"/>
              </w:rPr>
              <w:t>0</w:t>
            </w:r>
            <w:r>
              <w:t>.5</w:t>
            </w:r>
          </w:p>
        </w:tc>
        <w:tc>
          <w:tcPr>
            <w:tcW w:w="1355" w:type="dxa"/>
            <w:vAlign w:val="center"/>
          </w:tcPr>
          <w:p>
            <w:pPr>
              <w:pStyle w:val="43"/>
            </w:pPr>
            <w:r>
              <w:rPr>
                <w:rFonts w:hint="eastAsia"/>
              </w:rPr>
              <w:t>Ⅱ类达标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vAlign w:val="center"/>
          </w:tcPr>
          <w:p>
            <w:pPr>
              <w:pStyle w:val="43"/>
            </w:pPr>
            <w:r>
              <w:rPr>
                <w:rFonts w:hint="eastAsia"/>
              </w:rPr>
              <w:t>总磷</w:t>
            </w:r>
          </w:p>
        </w:tc>
        <w:tc>
          <w:tcPr>
            <w:tcW w:w="1134" w:type="dxa"/>
            <w:vAlign w:val="center"/>
          </w:tcPr>
          <w:p>
            <w:pPr>
              <w:pStyle w:val="43"/>
            </w:pPr>
            <w:r>
              <w:rPr>
                <w:rFonts w:hint="eastAsia"/>
              </w:rPr>
              <w:t>mg/L</w:t>
            </w:r>
          </w:p>
        </w:tc>
        <w:tc>
          <w:tcPr>
            <w:tcW w:w="1417" w:type="dxa"/>
            <w:vAlign w:val="center"/>
          </w:tcPr>
          <w:p>
            <w:pPr>
              <w:pStyle w:val="43"/>
            </w:pPr>
            <w:r>
              <w:t>0.10</w:t>
            </w:r>
          </w:p>
        </w:tc>
        <w:tc>
          <w:tcPr>
            <w:tcW w:w="1276" w:type="dxa"/>
            <w:vAlign w:val="center"/>
          </w:tcPr>
          <w:p>
            <w:pPr>
              <w:pStyle w:val="43"/>
            </w:pPr>
            <w:r>
              <w:rPr>
                <w:rFonts w:hint="eastAsia"/>
              </w:rPr>
              <w:t>0</w:t>
            </w:r>
            <w:r>
              <w:t>.08</w:t>
            </w:r>
          </w:p>
        </w:tc>
        <w:tc>
          <w:tcPr>
            <w:tcW w:w="1134" w:type="dxa"/>
            <w:vAlign w:val="center"/>
          </w:tcPr>
          <w:p>
            <w:pPr>
              <w:pStyle w:val="43"/>
            </w:pPr>
            <w:r>
              <w:rPr>
                <w:rFonts w:hint="eastAsia"/>
              </w:rPr>
              <w:t>0</w:t>
            </w:r>
            <w:r>
              <w:t>.1</w:t>
            </w:r>
          </w:p>
        </w:tc>
        <w:tc>
          <w:tcPr>
            <w:tcW w:w="1355" w:type="dxa"/>
            <w:vAlign w:val="center"/>
          </w:tcPr>
          <w:p>
            <w:pPr>
              <w:pStyle w:val="43"/>
            </w:pPr>
            <w:r>
              <w:rPr>
                <w:rFonts w:hint="eastAsia"/>
              </w:rPr>
              <w:t>Ⅱ类达标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vAlign w:val="center"/>
          </w:tcPr>
          <w:p>
            <w:pPr>
              <w:pStyle w:val="43"/>
            </w:pPr>
            <w:r>
              <w:rPr>
                <w:rFonts w:hint="eastAsia"/>
              </w:rPr>
              <w:t>总氮</w:t>
            </w:r>
            <w:r>
              <w:rPr>
                <w:rFonts w:hint="eastAsia" w:ascii="仿宋" w:hAnsi="仿宋"/>
              </w:rPr>
              <w:t>*</w:t>
            </w:r>
          </w:p>
        </w:tc>
        <w:tc>
          <w:tcPr>
            <w:tcW w:w="1134" w:type="dxa"/>
            <w:vAlign w:val="center"/>
          </w:tcPr>
          <w:p>
            <w:pPr>
              <w:pStyle w:val="43"/>
            </w:pPr>
            <w:r>
              <w:rPr>
                <w:rFonts w:hint="eastAsia"/>
              </w:rPr>
              <w:t>mg/L</w:t>
            </w:r>
          </w:p>
        </w:tc>
        <w:tc>
          <w:tcPr>
            <w:tcW w:w="1417" w:type="dxa"/>
            <w:vAlign w:val="center"/>
          </w:tcPr>
          <w:p>
            <w:pPr>
              <w:pStyle w:val="43"/>
            </w:pPr>
            <w:r>
              <w:rPr>
                <w:rFonts w:hint="eastAsia"/>
              </w:rPr>
              <w:t>1</w:t>
            </w:r>
            <w:r>
              <w:t>.23</w:t>
            </w:r>
          </w:p>
        </w:tc>
        <w:tc>
          <w:tcPr>
            <w:tcW w:w="1276" w:type="dxa"/>
            <w:vAlign w:val="center"/>
          </w:tcPr>
          <w:p>
            <w:pPr>
              <w:pStyle w:val="43"/>
            </w:pPr>
            <w:r>
              <w:rPr>
                <w:rFonts w:hint="eastAsia"/>
              </w:rPr>
              <w:t>1</w:t>
            </w:r>
            <w:r>
              <w:t>.25</w:t>
            </w:r>
          </w:p>
        </w:tc>
        <w:tc>
          <w:tcPr>
            <w:tcW w:w="1134" w:type="dxa"/>
            <w:vAlign w:val="center"/>
          </w:tcPr>
          <w:p>
            <w:pPr>
              <w:pStyle w:val="43"/>
            </w:pPr>
            <w:r>
              <w:t>-</w:t>
            </w:r>
          </w:p>
        </w:tc>
        <w:tc>
          <w:tcPr>
            <w:tcW w:w="1355" w:type="dxa"/>
            <w:vAlign w:val="center"/>
          </w:tcPr>
          <w:p>
            <w:pPr>
              <w:pStyle w:val="43"/>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vAlign w:val="center"/>
          </w:tcPr>
          <w:p>
            <w:pPr>
              <w:pStyle w:val="43"/>
            </w:pPr>
            <w:r>
              <w:rPr>
                <w:rFonts w:hint="eastAsia"/>
              </w:rPr>
              <w:t>氟化物</w:t>
            </w:r>
          </w:p>
        </w:tc>
        <w:tc>
          <w:tcPr>
            <w:tcW w:w="1134" w:type="dxa"/>
            <w:vAlign w:val="center"/>
          </w:tcPr>
          <w:p>
            <w:pPr>
              <w:pStyle w:val="43"/>
            </w:pPr>
            <w:r>
              <w:rPr>
                <w:rFonts w:hint="eastAsia"/>
              </w:rPr>
              <w:t>mg/L</w:t>
            </w:r>
          </w:p>
        </w:tc>
        <w:tc>
          <w:tcPr>
            <w:tcW w:w="1417" w:type="dxa"/>
            <w:vAlign w:val="center"/>
          </w:tcPr>
          <w:p>
            <w:pPr>
              <w:pStyle w:val="43"/>
            </w:pPr>
            <w:r>
              <w:rPr>
                <w:rFonts w:hint="eastAsia"/>
              </w:rPr>
              <w:t>0</w:t>
            </w:r>
            <w:r>
              <w:t>.204</w:t>
            </w:r>
          </w:p>
        </w:tc>
        <w:tc>
          <w:tcPr>
            <w:tcW w:w="1276" w:type="dxa"/>
            <w:vAlign w:val="center"/>
          </w:tcPr>
          <w:p>
            <w:pPr>
              <w:pStyle w:val="43"/>
            </w:pPr>
            <w:r>
              <w:rPr>
                <w:rFonts w:hint="eastAsia"/>
              </w:rPr>
              <w:t>0</w:t>
            </w:r>
            <w:r>
              <w:t>.247</w:t>
            </w:r>
          </w:p>
        </w:tc>
        <w:tc>
          <w:tcPr>
            <w:tcW w:w="1134" w:type="dxa"/>
            <w:vAlign w:val="center"/>
          </w:tcPr>
          <w:p>
            <w:pPr>
              <w:pStyle w:val="43"/>
            </w:pPr>
            <w:r>
              <w:rPr>
                <w:rFonts w:hint="eastAsia"/>
              </w:rPr>
              <w:t>1</w:t>
            </w:r>
          </w:p>
        </w:tc>
        <w:tc>
          <w:tcPr>
            <w:tcW w:w="1355" w:type="dxa"/>
            <w:vAlign w:val="center"/>
          </w:tcPr>
          <w:p>
            <w:pPr>
              <w:pStyle w:val="43"/>
            </w:pPr>
            <w:r>
              <w:rPr>
                <w:rFonts w:hint="eastAsia"/>
              </w:rPr>
              <w:t>Ⅱ类达标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vAlign w:val="center"/>
          </w:tcPr>
          <w:p>
            <w:pPr>
              <w:pStyle w:val="43"/>
            </w:pPr>
            <w:r>
              <w:rPr>
                <w:rFonts w:hint="eastAsia"/>
              </w:rPr>
              <w:t>氰化物</w:t>
            </w:r>
          </w:p>
        </w:tc>
        <w:tc>
          <w:tcPr>
            <w:tcW w:w="1134" w:type="dxa"/>
            <w:vAlign w:val="center"/>
          </w:tcPr>
          <w:p>
            <w:pPr>
              <w:pStyle w:val="43"/>
            </w:pPr>
            <w:r>
              <w:rPr>
                <w:rFonts w:hint="eastAsia"/>
              </w:rPr>
              <w:t>mg/L</w:t>
            </w:r>
          </w:p>
        </w:tc>
        <w:tc>
          <w:tcPr>
            <w:tcW w:w="1417" w:type="dxa"/>
            <w:vAlign w:val="center"/>
          </w:tcPr>
          <w:p>
            <w:pPr>
              <w:pStyle w:val="43"/>
            </w:pPr>
            <w:r>
              <w:rPr>
                <w:rFonts w:hint="eastAsia"/>
              </w:rPr>
              <w:t>未检出</w:t>
            </w:r>
          </w:p>
        </w:tc>
        <w:tc>
          <w:tcPr>
            <w:tcW w:w="1276" w:type="dxa"/>
            <w:vAlign w:val="center"/>
          </w:tcPr>
          <w:p>
            <w:pPr>
              <w:pStyle w:val="43"/>
            </w:pPr>
            <w:r>
              <w:rPr>
                <w:rFonts w:hint="eastAsia"/>
              </w:rPr>
              <w:t>未检出</w:t>
            </w:r>
          </w:p>
        </w:tc>
        <w:tc>
          <w:tcPr>
            <w:tcW w:w="1134" w:type="dxa"/>
            <w:vAlign w:val="center"/>
          </w:tcPr>
          <w:p>
            <w:pPr>
              <w:pStyle w:val="43"/>
            </w:pPr>
            <w:r>
              <w:rPr>
                <w:rFonts w:hint="eastAsia"/>
              </w:rPr>
              <w:t>0</w:t>
            </w:r>
            <w:r>
              <w:t>.05</w:t>
            </w:r>
          </w:p>
        </w:tc>
        <w:tc>
          <w:tcPr>
            <w:tcW w:w="1355" w:type="dxa"/>
            <w:vAlign w:val="center"/>
          </w:tcPr>
          <w:p>
            <w:pPr>
              <w:pStyle w:val="43"/>
            </w:pPr>
            <w:r>
              <w:rPr>
                <w:rFonts w:hint="eastAsia"/>
              </w:rPr>
              <w:t>Ⅱ类达标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vAlign w:val="center"/>
          </w:tcPr>
          <w:p>
            <w:pPr>
              <w:pStyle w:val="43"/>
            </w:pPr>
            <w:r>
              <w:rPr>
                <w:rFonts w:hint="eastAsia"/>
              </w:rPr>
              <w:t>挥发酚</w:t>
            </w:r>
          </w:p>
        </w:tc>
        <w:tc>
          <w:tcPr>
            <w:tcW w:w="1134" w:type="dxa"/>
            <w:vAlign w:val="center"/>
          </w:tcPr>
          <w:p>
            <w:pPr>
              <w:pStyle w:val="43"/>
            </w:pPr>
            <w:r>
              <w:rPr>
                <w:rFonts w:hint="eastAsia"/>
              </w:rPr>
              <w:t>mg/L</w:t>
            </w:r>
          </w:p>
        </w:tc>
        <w:tc>
          <w:tcPr>
            <w:tcW w:w="1417" w:type="dxa"/>
            <w:vAlign w:val="center"/>
          </w:tcPr>
          <w:p>
            <w:pPr>
              <w:pStyle w:val="43"/>
            </w:pPr>
            <w:r>
              <w:rPr>
                <w:rFonts w:hint="eastAsia"/>
              </w:rPr>
              <w:t>未检出</w:t>
            </w:r>
          </w:p>
        </w:tc>
        <w:tc>
          <w:tcPr>
            <w:tcW w:w="1276" w:type="dxa"/>
            <w:vAlign w:val="center"/>
          </w:tcPr>
          <w:p>
            <w:pPr>
              <w:pStyle w:val="43"/>
            </w:pPr>
            <w:r>
              <w:rPr>
                <w:rFonts w:hint="eastAsia"/>
              </w:rPr>
              <w:t>未检出</w:t>
            </w:r>
          </w:p>
        </w:tc>
        <w:tc>
          <w:tcPr>
            <w:tcW w:w="1134" w:type="dxa"/>
            <w:vAlign w:val="center"/>
          </w:tcPr>
          <w:p>
            <w:pPr>
              <w:pStyle w:val="43"/>
            </w:pPr>
            <w:r>
              <w:rPr>
                <w:rFonts w:hint="eastAsia"/>
              </w:rPr>
              <w:t>0</w:t>
            </w:r>
            <w:r>
              <w:t>.002</w:t>
            </w:r>
          </w:p>
        </w:tc>
        <w:tc>
          <w:tcPr>
            <w:tcW w:w="1355" w:type="dxa"/>
            <w:vAlign w:val="center"/>
          </w:tcPr>
          <w:p>
            <w:pPr>
              <w:pStyle w:val="43"/>
            </w:pPr>
            <w:r>
              <w:rPr>
                <w:rFonts w:hint="eastAsia"/>
              </w:rPr>
              <w:t>Ⅱ类达标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vAlign w:val="center"/>
          </w:tcPr>
          <w:p>
            <w:pPr>
              <w:pStyle w:val="43"/>
            </w:pPr>
            <w:r>
              <w:rPr>
                <w:rFonts w:hint="eastAsia"/>
              </w:rPr>
              <w:t>石油类</w:t>
            </w:r>
          </w:p>
        </w:tc>
        <w:tc>
          <w:tcPr>
            <w:tcW w:w="1134" w:type="dxa"/>
            <w:vAlign w:val="center"/>
          </w:tcPr>
          <w:p>
            <w:pPr>
              <w:pStyle w:val="43"/>
            </w:pPr>
            <w:r>
              <w:rPr>
                <w:rFonts w:hint="eastAsia"/>
              </w:rPr>
              <w:t>mg/L</w:t>
            </w:r>
          </w:p>
        </w:tc>
        <w:tc>
          <w:tcPr>
            <w:tcW w:w="1417" w:type="dxa"/>
            <w:vAlign w:val="center"/>
          </w:tcPr>
          <w:p>
            <w:pPr>
              <w:pStyle w:val="43"/>
            </w:pPr>
            <w:r>
              <w:rPr>
                <w:rFonts w:hint="eastAsia"/>
              </w:rPr>
              <w:t>0</w:t>
            </w:r>
            <w:r>
              <w:t>.02</w:t>
            </w:r>
          </w:p>
        </w:tc>
        <w:tc>
          <w:tcPr>
            <w:tcW w:w="1276" w:type="dxa"/>
            <w:vAlign w:val="center"/>
          </w:tcPr>
          <w:p>
            <w:pPr>
              <w:pStyle w:val="43"/>
            </w:pPr>
            <w:r>
              <w:rPr>
                <w:rFonts w:hint="eastAsia"/>
              </w:rPr>
              <w:t>0</w:t>
            </w:r>
            <w:r>
              <w:t>.02</w:t>
            </w:r>
          </w:p>
        </w:tc>
        <w:tc>
          <w:tcPr>
            <w:tcW w:w="1134" w:type="dxa"/>
            <w:vAlign w:val="center"/>
          </w:tcPr>
          <w:p>
            <w:pPr>
              <w:pStyle w:val="43"/>
            </w:pPr>
            <w:r>
              <w:rPr>
                <w:rFonts w:hint="eastAsia"/>
              </w:rPr>
              <w:t>0</w:t>
            </w:r>
            <w:r>
              <w:t>.05</w:t>
            </w:r>
          </w:p>
        </w:tc>
        <w:tc>
          <w:tcPr>
            <w:tcW w:w="1355" w:type="dxa"/>
            <w:vAlign w:val="center"/>
          </w:tcPr>
          <w:p>
            <w:pPr>
              <w:pStyle w:val="43"/>
            </w:pPr>
            <w:r>
              <w:rPr>
                <w:rFonts w:hint="eastAsia"/>
              </w:rPr>
              <w:t>Ⅱ类达标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vAlign w:val="center"/>
          </w:tcPr>
          <w:p>
            <w:pPr>
              <w:pStyle w:val="43"/>
            </w:pPr>
            <w:r>
              <w:rPr>
                <w:rFonts w:hint="eastAsia"/>
              </w:rPr>
              <w:t>阴离子表面活性剂</w:t>
            </w:r>
          </w:p>
        </w:tc>
        <w:tc>
          <w:tcPr>
            <w:tcW w:w="1134" w:type="dxa"/>
            <w:vAlign w:val="center"/>
          </w:tcPr>
          <w:p>
            <w:pPr>
              <w:pStyle w:val="43"/>
            </w:pPr>
            <w:r>
              <w:rPr>
                <w:rFonts w:hint="eastAsia"/>
              </w:rPr>
              <w:t>mg/L</w:t>
            </w:r>
          </w:p>
        </w:tc>
        <w:tc>
          <w:tcPr>
            <w:tcW w:w="1417" w:type="dxa"/>
            <w:vAlign w:val="center"/>
          </w:tcPr>
          <w:p>
            <w:pPr>
              <w:pStyle w:val="43"/>
            </w:pPr>
            <w:r>
              <w:rPr>
                <w:rFonts w:hint="eastAsia"/>
              </w:rPr>
              <w:t>未检出</w:t>
            </w:r>
          </w:p>
        </w:tc>
        <w:tc>
          <w:tcPr>
            <w:tcW w:w="1276" w:type="dxa"/>
            <w:vAlign w:val="center"/>
          </w:tcPr>
          <w:p>
            <w:pPr>
              <w:pStyle w:val="43"/>
            </w:pPr>
            <w:r>
              <w:rPr>
                <w:rFonts w:hint="eastAsia"/>
              </w:rPr>
              <w:t>未检出</w:t>
            </w:r>
          </w:p>
        </w:tc>
        <w:tc>
          <w:tcPr>
            <w:tcW w:w="1134" w:type="dxa"/>
            <w:vAlign w:val="center"/>
          </w:tcPr>
          <w:p>
            <w:pPr>
              <w:pStyle w:val="43"/>
            </w:pPr>
            <w:r>
              <w:rPr>
                <w:rFonts w:hint="eastAsia"/>
              </w:rPr>
              <w:t>0</w:t>
            </w:r>
            <w:r>
              <w:t>.2</w:t>
            </w:r>
          </w:p>
        </w:tc>
        <w:tc>
          <w:tcPr>
            <w:tcW w:w="1355" w:type="dxa"/>
            <w:vAlign w:val="center"/>
          </w:tcPr>
          <w:p>
            <w:pPr>
              <w:pStyle w:val="43"/>
            </w:pPr>
            <w:r>
              <w:rPr>
                <w:rFonts w:hint="eastAsia"/>
              </w:rPr>
              <w:t>Ⅱ类达标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vAlign w:val="center"/>
          </w:tcPr>
          <w:p>
            <w:pPr>
              <w:pStyle w:val="43"/>
            </w:pPr>
            <w:r>
              <w:rPr>
                <w:rFonts w:hint="eastAsia"/>
              </w:rPr>
              <w:t>硫化物</w:t>
            </w:r>
          </w:p>
        </w:tc>
        <w:tc>
          <w:tcPr>
            <w:tcW w:w="1134" w:type="dxa"/>
            <w:vAlign w:val="center"/>
          </w:tcPr>
          <w:p>
            <w:pPr>
              <w:pStyle w:val="43"/>
            </w:pPr>
            <w:r>
              <w:rPr>
                <w:rFonts w:hint="eastAsia"/>
              </w:rPr>
              <w:t>mg/L</w:t>
            </w:r>
          </w:p>
        </w:tc>
        <w:tc>
          <w:tcPr>
            <w:tcW w:w="1417" w:type="dxa"/>
            <w:vAlign w:val="center"/>
          </w:tcPr>
          <w:p>
            <w:pPr>
              <w:pStyle w:val="43"/>
            </w:pPr>
            <w:r>
              <w:rPr>
                <w:rFonts w:hint="eastAsia"/>
              </w:rPr>
              <w:t>未检出</w:t>
            </w:r>
          </w:p>
        </w:tc>
        <w:tc>
          <w:tcPr>
            <w:tcW w:w="1276" w:type="dxa"/>
            <w:vAlign w:val="center"/>
          </w:tcPr>
          <w:p>
            <w:pPr>
              <w:pStyle w:val="43"/>
            </w:pPr>
            <w:r>
              <w:rPr>
                <w:rFonts w:hint="eastAsia"/>
              </w:rPr>
              <w:t>未检出</w:t>
            </w:r>
          </w:p>
        </w:tc>
        <w:tc>
          <w:tcPr>
            <w:tcW w:w="1134" w:type="dxa"/>
            <w:vAlign w:val="center"/>
          </w:tcPr>
          <w:p>
            <w:pPr>
              <w:pStyle w:val="43"/>
            </w:pPr>
            <w:r>
              <w:rPr>
                <w:rFonts w:hint="eastAsia"/>
              </w:rPr>
              <w:t>0</w:t>
            </w:r>
            <w:r>
              <w:t>.1</w:t>
            </w:r>
          </w:p>
        </w:tc>
        <w:tc>
          <w:tcPr>
            <w:tcW w:w="1355" w:type="dxa"/>
            <w:vAlign w:val="center"/>
          </w:tcPr>
          <w:p>
            <w:pPr>
              <w:pStyle w:val="43"/>
            </w:pPr>
            <w:r>
              <w:rPr>
                <w:rFonts w:hint="eastAsia"/>
              </w:rPr>
              <w:t>Ⅱ类达标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vAlign w:val="center"/>
          </w:tcPr>
          <w:p>
            <w:pPr>
              <w:pStyle w:val="43"/>
            </w:pPr>
            <w:r>
              <w:rPr>
                <w:rFonts w:hint="eastAsia"/>
              </w:rPr>
              <w:t>粪大肠菌群</w:t>
            </w:r>
          </w:p>
        </w:tc>
        <w:tc>
          <w:tcPr>
            <w:tcW w:w="1134" w:type="dxa"/>
            <w:vAlign w:val="center"/>
          </w:tcPr>
          <w:p>
            <w:pPr>
              <w:pStyle w:val="43"/>
            </w:pPr>
            <w:r>
              <w:rPr>
                <w:rFonts w:hint="eastAsia"/>
              </w:rPr>
              <w:t>MPN/L</w:t>
            </w:r>
          </w:p>
        </w:tc>
        <w:tc>
          <w:tcPr>
            <w:tcW w:w="1417" w:type="dxa"/>
            <w:vAlign w:val="center"/>
          </w:tcPr>
          <w:p>
            <w:pPr>
              <w:pStyle w:val="43"/>
            </w:pPr>
            <w:r>
              <w:rPr>
                <w:rFonts w:hint="eastAsia"/>
              </w:rPr>
              <w:t>4</w:t>
            </w:r>
            <w:r>
              <w:t>.1</w:t>
            </w:r>
            <w:r>
              <w:rPr>
                <w:rFonts w:hint="eastAsia"/>
              </w:rPr>
              <w:t>×1</w:t>
            </w:r>
            <w:r>
              <w:t>0</w:t>
            </w:r>
            <w:r>
              <w:rPr>
                <w:vertAlign w:val="superscript"/>
              </w:rPr>
              <w:t>2</w:t>
            </w:r>
          </w:p>
        </w:tc>
        <w:tc>
          <w:tcPr>
            <w:tcW w:w="1276" w:type="dxa"/>
            <w:vAlign w:val="center"/>
          </w:tcPr>
          <w:p>
            <w:pPr>
              <w:pStyle w:val="43"/>
            </w:pPr>
            <w:r>
              <w:rPr>
                <w:rFonts w:hint="eastAsia"/>
              </w:rPr>
              <w:t>4</w:t>
            </w:r>
            <w:r>
              <w:t>.4</w:t>
            </w:r>
            <w:r>
              <w:rPr>
                <w:rFonts w:hint="eastAsia"/>
              </w:rPr>
              <w:t>×1</w:t>
            </w:r>
            <w:r>
              <w:t>0</w:t>
            </w:r>
            <w:r>
              <w:rPr>
                <w:vertAlign w:val="superscript"/>
              </w:rPr>
              <w:t>2</w:t>
            </w:r>
          </w:p>
        </w:tc>
        <w:tc>
          <w:tcPr>
            <w:tcW w:w="1134" w:type="dxa"/>
            <w:vAlign w:val="center"/>
          </w:tcPr>
          <w:p>
            <w:pPr>
              <w:pStyle w:val="43"/>
            </w:pPr>
            <w:r>
              <w:rPr>
                <w:rFonts w:hint="eastAsia"/>
              </w:rPr>
              <w:t>2</w:t>
            </w:r>
            <w:r>
              <w:t>000</w:t>
            </w:r>
          </w:p>
        </w:tc>
        <w:tc>
          <w:tcPr>
            <w:tcW w:w="1355" w:type="dxa"/>
            <w:vAlign w:val="center"/>
          </w:tcPr>
          <w:p>
            <w:pPr>
              <w:pStyle w:val="43"/>
            </w:pPr>
            <w:r>
              <w:rPr>
                <w:rFonts w:hint="eastAsia"/>
              </w:rPr>
              <w:t>Ⅱ类达标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vAlign w:val="center"/>
          </w:tcPr>
          <w:p>
            <w:pPr>
              <w:pStyle w:val="43"/>
            </w:pPr>
            <w:r>
              <w:rPr>
                <w:rFonts w:hint="eastAsia"/>
              </w:rPr>
              <w:t>硫酸盐</w:t>
            </w:r>
          </w:p>
        </w:tc>
        <w:tc>
          <w:tcPr>
            <w:tcW w:w="1134" w:type="dxa"/>
            <w:vAlign w:val="center"/>
          </w:tcPr>
          <w:p>
            <w:pPr>
              <w:pStyle w:val="43"/>
            </w:pPr>
            <w:r>
              <w:rPr>
                <w:rFonts w:hint="eastAsia"/>
              </w:rPr>
              <w:t>mg/L</w:t>
            </w:r>
          </w:p>
        </w:tc>
        <w:tc>
          <w:tcPr>
            <w:tcW w:w="1417" w:type="dxa"/>
            <w:vAlign w:val="center"/>
          </w:tcPr>
          <w:p>
            <w:pPr>
              <w:pStyle w:val="43"/>
            </w:pPr>
            <w:r>
              <w:rPr>
                <w:rFonts w:hint="eastAsia"/>
              </w:rPr>
              <w:t>1</w:t>
            </w:r>
            <w:r>
              <w:t>1.4</w:t>
            </w:r>
          </w:p>
        </w:tc>
        <w:tc>
          <w:tcPr>
            <w:tcW w:w="1276" w:type="dxa"/>
            <w:vAlign w:val="center"/>
          </w:tcPr>
          <w:p>
            <w:pPr>
              <w:pStyle w:val="43"/>
            </w:pPr>
            <w:r>
              <w:rPr>
                <w:rFonts w:hint="eastAsia"/>
              </w:rPr>
              <w:t>2</w:t>
            </w:r>
            <w:r>
              <w:t>3.2</w:t>
            </w:r>
          </w:p>
        </w:tc>
        <w:tc>
          <w:tcPr>
            <w:tcW w:w="1134" w:type="dxa"/>
            <w:vAlign w:val="center"/>
          </w:tcPr>
          <w:p>
            <w:pPr>
              <w:pStyle w:val="43"/>
            </w:pPr>
            <w:r>
              <w:rPr>
                <w:rFonts w:hint="eastAsia"/>
              </w:rPr>
              <w:t>2</w:t>
            </w:r>
            <w:r>
              <w:t>50</w:t>
            </w:r>
          </w:p>
        </w:tc>
        <w:tc>
          <w:tcPr>
            <w:tcW w:w="1355" w:type="dxa"/>
            <w:vAlign w:val="center"/>
          </w:tcPr>
          <w:p>
            <w:pPr>
              <w:pStyle w:val="43"/>
            </w:pPr>
            <w:r>
              <w:rPr>
                <w:rFonts w:hint="eastAsia"/>
              </w:rPr>
              <w:t>Ⅱ类达标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vAlign w:val="center"/>
          </w:tcPr>
          <w:p>
            <w:pPr>
              <w:pStyle w:val="43"/>
            </w:pPr>
            <w:r>
              <w:rPr>
                <w:rFonts w:hint="eastAsia"/>
              </w:rPr>
              <w:t>氯化物</w:t>
            </w:r>
          </w:p>
        </w:tc>
        <w:tc>
          <w:tcPr>
            <w:tcW w:w="1134" w:type="dxa"/>
            <w:vAlign w:val="center"/>
          </w:tcPr>
          <w:p>
            <w:pPr>
              <w:pStyle w:val="43"/>
            </w:pPr>
            <w:r>
              <w:rPr>
                <w:rFonts w:hint="eastAsia"/>
              </w:rPr>
              <w:t>mg/L</w:t>
            </w:r>
          </w:p>
        </w:tc>
        <w:tc>
          <w:tcPr>
            <w:tcW w:w="1417" w:type="dxa"/>
            <w:vAlign w:val="center"/>
          </w:tcPr>
          <w:p>
            <w:pPr>
              <w:pStyle w:val="43"/>
            </w:pPr>
            <w:r>
              <w:rPr>
                <w:rFonts w:hint="eastAsia"/>
              </w:rPr>
              <w:t>3</w:t>
            </w:r>
            <w:r>
              <w:t>.85</w:t>
            </w:r>
          </w:p>
        </w:tc>
        <w:tc>
          <w:tcPr>
            <w:tcW w:w="1276" w:type="dxa"/>
            <w:vAlign w:val="center"/>
          </w:tcPr>
          <w:p>
            <w:pPr>
              <w:pStyle w:val="43"/>
            </w:pPr>
            <w:r>
              <w:rPr>
                <w:rFonts w:hint="eastAsia"/>
              </w:rPr>
              <w:t>2</w:t>
            </w:r>
            <w:r>
              <w:t>.29</w:t>
            </w:r>
          </w:p>
        </w:tc>
        <w:tc>
          <w:tcPr>
            <w:tcW w:w="1134" w:type="dxa"/>
            <w:vAlign w:val="center"/>
          </w:tcPr>
          <w:p>
            <w:pPr>
              <w:pStyle w:val="43"/>
            </w:pPr>
            <w:r>
              <w:rPr>
                <w:rFonts w:hint="eastAsia"/>
              </w:rPr>
              <w:t>2</w:t>
            </w:r>
            <w:r>
              <w:t>50</w:t>
            </w:r>
          </w:p>
        </w:tc>
        <w:tc>
          <w:tcPr>
            <w:tcW w:w="1355" w:type="dxa"/>
            <w:vAlign w:val="center"/>
          </w:tcPr>
          <w:p>
            <w:pPr>
              <w:pStyle w:val="43"/>
            </w:pPr>
            <w:r>
              <w:rPr>
                <w:rFonts w:hint="eastAsia"/>
              </w:rPr>
              <w:t>Ⅱ类达标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vAlign w:val="center"/>
          </w:tcPr>
          <w:p>
            <w:pPr>
              <w:pStyle w:val="43"/>
            </w:pPr>
            <w:r>
              <w:rPr>
                <w:rFonts w:hint="eastAsia"/>
              </w:rPr>
              <w:t>硝酸盐</w:t>
            </w:r>
          </w:p>
        </w:tc>
        <w:tc>
          <w:tcPr>
            <w:tcW w:w="1134" w:type="dxa"/>
            <w:vAlign w:val="center"/>
          </w:tcPr>
          <w:p>
            <w:pPr>
              <w:pStyle w:val="43"/>
            </w:pPr>
            <w:r>
              <w:rPr>
                <w:rFonts w:hint="eastAsia"/>
              </w:rPr>
              <w:t>mg/L</w:t>
            </w:r>
          </w:p>
        </w:tc>
        <w:tc>
          <w:tcPr>
            <w:tcW w:w="1417" w:type="dxa"/>
            <w:vAlign w:val="center"/>
          </w:tcPr>
          <w:p>
            <w:pPr>
              <w:pStyle w:val="43"/>
            </w:pPr>
            <w:r>
              <w:rPr>
                <w:rFonts w:hint="eastAsia"/>
              </w:rPr>
              <w:t>0</w:t>
            </w:r>
            <w:r>
              <w:t>.906</w:t>
            </w:r>
          </w:p>
        </w:tc>
        <w:tc>
          <w:tcPr>
            <w:tcW w:w="1276" w:type="dxa"/>
            <w:vAlign w:val="center"/>
          </w:tcPr>
          <w:p>
            <w:pPr>
              <w:pStyle w:val="43"/>
            </w:pPr>
            <w:r>
              <w:rPr>
                <w:rFonts w:hint="eastAsia"/>
              </w:rPr>
              <w:t>0</w:t>
            </w:r>
            <w:r>
              <w:t>.897</w:t>
            </w:r>
          </w:p>
        </w:tc>
        <w:tc>
          <w:tcPr>
            <w:tcW w:w="1134" w:type="dxa"/>
            <w:vAlign w:val="center"/>
          </w:tcPr>
          <w:p>
            <w:pPr>
              <w:pStyle w:val="43"/>
            </w:pPr>
            <w:r>
              <w:rPr>
                <w:rFonts w:hint="eastAsia"/>
              </w:rPr>
              <w:t>1</w:t>
            </w:r>
            <w:r>
              <w:t>0</w:t>
            </w:r>
          </w:p>
        </w:tc>
        <w:tc>
          <w:tcPr>
            <w:tcW w:w="1355" w:type="dxa"/>
            <w:vAlign w:val="center"/>
          </w:tcPr>
          <w:p>
            <w:pPr>
              <w:pStyle w:val="43"/>
            </w:pPr>
            <w:r>
              <w:rPr>
                <w:rFonts w:hint="eastAsia"/>
              </w:rPr>
              <w:t>Ⅱ类达标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vAlign w:val="center"/>
          </w:tcPr>
          <w:p>
            <w:pPr>
              <w:pStyle w:val="43"/>
            </w:pPr>
            <w:r>
              <w:rPr>
                <w:rFonts w:hint="eastAsia"/>
              </w:rPr>
              <w:t>备注</w:t>
            </w:r>
          </w:p>
        </w:tc>
        <w:tc>
          <w:tcPr>
            <w:tcW w:w="6316" w:type="dxa"/>
            <w:gridSpan w:val="5"/>
            <w:vAlign w:val="center"/>
          </w:tcPr>
          <w:p>
            <w:pPr>
              <w:pStyle w:val="43"/>
              <w:jc w:val="left"/>
            </w:pPr>
            <w:r>
              <w:rPr>
                <w:rFonts w:hint="eastAsia"/>
              </w:rPr>
              <w:t>带</w:t>
            </w:r>
            <w:r>
              <w:rPr>
                <w:rFonts w:hint="eastAsia" w:ascii="仿宋" w:hAnsi="仿宋"/>
              </w:rPr>
              <w:t>*</w:t>
            </w:r>
            <w:r>
              <w:rPr>
                <w:rFonts w:hint="eastAsia"/>
              </w:rPr>
              <w:t>项目为参考指标单独评价，不参与总体评价</w:t>
            </w:r>
          </w:p>
        </w:tc>
      </w:tr>
    </w:tbl>
    <w:p>
      <w:pPr>
        <w:ind w:firstLine="0" w:firstLineChars="0"/>
        <w:rPr>
          <w:b/>
        </w:rPr>
      </w:pPr>
    </w:p>
    <w:p>
      <w:pPr>
        <w:pStyle w:val="58"/>
        <w:rPr>
          <w:color w:val="auto"/>
        </w:rPr>
      </w:pPr>
      <w:r>
        <w:rPr>
          <w:rFonts w:hint="eastAsia"/>
          <w:color w:val="auto"/>
        </w:rPr>
        <w:t>表</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4.3</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6</w:t>
      </w:r>
      <w:r>
        <w:rPr>
          <w:color w:val="auto"/>
        </w:rPr>
        <w:fldChar w:fldCharType="end"/>
      </w:r>
      <w:r>
        <w:rPr>
          <w:color w:val="auto"/>
        </w:rPr>
        <w:t xml:space="preserve">  </w:t>
      </w:r>
      <w:r>
        <w:rPr>
          <w:rFonts w:hint="eastAsia"/>
          <w:color w:val="auto"/>
        </w:rPr>
        <w:t>盐井河</w:t>
      </w:r>
      <w:r>
        <w:rPr>
          <w:color w:val="auto"/>
        </w:rPr>
        <w:t>10</w:t>
      </w:r>
      <w:r>
        <w:rPr>
          <w:rFonts w:hint="eastAsia"/>
          <w:color w:val="auto"/>
        </w:rPr>
        <w:t>月补充水质监测取样信息</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1417"/>
        <w:gridCol w:w="2268"/>
        <w:gridCol w:w="992"/>
        <w:gridCol w:w="1301"/>
        <w:gridCol w:w="13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pPr>
              <w:pStyle w:val="43"/>
              <w:spacing w:before="120" w:after="120"/>
            </w:pPr>
            <w:r>
              <w:rPr>
                <w:rFonts w:hint="eastAsia"/>
              </w:rPr>
              <w:t>河流</w:t>
            </w:r>
          </w:p>
        </w:tc>
        <w:tc>
          <w:tcPr>
            <w:tcW w:w="1417" w:type="dxa"/>
            <w:vAlign w:val="center"/>
          </w:tcPr>
          <w:p>
            <w:pPr>
              <w:pStyle w:val="43"/>
              <w:spacing w:before="120" w:after="120"/>
            </w:pPr>
            <w:r>
              <w:rPr>
                <w:rFonts w:hint="eastAsia"/>
              </w:rPr>
              <w:t>监测断面</w:t>
            </w:r>
          </w:p>
        </w:tc>
        <w:tc>
          <w:tcPr>
            <w:tcW w:w="2268" w:type="dxa"/>
            <w:vAlign w:val="center"/>
          </w:tcPr>
          <w:p>
            <w:pPr>
              <w:pStyle w:val="43"/>
              <w:spacing w:before="120" w:after="120"/>
            </w:pPr>
            <w:r>
              <w:rPr>
                <w:rFonts w:hint="eastAsia"/>
              </w:rPr>
              <w:t>检测项目</w:t>
            </w:r>
          </w:p>
        </w:tc>
        <w:tc>
          <w:tcPr>
            <w:tcW w:w="992" w:type="dxa"/>
            <w:vAlign w:val="center"/>
          </w:tcPr>
          <w:p>
            <w:pPr>
              <w:pStyle w:val="43"/>
              <w:spacing w:before="120" w:after="120"/>
            </w:pPr>
            <w:r>
              <w:rPr>
                <w:rFonts w:hint="eastAsia"/>
              </w:rPr>
              <w:t>检测频次</w:t>
            </w:r>
          </w:p>
        </w:tc>
        <w:tc>
          <w:tcPr>
            <w:tcW w:w="1301" w:type="dxa"/>
            <w:vAlign w:val="center"/>
          </w:tcPr>
          <w:p>
            <w:pPr>
              <w:pStyle w:val="43"/>
              <w:spacing w:before="120" w:after="120"/>
            </w:pPr>
            <w:r>
              <w:rPr>
                <w:rFonts w:hint="eastAsia"/>
              </w:rPr>
              <w:t>采样时间</w:t>
            </w:r>
          </w:p>
        </w:tc>
        <w:tc>
          <w:tcPr>
            <w:tcW w:w="1330" w:type="dxa"/>
            <w:vAlign w:val="center"/>
          </w:tcPr>
          <w:p>
            <w:pPr>
              <w:pStyle w:val="43"/>
              <w:spacing w:before="120" w:after="120"/>
            </w:pPr>
            <w:r>
              <w:rPr>
                <w:rFonts w:hint="eastAsia"/>
              </w:rPr>
              <w:t>样品性状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trPr>
        <w:tc>
          <w:tcPr>
            <w:tcW w:w="988" w:type="dxa"/>
            <w:vAlign w:val="center"/>
          </w:tcPr>
          <w:p>
            <w:pPr>
              <w:pStyle w:val="43"/>
              <w:spacing w:before="120" w:after="120"/>
            </w:pPr>
            <w:r>
              <w:rPr>
                <w:rFonts w:hint="eastAsia"/>
              </w:rPr>
              <w:t>盐井河</w:t>
            </w:r>
          </w:p>
        </w:tc>
        <w:tc>
          <w:tcPr>
            <w:tcW w:w="1417" w:type="dxa"/>
            <w:vAlign w:val="center"/>
          </w:tcPr>
          <w:p>
            <w:pPr>
              <w:pStyle w:val="43"/>
              <w:spacing w:before="120" w:after="120"/>
            </w:pPr>
            <w:r>
              <w:rPr>
                <w:rFonts w:hint="eastAsia"/>
              </w:rPr>
              <w:t>群建村</w:t>
            </w:r>
          </w:p>
          <w:p>
            <w:pPr>
              <w:pStyle w:val="43"/>
              <w:spacing w:before="120" w:after="120"/>
            </w:pPr>
            <w:r>
              <w:rPr>
                <w:rFonts w:hint="eastAsia"/>
              </w:rPr>
              <w:t>（入境）</w:t>
            </w:r>
          </w:p>
        </w:tc>
        <w:tc>
          <w:tcPr>
            <w:tcW w:w="2268" w:type="dxa"/>
            <w:vMerge w:val="restart"/>
            <w:vAlign w:val="center"/>
          </w:tcPr>
          <w:p>
            <w:pPr>
              <w:pStyle w:val="43"/>
              <w:spacing w:before="120" w:after="120"/>
            </w:pPr>
            <w:r>
              <w:rPr>
                <w:rFonts w:hint="eastAsia"/>
              </w:rPr>
              <w:t>水温、p</w:t>
            </w:r>
            <w:r>
              <w:t>H</w:t>
            </w:r>
            <w:r>
              <w:rPr>
                <w:rFonts w:hint="eastAsia"/>
              </w:rPr>
              <w:t>、溶解氧、高锰酸钾指数、五日生化需氧量、氨氮、总磷、总氮、氟化物、氰化物、挥发酚、石油类、阴离子表面活性剂、硫化物、粪类大肠杆菌、化学需氧量、硫酸盐、氯化物、硝酸盐</w:t>
            </w:r>
          </w:p>
        </w:tc>
        <w:tc>
          <w:tcPr>
            <w:tcW w:w="992" w:type="dxa"/>
            <w:vAlign w:val="center"/>
          </w:tcPr>
          <w:p>
            <w:pPr>
              <w:pStyle w:val="43"/>
            </w:pPr>
            <w:r>
              <w:rPr>
                <w:rFonts w:hint="eastAsia"/>
              </w:rPr>
              <w:t>1天1次</w:t>
            </w:r>
          </w:p>
        </w:tc>
        <w:tc>
          <w:tcPr>
            <w:tcW w:w="1301" w:type="dxa"/>
            <w:vAlign w:val="center"/>
          </w:tcPr>
          <w:p>
            <w:pPr>
              <w:pStyle w:val="43"/>
            </w:pPr>
            <w:r>
              <w:t>10</w:t>
            </w:r>
            <w:r>
              <w:rPr>
                <w:rFonts w:hint="eastAsia"/>
              </w:rPr>
              <w:t>月1</w:t>
            </w:r>
            <w:r>
              <w:t>5</w:t>
            </w:r>
            <w:r>
              <w:rPr>
                <w:rFonts w:hint="eastAsia"/>
              </w:rPr>
              <w:t>日</w:t>
            </w:r>
          </w:p>
          <w:p>
            <w:pPr>
              <w:pStyle w:val="43"/>
            </w:pPr>
          </w:p>
        </w:tc>
        <w:tc>
          <w:tcPr>
            <w:tcW w:w="1330" w:type="dxa"/>
            <w:vAlign w:val="center"/>
          </w:tcPr>
          <w:p>
            <w:pPr>
              <w:pStyle w:val="43"/>
            </w:pPr>
            <w:r>
              <w:rPr>
                <w:rFonts w:hint="eastAsia"/>
              </w:rPr>
              <w:t>清澈、无臭、无浮油、无色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pPr>
              <w:pStyle w:val="43"/>
            </w:pPr>
            <w:r>
              <w:rPr>
                <w:rFonts w:hint="eastAsia"/>
              </w:rPr>
              <w:t>盐井河</w:t>
            </w:r>
          </w:p>
        </w:tc>
        <w:tc>
          <w:tcPr>
            <w:tcW w:w="1417" w:type="dxa"/>
            <w:vAlign w:val="center"/>
          </w:tcPr>
          <w:p>
            <w:pPr>
              <w:pStyle w:val="43"/>
            </w:pPr>
            <w:r>
              <w:rPr>
                <w:rFonts w:hint="eastAsia"/>
              </w:rPr>
              <w:t>双汇小学（汇口前）</w:t>
            </w:r>
          </w:p>
        </w:tc>
        <w:tc>
          <w:tcPr>
            <w:tcW w:w="2268" w:type="dxa"/>
            <w:vMerge w:val="continue"/>
            <w:vAlign w:val="center"/>
          </w:tcPr>
          <w:p>
            <w:pPr>
              <w:pStyle w:val="43"/>
            </w:pPr>
          </w:p>
        </w:tc>
        <w:tc>
          <w:tcPr>
            <w:tcW w:w="992" w:type="dxa"/>
            <w:vAlign w:val="center"/>
          </w:tcPr>
          <w:p>
            <w:pPr>
              <w:pStyle w:val="43"/>
            </w:pPr>
            <w:r>
              <w:rPr>
                <w:rFonts w:hint="eastAsia"/>
              </w:rPr>
              <w:t>1天1次</w:t>
            </w:r>
          </w:p>
        </w:tc>
        <w:tc>
          <w:tcPr>
            <w:tcW w:w="1301" w:type="dxa"/>
            <w:vAlign w:val="center"/>
          </w:tcPr>
          <w:p>
            <w:pPr>
              <w:pStyle w:val="43"/>
            </w:pPr>
            <w:r>
              <w:t>10</w:t>
            </w:r>
            <w:r>
              <w:rPr>
                <w:rFonts w:hint="eastAsia"/>
              </w:rPr>
              <w:t>月1</w:t>
            </w:r>
            <w:r>
              <w:t>5</w:t>
            </w:r>
            <w:r>
              <w:rPr>
                <w:rFonts w:hint="eastAsia"/>
              </w:rPr>
              <w:t>日</w:t>
            </w:r>
          </w:p>
        </w:tc>
        <w:tc>
          <w:tcPr>
            <w:tcW w:w="1330" w:type="dxa"/>
            <w:vAlign w:val="center"/>
          </w:tcPr>
          <w:p>
            <w:pPr>
              <w:pStyle w:val="43"/>
            </w:pPr>
            <w:r>
              <w:rPr>
                <w:rFonts w:hint="eastAsia"/>
              </w:rPr>
              <w:t>清澈、无臭、无浮油、无色</w:t>
            </w:r>
          </w:p>
        </w:tc>
      </w:tr>
    </w:tbl>
    <w:p>
      <w:pPr>
        <w:pStyle w:val="58"/>
        <w:rPr>
          <w:color w:val="auto"/>
        </w:rPr>
      </w:pPr>
      <w:r>
        <w:rPr>
          <w:rFonts w:hint="eastAsia"/>
          <w:color w:val="auto"/>
        </w:rPr>
        <w:t>表</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4.3</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7</w:t>
      </w:r>
      <w:r>
        <w:rPr>
          <w:color w:val="auto"/>
        </w:rPr>
        <w:fldChar w:fldCharType="end"/>
      </w:r>
      <w:r>
        <w:rPr>
          <w:color w:val="auto"/>
        </w:rPr>
        <w:t xml:space="preserve">  </w:t>
      </w:r>
      <w:r>
        <w:rPr>
          <w:rFonts w:hint="eastAsia"/>
          <w:color w:val="auto"/>
        </w:rPr>
        <w:t>盐井河</w:t>
      </w:r>
      <w:r>
        <w:rPr>
          <w:color w:val="auto"/>
        </w:rPr>
        <w:t>10</w:t>
      </w:r>
      <w:r>
        <w:rPr>
          <w:rFonts w:hint="eastAsia"/>
          <w:color w:val="auto"/>
        </w:rPr>
        <w:t>月补充监测水质检测成果表</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0"/>
        <w:gridCol w:w="1134"/>
        <w:gridCol w:w="1417"/>
        <w:gridCol w:w="1276"/>
        <w:gridCol w:w="1134"/>
        <w:gridCol w:w="1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vMerge w:val="restart"/>
            <w:vAlign w:val="center"/>
          </w:tcPr>
          <w:p>
            <w:pPr>
              <w:pStyle w:val="43"/>
            </w:pPr>
            <w:r>
              <w:rPr>
                <w:rFonts w:hint="eastAsia"/>
              </w:rPr>
              <w:t>检测项目</w:t>
            </w:r>
          </w:p>
        </w:tc>
        <w:tc>
          <w:tcPr>
            <w:tcW w:w="1134" w:type="dxa"/>
            <w:vMerge w:val="restart"/>
            <w:vAlign w:val="center"/>
          </w:tcPr>
          <w:p>
            <w:pPr>
              <w:pStyle w:val="43"/>
            </w:pPr>
            <w:r>
              <w:rPr>
                <w:rFonts w:hint="eastAsia"/>
              </w:rPr>
              <w:t>单位</w:t>
            </w:r>
          </w:p>
        </w:tc>
        <w:tc>
          <w:tcPr>
            <w:tcW w:w="2693" w:type="dxa"/>
            <w:gridSpan w:val="2"/>
            <w:vAlign w:val="center"/>
          </w:tcPr>
          <w:p>
            <w:pPr>
              <w:pStyle w:val="43"/>
            </w:pPr>
            <w:r>
              <w:rPr>
                <w:rFonts w:hint="eastAsia"/>
              </w:rPr>
              <w:t>检测结果</w:t>
            </w:r>
          </w:p>
        </w:tc>
        <w:tc>
          <w:tcPr>
            <w:tcW w:w="1134" w:type="dxa"/>
            <w:vMerge w:val="restart"/>
            <w:vAlign w:val="center"/>
          </w:tcPr>
          <w:p>
            <w:pPr>
              <w:pStyle w:val="43"/>
            </w:pPr>
            <w:r>
              <w:rPr>
                <w:rFonts w:hint="eastAsia"/>
              </w:rPr>
              <w:t>Ⅱ类标准限值</w:t>
            </w:r>
          </w:p>
        </w:tc>
        <w:tc>
          <w:tcPr>
            <w:tcW w:w="1355" w:type="dxa"/>
            <w:vMerge w:val="restart"/>
            <w:vAlign w:val="center"/>
          </w:tcPr>
          <w:p>
            <w:pPr>
              <w:pStyle w:val="43"/>
            </w:pPr>
            <w:r>
              <w:rPr>
                <w:rFonts w:hint="eastAsia"/>
              </w:rPr>
              <w:t>水质类别评价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vMerge w:val="continue"/>
            <w:vAlign w:val="center"/>
          </w:tcPr>
          <w:p>
            <w:pPr>
              <w:pStyle w:val="43"/>
            </w:pPr>
          </w:p>
        </w:tc>
        <w:tc>
          <w:tcPr>
            <w:tcW w:w="1134" w:type="dxa"/>
            <w:vMerge w:val="continue"/>
            <w:vAlign w:val="center"/>
          </w:tcPr>
          <w:p>
            <w:pPr>
              <w:pStyle w:val="43"/>
            </w:pPr>
          </w:p>
        </w:tc>
        <w:tc>
          <w:tcPr>
            <w:tcW w:w="1417" w:type="dxa"/>
            <w:vAlign w:val="center"/>
          </w:tcPr>
          <w:p>
            <w:pPr>
              <w:pStyle w:val="43"/>
            </w:pPr>
            <w:r>
              <w:rPr>
                <w:rFonts w:hint="eastAsia"/>
              </w:rPr>
              <w:t>入境（群建村）</w:t>
            </w:r>
          </w:p>
        </w:tc>
        <w:tc>
          <w:tcPr>
            <w:tcW w:w="1276" w:type="dxa"/>
            <w:vAlign w:val="center"/>
          </w:tcPr>
          <w:p>
            <w:pPr>
              <w:pStyle w:val="43"/>
            </w:pPr>
            <w:r>
              <w:rPr>
                <w:rFonts w:hint="eastAsia"/>
              </w:rPr>
              <w:t>汇口（双汇小学）</w:t>
            </w:r>
          </w:p>
        </w:tc>
        <w:tc>
          <w:tcPr>
            <w:tcW w:w="1134" w:type="dxa"/>
            <w:vMerge w:val="continue"/>
            <w:vAlign w:val="center"/>
          </w:tcPr>
          <w:p>
            <w:pPr>
              <w:pStyle w:val="43"/>
            </w:pPr>
          </w:p>
        </w:tc>
        <w:tc>
          <w:tcPr>
            <w:tcW w:w="1355" w:type="dxa"/>
            <w:vMerge w:val="continue"/>
            <w:vAlign w:val="center"/>
          </w:tcPr>
          <w:p>
            <w:pPr>
              <w:pStyle w:val="4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vAlign w:val="center"/>
          </w:tcPr>
          <w:p>
            <w:pPr>
              <w:pStyle w:val="43"/>
            </w:pPr>
            <w:r>
              <w:rPr>
                <w:rFonts w:hint="eastAsia"/>
              </w:rPr>
              <w:t>水温</w:t>
            </w:r>
            <w:r>
              <w:rPr>
                <w:rFonts w:hint="eastAsia" w:ascii="仿宋" w:hAnsi="仿宋"/>
              </w:rPr>
              <w:t>*</w:t>
            </w:r>
          </w:p>
        </w:tc>
        <w:tc>
          <w:tcPr>
            <w:tcW w:w="1134" w:type="dxa"/>
            <w:vAlign w:val="center"/>
          </w:tcPr>
          <w:p>
            <w:pPr>
              <w:pStyle w:val="43"/>
            </w:pPr>
            <w:r>
              <w:rPr>
                <w:rFonts w:hint="eastAsia"/>
              </w:rPr>
              <w:t>℃</w:t>
            </w:r>
          </w:p>
        </w:tc>
        <w:tc>
          <w:tcPr>
            <w:tcW w:w="1417" w:type="dxa"/>
            <w:vAlign w:val="center"/>
          </w:tcPr>
          <w:p>
            <w:pPr>
              <w:pStyle w:val="43"/>
            </w:pPr>
            <w:r>
              <w:t>14</w:t>
            </w:r>
          </w:p>
        </w:tc>
        <w:tc>
          <w:tcPr>
            <w:tcW w:w="1276" w:type="dxa"/>
            <w:vAlign w:val="center"/>
          </w:tcPr>
          <w:p>
            <w:pPr>
              <w:pStyle w:val="43"/>
            </w:pPr>
            <w:r>
              <w:t>12.5</w:t>
            </w:r>
          </w:p>
        </w:tc>
        <w:tc>
          <w:tcPr>
            <w:tcW w:w="1134" w:type="dxa"/>
            <w:vAlign w:val="center"/>
          </w:tcPr>
          <w:p>
            <w:pPr>
              <w:pStyle w:val="43"/>
            </w:pPr>
            <w:r>
              <w:rPr>
                <w:rFonts w:hint="eastAsia"/>
              </w:rPr>
              <w:t>-</w:t>
            </w:r>
          </w:p>
        </w:tc>
        <w:tc>
          <w:tcPr>
            <w:tcW w:w="1355" w:type="dxa"/>
            <w:vAlign w:val="center"/>
          </w:tcPr>
          <w:p>
            <w:pPr>
              <w:pStyle w:val="43"/>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vAlign w:val="center"/>
          </w:tcPr>
          <w:p>
            <w:pPr>
              <w:pStyle w:val="43"/>
            </w:pPr>
            <w:r>
              <w:t>pH</w:t>
            </w:r>
          </w:p>
        </w:tc>
        <w:tc>
          <w:tcPr>
            <w:tcW w:w="1134" w:type="dxa"/>
            <w:vAlign w:val="center"/>
          </w:tcPr>
          <w:p>
            <w:pPr>
              <w:pStyle w:val="43"/>
            </w:pPr>
            <w:r>
              <w:rPr>
                <w:rFonts w:hint="eastAsia"/>
              </w:rPr>
              <w:t>无量纲</w:t>
            </w:r>
          </w:p>
        </w:tc>
        <w:tc>
          <w:tcPr>
            <w:tcW w:w="1417" w:type="dxa"/>
            <w:vAlign w:val="center"/>
          </w:tcPr>
          <w:p>
            <w:pPr>
              <w:pStyle w:val="43"/>
            </w:pPr>
            <w:r>
              <w:t>8.0</w:t>
            </w:r>
          </w:p>
        </w:tc>
        <w:tc>
          <w:tcPr>
            <w:tcW w:w="1276" w:type="dxa"/>
            <w:vAlign w:val="center"/>
          </w:tcPr>
          <w:p>
            <w:pPr>
              <w:pStyle w:val="43"/>
            </w:pPr>
            <w:r>
              <w:rPr>
                <w:rFonts w:hint="eastAsia"/>
              </w:rPr>
              <w:t>7</w:t>
            </w:r>
            <w:r>
              <w:t>.8</w:t>
            </w:r>
          </w:p>
        </w:tc>
        <w:tc>
          <w:tcPr>
            <w:tcW w:w="1134" w:type="dxa"/>
            <w:vAlign w:val="center"/>
          </w:tcPr>
          <w:p>
            <w:pPr>
              <w:pStyle w:val="43"/>
            </w:pPr>
            <w:r>
              <w:rPr>
                <w:rFonts w:hint="eastAsia"/>
              </w:rPr>
              <w:t>6~</w:t>
            </w:r>
            <w:r>
              <w:t>9</w:t>
            </w:r>
          </w:p>
        </w:tc>
        <w:tc>
          <w:tcPr>
            <w:tcW w:w="1355" w:type="dxa"/>
            <w:vAlign w:val="center"/>
          </w:tcPr>
          <w:p>
            <w:pPr>
              <w:pStyle w:val="43"/>
            </w:pPr>
            <w:r>
              <w:rPr>
                <w:rFonts w:hint="eastAsia"/>
              </w:rPr>
              <w:t>Ⅱ类达标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vAlign w:val="center"/>
          </w:tcPr>
          <w:p>
            <w:pPr>
              <w:pStyle w:val="43"/>
            </w:pPr>
            <w:r>
              <w:rPr>
                <w:rFonts w:hint="eastAsia"/>
              </w:rPr>
              <w:t>溶解氧</w:t>
            </w:r>
          </w:p>
        </w:tc>
        <w:tc>
          <w:tcPr>
            <w:tcW w:w="1134" w:type="dxa"/>
            <w:vAlign w:val="center"/>
          </w:tcPr>
          <w:p>
            <w:pPr>
              <w:pStyle w:val="43"/>
            </w:pPr>
            <w:r>
              <w:rPr>
                <w:rFonts w:hint="eastAsia"/>
              </w:rPr>
              <w:t>mg/L</w:t>
            </w:r>
          </w:p>
        </w:tc>
        <w:tc>
          <w:tcPr>
            <w:tcW w:w="1417" w:type="dxa"/>
            <w:vAlign w:val="center"/>
          </w:tcPr>
          <w:p>
            <w:pPr>
              <w:pStyle w:val="43"/>
            </w:pPr>
            <w:r>
              <w:rPr>
                <w:rFonts w:hint="eastAsia"/>
              </w:rPr>
              <w:t>7</w:t>
            </w:r>
            <w:r>
              <w:t>.9</w:t>
            </w:r>
          </w:p>
        </w:tc>
        <w:tc>
          <w:tcPr>
            <w:tcW w:w="1276" w:type="dxa"/>
            <w:vAlign w:val="center"/>
          </w:tcPr>
          <w:p>
            <w:pPr>
              <w:pStyle w:val="43"/>
            </w:pPr>
            <w:r>
              <w:t>8.1</w:t>
            </w:r>
          </w:p>
        </w:tc>
        <w:tc>
          <w:tcPr>
            <w:tcW w:w="1134" w:type="dxa"/>
            <w:vAlign w:val="center"/>
          </w:tcPr>
          <w:p>
            <w:pPr>
              <w:pStyle w:val="43"/>
            </w:pPr>
            <w:r>
              <w:rPr>
                <w:rFonts w:hint="eastAsia"/>
              </w:rPr>
              <w:t>6</w:t>
            </w:r>
          </w:p>
        </w:tc>
        <w:tc>
          <w:tcPr>
            <w:tcW w:w="1355" w:type="dxa"/>
            <w:vAlign w:val="center"/>
          </w:tcPr>
          <w:p>
            <w:pPr>
              <w:pStyle w:val="43"/>
            </w:pPr>
            <w:r>
              <w:rPr>
                <w:rFonts w:hint="eastAsia"/>
              </w:rPr>
              <w:t>Ⅱ类达标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vAlign w:val="center"/>
          </w:tcPr>
          <w:p>
            <w:pPr>
              <w:pStyle w:val="43"/>
            </w:pPr>
            <w:r>
              <w:rPr>
                <w:rFonts w:hint="eastAsia"/>
              </w:rPr>
              <w:t>高锰酸钾指数</w:t>
            </w:r>
          </w:p>
        </w:tc>
        <w:tc>
          <w:tcPr>
            <w:tcW w:w="1134" w:type="dxa"/>
            <w:vAlign w:val="center"/>
          </w:tcPr>
          <w:p>
            <w:pPr>
              <w:pStyle w:val="43"/>
            </w:pPr>
            <w:r>
              <w:rPr>
                <w:rFonts w:hint="eastAsia"/>
              </w:rPr>
              <w:t>mg/L</w:t>
            </w:r>
          </w:p>
        </w:tc>
        <w:tc>
          <w:tcPr>
            <w:tcW w:w="1417" w:type="dxa"/>
            <w:vAlign w:val="center"/>
          </w:tcPr>
          <w:p>
            <w:pPr>
              <w:pStyle w:val="43"/>
            </w:pPr>
            <w:r>
              <w:rPr>
                <w:rFonts w:hint="eastAsia"/>
              </w:rPr>
              <w:t>1</w:t>
            </w:r>
            <w:r>
              <w:t>.5</w:t>
            </w:r>
          </w:p>
        </w:tc>
        <w:tc>
          <w:tcPr>
            <w:tcW w:w="1276" w:type="dxa"/>
            <w:vAlign w:val="center"/>
          </w:tcPr>
          <w:p>
            <w:pPr>
              <w:pStyle w:val="43"/>
            </w:pPr>
            <w:r>
              <w:rPr>
                <w:rFonts w:hint="eastAsia"/>
              </w:rPr>
              <w:t>1</w:t>
            </w:r>
            <w:r>
              <w:t>.7</w:t>
            </w:r>
          </w:p>
        </w:tc>
        <w:tc>
          <w:tcPr>
            <w:tcW w:w="1134" w:type="dxa"/>
            <w:vAlign w:val="center"/>
          </w:tcPr>
          <w:p>
            <w:pPr>
              <w:pStyle w:val="43"/>
            </w:pPr>
            <w:r>
              <w:rPr>
                <w:rFonts w:hint="eastAsia"/>
              </w:rPr>
              <w:t>4</w:t>
            </w:r>
          </w:p>
        </w:tc>
        <w:tc>
          <w:tcPr>
            <w:tcW w:w="1355" w:type="dxa"/>
            <w:vAlign w:val="center"/>
          </w:tcPr>
          <w:p>
            <w:pPr>
              <w:pStyle w:val="43"/>
            </w:pPr>
            <w:r>
              <w:rPr>
                <w:rFonts w:hint="eastAsia"/>
              </w:rPr>
              <w:t>Ⅱ类达标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vAlign w:val="center"/>
          </w:tcPr>
          <w:p>
            <w:pPr>
              <w:pStyle w:val="43"/>
            </w:pPr>
            <w:r>
              <w:rPr>
                <w:rFonts w:hint="eastAsia"/>
              </w:rPr>
              <w:t>化学需氧量</w:t>
            </w:r>
          </w:p>
        </w:tc>
        <w:tc>
          <w:tcPr>
            <w:tcW w:w="1134" w:type="dxa"/>
            <w:vAlign w:val="center"/>
          </w:tcPr>
          <w:p>
            <w:pPr>
              <w:pStyle w:val="43"/>
            </w:pPr>
            <w:r>
              <w:rPr>
                <w:rFonts w:hint="eastAsia"/>
              </w:rPr>
              <w:t>mg/L</w:t>
            </w:r>
          </w:p>
        </w:tc>
        <w:tc>
          <w:tcPr>
            <w:tcW w:w="1417" w:type="dxa"/>
            <w:vAlign w:val="center"/>
          </w:tcPr>
          <w:p>
            <w:pPr>
              <w:pStyle w:val="43"/>
            </w:pPr>
            <w:r>
              <w:rPr>
                <w:rFonts w:hint="eastAsia"/>
              </w:rPr>
              <w:t>7</w:t>
            </w:r>
          </w:p>
        </w:tc>
        <w:tc>
          <w:tcPr>
            <w:tcW w:w="1276" w:type="dxa"/>
            <w:vAlign w:val="center"/>
          </w:tcPr>
          <w:p>
            <w:pPr>
              <w:pStyle w:val="43"/>
            </w:pPr>
            <w:r>
              <w:rPr>
                <w:rFonts w:hint="eastAsia"/>
              </w:rPr>
              <w:t>9</w:t>
            </w:r>
          </w:p>
        </w:tc>
        <w:tc>
          <w:tcPr>
            <w:tcW w:w="1134" w:type="dxa"/>
            <w:vAlign w:val="center"/>
          </w:tcPr>
          <w:p>
            <w:pPr>
              <w:pStyle w:val="43"/>
            </w:pPr>
            <w:r>
              <w:rPr>
                <w:rFonts w:hint="eastAsia"/>
              </w:rPr>
              <w:t>1</w:t>
            </w:r>
            <w:r>
              <w:t>5</w:t>
            </w:r>
          </w:p>
        </w:tc>
        <w:tc>
          <w:tcPr>
            <w:tcW w:w="1355" w:type="dxa"/>
            <w:vAlign w:val="center"/>
          </w:tcPr>
          <w:p>
            <w:pPr>
              <w:pStyle w:val="43"/>
            </w:pPr>
            <w:r>
              <w:rPr>
                <w:rFonts w:hint="eastAsia"/>
              </w:rPr>
              <w:t>Ⅱ类达标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vAlign w:val="center"/>
          </w:tcPr>
          <w:p>
            <w:pPr>
              <w:pStyle w:val="43"/>
            </w:pPr>
            <w:r>
              <w:rPr>
                <w:rFonts w:hint="eastAsia"/>
              </w:rPr>
              <w:t>五日生化需氧量</w:t>
            </w:r>
          </w:p>
        </w:tc>
        <w:tc>
          <w:tcPr>
            <w:tcW w:w="1134" w:type="dxa"/>
            <w:vAlign w:val="center"/>
          </w:tcPr>
          <w:p>
            <w:pPr>
              <w:pStyle w:val="43"/>
            </w:pPr>
            <w:r>
              <w:rPr>
                <w:rFonts w:hint="eastAsia"/>
              </w:rPr>
              <w:t>mg/L</w:t>
            </w:r>
          </w:p>
        </w:tc>
        <w:tc>
          <w:tcPr>
            <w:tcW w:w="1417" w:type="dxa"/>
            <w:vAlign w:val="center"/>
          </w:tcPr>
          <w:p>
            <w:pPr>
              <w:pStyle w:val="43"/>
            </w:pPr>
            <w:r>
              <w:rPr>
                <w:rFonts w:hint="eastAsia"/>
              </w:rPr>
              <w:t>1</w:t>
            </w:r>
            <w:r>
              <w:t>.3</w:t>
            </w:r>
          </w:p>
        </w:tc>
        <w:tc>
          <w:tcPr>
            <w:tcW w:w="1276" w:type="dxa"/>
            <w:vAlign w:val="center"/>
          </w:tcPr>
          <w:p>
            <w:pPr>
              <w:pStyle w:val="43"/>
            </w:pPr>
            <w:r>
              <w:rPr>
                <w:rFonts w:hint="eastAsia"/>
              </w:rPr>
              <w:t>1</w:t>
            </w:r>
            <w:r>
              <w:t>.6</w:t>
            </w:r>
          </w:p>
        </w:tc>
        <w:tc>
          <w:tcPr>
            <w:tcW w:w="1134" w:type="dxa"/>
            <w:vAlign w:val="center"/>
          </w:tcPr>
          <w:p>
            <w:pPr>
              <w:pStyle w:val="43"/>
            </w:pPr>
            <w:r>
              <w:rPr>
                <w:rFonts w:hint="eastAsia"/>
              </w:rPr>
              <w:t>3</w:t>
            </w:r>
          </w:p>
        </w:tc>
        <w:tc>
          <w:tcPr>
            <w:tcW w:w="1355" w:type="dxa"/>
            <w:vAlign w:val="center"/>
          </w:tcPr>
          <w:p>
            <w:pPr>
              <w:pStyle w:val="43"/>
            </w:pPr>
            <w:r>
              <w:rPr>
                <w:rFonts w:hint="eastAsia"/>
              </w:rPr>
              <w:t>Ⅱ类达标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vAlign w:val="center"/>
          </w:tcPr>
          <w:p>
            <w:pPr>
              <w:pStyle w:val="43"/>
            </w:pPr>
            <w:r>
              <w:rPr>
                <w:rFonts w:hint="eastAsia"/>
              </w:rPr>
              <w:t>氨氮</w:t>
            </w:r>
          </w:p>
        </w:tc>
        <w:tc>
          <w:tcPr>
            <w:tcW w:w="1134" w:type="dxa"/>
            <w:vAlign w:val="center"/>
          </w:tcPr>
          <w:p>
            <w:pPr>
              <w:pStyle w:val="43"/>
            </w:pPr>
            <w:r>
              <w:rPr>
                <w:rFonts w:hint="eastAsia"/>
              </w:rPr>
              <w:t>mg/L</w:t>
            </w:r>
          </w:p>
        </w:tc>
        <w:tc>
          <w:tcPr>
            <w:tcW w:w="1417" w:type="dxa"/>
            <w:vAlign w:val="center"/>
          </w:tcPr>
          <w:p>
            <w:pPr>
              <w:pStyle w:val="43"/>
            </w:pPr>
            <w:r>
              <w:rPr>
                <w:rFonts w:hint="eastAsia"/>
              </w:rPr>
              <w:t>0</w:t>
            </w:r>
            <w:r>
              <w:t>.160</w:t>
            </w:r>
          </w:p>
        </w:tc>
        <w:tc>
          <w:tcPr>
            <w:tcW w:w="1276" w:type="dxa"/>
            <w:vAlign w:val="center"/>
          </w:tcPr>
          <w:p>
            <w:pPr>
              <w:pStyle w:val="43"/>
            </w:pPr>
            <w:r>
              <w:rPr>
                <w:rFonts w:hint="eastAsia"/>
              </w:rPr>
              <w:t>0</w:t>
            </w:r>
            <w:r>
              <w:t>.437</w:t>
            </w:r>
          </w:p>
        </w:tc>
        <w:tc>
          <w:tcPr>
            <w:tcW w:w="1134" w:type="dxa"/>
            <w:vAlign w:val="center"/>
          </w:tcPr>
          <w:p>
            <w:pPr>
              <w:pStyle w:val="43"/>
            </w:pPr>
            <w:r>
              <w:rPr>
                <w:rFonts w:hint="eastAsia"/>
              </w:rPr>
              <w:t>0</w:t>
            </w:r>
            <w:r>
              <w:t>.5</w:t>
            </w:r>
          </w:p>
        </w:tc>
        <w:tc>
          <w:tcPr>
            <w:tcW w:w="1355" w:type="dxa"/>
            <w:vAlign w:val="center"/>
          </w:tcPr>
          <w:p>
            <w:pPr>
              <w:pStyle w:val="43"/>
            </w:pPr>
            <w:r>
              <w:rPr>
                <w:rFonts w:hint="eastAsia"/>
              </w:rPr>
              <w:t>Ⅱ类达标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vAlign w:val="center"/>
          </w:tcPr>
          <w:p>
            <w:pPr>
              <w:pStyle w:val="43"/>
            </w:pPr>
            <w:r>
              <w:rPr>
                <w:rFonts w:hint="eastAsia"/>
              </w:rPr>
              <w:t>总磷</w:t>
            </w:r>
          </w:p>
        </w:tc>
        <w:tc>
          <w:tcPr>
            <w:tcW w:w="1134" w:type="dxa"/>
            <w:vAlign w:val="center"/>
          </w:tcPr>
          <w:p>
            <w:pPr>
              <w:pStyle w:val="43"/>
            </w:pPr>
            <w:r>
              <w:rPr>
                <w:rFonts w:hint="eastAsia"/>
              </w:rPr>
              <w:t>mg/L</w:t>
            </w:r>
          </w:p>
        </w:tc>
        <w:tc>
          <w:tcPr>
            <w:tcW w:w="1417" w:type="dxa"/>
            <w:vAlign w:val="center"/>
          </w:tcPr>
          <w:p>
            <w:pPr>
              <w:pStyle w:val="43"/>
            </w:pPr>
            <w:r>
              <w:t>0.03</w:t>
            </w:r>
          </w:p>
        </w:tc>
        <w:tc>
          <w:tcPr>
            <w:tcW w:w="1276" w:type="dxa"/>
            <w:vAlign w:val="center"/>
          </w:tcPr>
          <w:p>
            <w:pPr>
              <w:pStyle w:val="43"/>
            </w:pPr>
            <w:r>
              <w:rPr>
                <w:rFonts w:hint="eastAsia"/>
              </w:rPr>
              <w:t>0</w:t>
            </w:r>
            <w:r>
              <w:t>.05</w:t>
            </w:r>
          </w:p>
        </w:tc>
        <w:tc>
          <w:tcPr>
            <w:tcW w:w="1134" w:type="dxa"/>
            <w:vAlign w:val="center"/>
          </w:tcPr>
          <w:p>
            <w:pPr>
              <w:pStyle w:val="43"/>
            </w:pPr>
            <w:r>
              <w:rPr>
                <w:rFonts w:hint="eastAsia"/>
              </w:rPr>
              <w:t>0</w:t>
            </w:r>
            <w:r>
              <w:t>.1</w:t>
            </w:r>
          </w:p>
        </w:tc>
        <w:tc>
          <w:tcPr>
            <w:tcW w:w="1355" w:type="dxa"/>
            <w:vAlign w:val="center"/>
          </w:tcPr>
          <w:p>
            <w:pPr>
              <w:pStyle w:val="43"/>
            </w:pPr>
            <w:r>
              <w:rPr>
                <w:rFonts w:hint="eastAsia"/>
              </w:rPr>
              <w:t>Ⅱ类达标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vAlign w:val="center"/>
          </w:tcPr>
          <w:p>
            <w:pPr>
              <w:pStyle w:val="43"/>
            </w:pPr>
            <w:r>
              <w:rPr>
                <w:rFonts w:hint="eastAsia"/>
              </w:rPr>
              <w:t>总氮</w:t>
            </w:r>
            <w:r>
              <w:rPr>
                <w:rFonts w:hint="eastAsia" w:ascii="仿宋" w:hAnsi="仿宋"/>
              </w:rPr>
              <w:t>*</w:t>
            </w:r>
          </w:p>
        </w:tc>
        <w:tc>
          <w:tcPr>
            <w:tcW w:w="1134" w:type="dxa"/>
            <w:vAlign w:val="center"/>
          </w:tcPr>
          <w:p>
            <w:pPr>
              <w:pStyle w:val="43"/>
            </w:pPr>
            <w:r>
              <w:rPr>
                <w:rFonts w:hint="eastAsia"/>
              </w:rPr>
              <w:t>mg/L</w:t>
            </w:r>
          </w:p>
        </w:tc>
        <w:tc>
          <w:tcPr>
            <w:tcW w:w="1417" w:type="dxa"/>
            <w:vAlign w:val="center"/>
          </w:tcPr>
          <w:p>
            <w:pPr>
              <w:pStyle w:val="43"/>
            </w:pPr>
            <w:r>
              <w:rPr>
                <w:rFonts w:hint="eastAsia"/>
              </w:rPr>
              <w:t>0</w:t>
            </w:r>
            <w:r>
              <w:t>.99</w:t>
            </w:r>
          </w:p>
        </w:tc>
        <w:tc>
          <w:tcPr>
            <w:tcW w:w="1276" w:type="dxa"/>
            <w:vAlign w:val="center"/>
          </w:tcPr>
          <w:p>
            <w:pPr>
              <w:pStyle w:val="43"/>
            </w:pPr>
            <w:r>
              <w:rPr>
                <w:rFonts w:hint="eastAsia"/>
              </w:rPr>
              <w:t>1</w:t>
            </w:r>
            <w:r>
              <w:t>.28</w:t>
            </w:r>
          </w:p>
        </w:tc>
        <w:tc>
          <w:tcPr>
            <w:tcW w:w="1134" w:type="dxa"/>
            <w:vAlign w:val="center"/>
          </w:tcPr>
          <w:p>
            <w:pPr>
              <w:pStyle w:val="43"/>
            </w:pPr>
            <w:r>
              <w:t>-</w:t>
            </w:r>
          </w:p>
        </w:tc>
        <w:tc>
          <w:tcPr>
            <w:tcW w:w="1355" w:type="dxa"/>
            <w:vAlign w:val="center"/>
          </w:tcPr>
          <w:p>
            <w:pPr>
              <w:pStyle w:val="43"/>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vAlign w:val="center"/>
          </w:tcPr>
          <w:p>
            <w:pPr>
              <w:pStyle w:val="43"/>
            </w:pPr>
            <w:r>
              <w:rPr>
                <w:rFonts w:hint="eastAsia"/>
              </w:rPr>
              <w:t>氟化物</w:t>
            </w:r>
          </w:p>
        </w:tc>
        <w:tc>
          <w:tcPr>
            <w:tcW w:w="1134" w:type="dxa"/>
            <w:vAlign w:val="center"/>
          </w:tcPr>
          <w:p>
            <w:pPr>
              <w:pStyle w:val="43"/>
            </w:pPr>
            <w:r>
              <w:rPr>
                <w:rFonts w:hint="eastAsia"/>
              </w:rPr>
              <w:t>mg/L</w:t>
            </w:r>
          </w:p>
        </w:tc>
        <w:tc>
          <w:tcPr>
            <w:tcW w:w="1417" w:type="dxa"/>
            <w:vAlign w:val="center"/>
          </w:tcPr>
          <w:p>
            <w:pPr>
              <w:pStyle w:val="43"/>
            </w:pPr>
            <w:r>
              <w:rPr>
                <w:rFonts w:hint="eastAsia"/>
              </w:rPr>
              <w:t>0</w:t>
            </w:r>
            <w:r>
              <w:t>.038</w:t>
            </w:r>
          </w:p>
        </w:tc>
        <w:tc>
          <w:tcPr>
            <w:tcW w:w="1276" w:type="dxa"/>
            <w:vAlign w:val="center"/>
          </w:tcPr>
          <w:p>
            <w:pPr>
              <w:pStyle w:val="43"/>
            </w:pPr>
            <w:r>
              <w:rPr>
                <w:rFonts w:hint="eastAsia"/>
              </w:rPr>
              <w:t>0</w:t>
            </w:r>
            <w:r>
              <w:t>.039</w:t>
            </w:r>
          </w:p>
        </w:tc>
        <w:tc>
          <w:tcPr>
            <w:tcW w:w="1134" w:type="dxa"/>
            <w:vAlign w:val="center"/>
          </w:tcPr>
          <w:p>
            <w:pPr>
              <w:pStyle w:val="43"/>
            </w:pPr>
            <w:r>
              <w:rPr>
                <w:rFonts w:hint="eastAsia"/>
              </w:rPr>
              <w:t>1</w:t>
            </w:r>
          </w:p>
        </w:tc>
        <w:tc>
          <w:tcPr>
            <w:tcW w:w="1355" w:type="dxa"/>
            <w:vAlign w:val="center"/>
          </w:tcPr>
          <w:p>
            <w:pPr>
              <w:pStyle w:val="43"/>
            </w:pPr>
            <w:r>
              <w:rPr>
                <w:rFonts w:hint="eastAsia"/>
              </w:rPr>
              <w:t>Ⅱ类达标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vAlign w:val="center"/>
          </w:tcPr>
          <w:p>
            <w:pPr>
              <w:pStyle w:val="43"/>
            </w:pPr>
            <w:r>
              <w:rPr>
                <w:rFonts w:hint="eastAsia"/>
              </w:rPr>
              <w:t>氰化物</w:t>
            </w:r>
          </w:p>
        </w:tc>
        <w:tc>
          <w:tcPr>
            <w:tcW w:w="1134" w:type="dxa"/>
            <w:vAlign w:val="center"/>
          </w:tcPr>
          <w:p>
            <w:pPr>
              <w:pStyle w:val="43"/>
            </w:pPr>
            <w:r>
              <w:rPr>
                <w:rFonts w:hint="eastAsia"/>
              </w:rPr>
              <w:t>mg/L</w:t>
            </w:r>
          </w:p>
        </w:tc>
        <w:tc>
          <w:tcPr>
            <w:tcW w:w="1417" w:type="dxa"/>
            <w:vAlign w:val="center"/>
          </w:tcPr>
          <w:p>
            <w:pPr>
              <w:pStyle w:val="43"/>
            </w:pPr>
            <w:r>
              <w:rPr>
                <w:rFonts w:hint="eastAsia"/>
              </w:rPr>
              <w:t>未检出</w:t>
            </w:r>
          </w:p>
        </w:tc>
        <w:tc>
          <w:tcPr>
            <w:tcW w:w="1276" w:type="dxa"/>
            <w:vAlign w:val="center"/>
          </w:tcPr>
          <w:p>
            <w:pPr>
              <w:pStyle w:val="43"/>
            </w:pPr>
            <w:r>
              <w:rPr>
                <w:rFonts w:hint="eastAsia"/>
              </w:rPr>
              <w:t>未检出</w:t>
            </w:r>
          </w:p>
        </w:tc>
        <w:tc>
          <w:tcPr>
            <w:tcW w:w="1134" w:type="dxa"/>
            <w:vAlign w:val="center"/>
          </w:tcPr>
          <w:p>
            <w:pPr>
              <w:pStyle w:val="43"/>
            </w:pPr>
            <w:r>
              <w:rPr>
                <w:rFonts w:hint="eastAsia"/>
              </w:rPr>
              <w:t>0</w:t>
            </w:r>
            <w:r>
              <w:t>.05</w:t>
            </w:r>
          </w:p>
        </w:tc>
        <w:tc>
          <w:tcPr>
            <w:tcW w:w="1355" w:type="dxa"/>
            <w:vAlign w:val="center"/>
          </w:tcPr>
          <w:p>
            <w:pPr>
              <w:pStyle w:val="43"/>
            </w:pPr>
            <w:r>
              <w:rPr>
                <w:rFonts w:hint="eastAsia"/>
              </w:rPr>
              <w:t>Ⅱ类达标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vAlign w:val="center"/>
          </w:tcPr>
          <w:p>
            <w:pPr>
              <w:pStyle w:val="43"/>
            </w:pPr>
            <w:r>
              <w:rPr>
                <w:rFonts w:hint="eastAsia"/>
              </w:rPr>
              <w:t>挥发酚</w:t>
            </w:r>
          </w:p>
        </w:tc>
        <w:tc>
          <w:tcPr>
            <w:tcW w:w="1134" w:type="dxa"/>
            <w:vAlign w:val="center"/>
          </w:tcPr>
          <w:p>
            <w:pPr>
              <w:pStyle w:val="43"/>
            </w:pPr>
            <w:r>
              <w:rPr>
                <w:rFonts w:hint="eastAsia"/>
              </w:rPr>
              <w:t>mg/L</w:t>
            </w:r>
          </w:p>
        </w:tc>
        <w:tc>
          <w:tcPr>
            <w:tcW w:w="1417" w:type="dxa"/>
            <w:vAlign w:val="center"/>
          </w:tcPr>
          <w:p>
            <w:pPr>
              <w:pStyle w:val="43"/>
            </w:pPr>
            <w:r>
              <w:rPr>
                <w:rFonts w:hint="eastAsia"/>
              </w:rPr>
              <w:t>未检出</w:t>
            </w:r>
          </w:p>
        </w:tc>
        <w:tc>
          <w:tcPr>
            <w:tcW w:w="1276" w:type="dxa"/>
            <w:vAlign w:val="center"/>
          </w:tcPr>
          <w:p>
            <w:pPr>
              <w:pStyle w:val="43"/>
            </w:pPr>
            <w:r>
              <w:rPr>
                <w:rFonts w:hint="eastAsia"/>
              </w:rPr>
              <w:t>未检出</w:t>
            </w:r>
          </w:p>
        </w:tc>
        <w:tc>
          <w:tcPr>
            <w:tcW w:w="1134" w:type="dxa"/>
            <w:vAlign w:val="center"/>
          </w:tcPr>
          <w:p>
            <w:pPr>
              <w:pStyle w:val="43"/>
            </w:pPr>
            <w:r>
              <w:rPr>
                <w:rFonts w:hint="eastAsia"/>
              </w:rPr>
              <w:t>0</w:t>
            </w:r>
            <w:r>
              <w:t>.002</w:t>
            </w:r>
          </w:p>
        </w:tc>
        <w:tc>
          <w:tcPr>
            <w:tcW w:w="1355" w:type="dxa"/>
            <w:vAlign w:val="center"/>
          </w:tcPr>
          <w:p>
            <w:pPr>
              <w:pStyle w:val="43"/>
            </w:pPr>
            <w:r>
              <w:rPr>
                <w:rFonts w:hint="eastAsia"/>
              </w:rPr>
              <w:t>Ⅱ类达标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vAlign w:val="center"/>
          </w:tcPr>
          <w:p>
            <w:pPr>
              <w:pStyle w:val="43"/>
            </w:pPr>
            <w:r>
              <w:rPr>
                <w:rFonts w:hint="eastAsia"/>
              </w:rPr>
              <w:t>石油类</w:t>
            </w:r>
          </w:p>
        </w:tc>
        <w:tc>
          <w:tcPr>
            <w:tcW w:w="1134" w:type="dxa"/>
            <w:vAlign w:val="center"/>
          </w:tcPr>
          <w:p>
            <w:pPr>
              <w:pStyle w:val="43"/>
            </w:pPr>
            <w:r>
              <w:rPr>
                <w:rFonts w:hint="eastAsia"/>
              </w:rPr>
              <w:t>mg/L</w:t>
            </w:r>
          </w:p>
        </w:tc>
        <w:tc>
          <w:tcPr>
            <w:tcW w:w="1417" w:type="dxa"/>
            <w:vAlign w:val="center"/>
          </w:tcPr>
          <w:p>
            <w:pPr>
              <w:pStyle w:val="43"/>
            </w:pPr>
            <w:r>
              <w:rPr>
                <w:rFonts w:hint="eastAsia"/>
              </w:rPr>
              <w:t>0</w:t>
            </w:r>
            <w:r>
              <w:t>.03</w:t>
            </w:r>
          </w:p>
        </w:tc>
        <w:tc>
          <w:tcPr>
            <w:tcW w:w="1276" w:type="dxa"/>
            <w:vAlign w:val="center"/>
          </w:tcPr>
          <w:p>
            <w:pPr>
              <w:pStyle w:val="43"/>
            </w:pPr>
            <w:r>
              <w:rPr>
                <w:rFonts w:hint="eastAsia"/>
              </w:rPr>
              <w:t>0</w:t>
            </w:r>
            <w:r>
              <w:t>.01</w:t>
            </w:r>
          </w:p>
        </w:tc>
        <w:tc>
          <w:tcPr>
            <w:tcW w:w="1134" w:type="dxa"/>
            <w:vAlign w:val="center"/>
          </w:tcPr>
          <w:p>
            <w:pPr>
              <w:pStyle w:val="43"/>
            </w:pPr>
            <w:r>
              <w:rPr>
                <w:rFonts w:hint="eastAsia"/>
              </w:rPr>
              <w:t>0</w:t>
            </w:r>
            <w:r>
              <w:t>.05</w:t>
            </w:r>
          </w:p>
        </w:tc>
        <w:tc>
          <w:tcPr>
            <w:tcW w:w="1355" w:type="dxa"/>
            <w:vAlign w:val="center"/>
          </w:tcPr>
          <w:p>
            <w:pPr>
              <w:pStyle w:val="43"/>
            </w:pPr>
            <w:r>
              <w:rPr>
                <w:rFonts w:hint="eastAsia"/>
              </w:rPr>
              <w:t>Ⅱ类达标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vAlign w:val="center"/>
          </w:tcPr>
          <w:p>
            <w:pPr>
              <w:pStyle w:val="43"/>
            </w:pPr>
            <w:r>
              <w:rPr>
                <w:rFonts w:hint="eastAsia"/>
              </w:rPr>
              <w:t>阴离子表面活性剂</w:t>
            </w:r>
          </w:p>
        </w:tc>
        <w:tc>
          <w:tcPr>
            <w:tcW w:w="1134" w:type="dxa"/>
            <w:vAlign w:val="center"/>
          </w:tcPr>
          <w:p>
            <w:pPr>
              <w:pStyle w:val="43"/>
            </w:pPr>
            <w:r>
              <w:rPr>
                <w:rFonts w:hint="eastAsia"/>
              </w:rPr>
              <w:t>mg/L</w:t>
            </w:r>
          </w:p>
        </w:tc>
        <w:tc>
          <w:tcPr>
            <w:tcW w:w="1417" w:type="dxa"/>
            <w:vAlign w:val="center"/>
          </w:tcPr>
          <w:p>
            <w:pPr>
              <w:pStyle w:val="43"/>
            </w:pPr>
            <w:r>
              <w:rPr>
                <w:rFonts w:hint="eastAsia"/>
              </w:rPr>
              <w:t>未检出</w:t>
            </w:r>
          </w:p>
        </w:tc>
        <w:tc>
          <w:tcPr>
            <w:tcW w:w="1276" w:type="dxa"/>
            <w:vAlign w:val="center"/>
          </w:tcPr>
          <w:p>
            <w:pPr>
              <w:pStyle w:val="43"/>
            </w:pPr>
            <w:r>
              <w:rPr>
                <w:rFonts w:hint="eastAsia"/>
              </w:rPr>
              <w:t>未检出</w:t>
            </w:r>
          </w:p>
        </w:tc>
        <w:tc>
          <w:tcPr>
            <w:tcW w:w="1134" w:type="dxa"/>
            <w:vAlign w:val="center"/>
          </w:tcPr>
          <w:p>
            <w:pPr>
              <w:pStyle w:val="43"/>
            </w:pPr>
            <w:r>
              <w:rPr>
                <w:rFonts w:hint="eastAsia"/>
              </w:rPr>
              <w:t>0</w:t>
            </w:r>
            <w:r>
              <w:t>.2</w:t>
            </w:r>
          </w:p>
        </w:tc>
        <w:tc>
          <w:tcPr>
            <w:tcW w:w="1355" w:type="dxa"/>
            <w:vAlign w:val="center"/>
          </w:tcPr>
          <w:p>
            <w:pPr>
              <w:pStyle w:val="43"/>
            </w:pPr>
            <w:r>
              <w:rPr>
                <w:rFonts w:hint="eastAsia"/>
              </w:rPr>
              <w:t>Ⅱ类达标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vAlign w:val="center"/>
          </w:tcPr>
          <w:p>
            <w:pPr>
              <w:pStyle w:val="43"/>
            </w:pPr>
            <w:r>
              <w:rPr>
                <w:rFonts w:hint="eastAsia"/>
              </w:rPr>
              <w:t>硫化物</w:t>
            </w:r>
          </w:p>
        </w:tc>
        <w:tc>
          <w:tcPr>
            <w:tcW w:w="1134" w:type="dxa"/>
            <w:vAlign w:val="center"/>
          </w:tcPr>
          <w:p>
            <w:pPr>
              <w:pStyle w:val="43"/>
            </w:pPr>
            <w:r>
              <w:rPr>
                <w:rFonts w:hint="eastAsia"/>
              </w:rPr>
              <w:t>mg/L</w:t>
            </w:r>
          </w:p>
        </w:tc>
        <w:tc>
          <w:tcPr>
            <w:tcW w:w="1417" w:type="dxa"/>
            <w:vAlign w:val="center"/>
          </w:tcPr>
          <w:p>
            <w:pPr>
              <w:pStyle w:val="43"/>
            </w:pPr>
            <w:r>
              <w:rPr>
                <w:rFonts w:hint="eastAsia"/>
              </w:rPr>
              <w:t>未检出</w:t>
            </w:r>
          </w:p>
        </w:tc>
        <w:tc>
          <w:tcPr>
            <w:tcW w:w="1276" w:type="dxa"/>
            <w:vAlign w:val="center"/>
          </w:tcPr>
          <w:p>
            <w:pPr>
              <w:pStyle w:val="43"/>
            </w:pPr>
            <w:r>
              <w:rPr>
                <w:rFonts w:hint="eastAsia"/>
              </w:rPr>
              <w:t>未检出</w:t>
            </w:r>
          </w:p>
        </w:tc>
        <w:tc>
          <w:tcPr>
            <w:tcW w:w="1134" w:type="dxa"/>
            <w:vAlign w:val="center"/>
          </w:tcPr>
          <w:p>
            <w:pPr>
              <w:pStyle w:val="43"/>
            </w:pPr>
            <w:r>
              <w:rPr>
                <w:rFonts w:hint="eastAsia"/>
              </w:rPr>
              <w:t>0</w:t>
            </w:r>
            <w:r>
              <w:t>.1</w:t>
            </w:r>
          </w:p>
        </w:tc>
        <w:tc>
          <w:tcPr>
            <w:tcW w:w="1355" w:type="dxa"/>
            <w:vAlign w:val="center"/>
          </w:tcPr>
          <w:p>
            <w:pPr>
              <w:pStyle w:val="43"/>
            </w:pPr>
            <w:r>
              <w:rPr>
                <w:rFonts w:hint="eastAsia"/>
              </w:rPr>
              <w:t>Ⅱ类达标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vAlign w:val="center"/>
          </w:tcPr>
          <w:p>
            <w:pPr>
              <w:pStyle w:val="43"/>
            </w:pPr>
            <w:r>
              <w:rPr>
                <w:rFonts w:hint="eastAsia"/>
              </w:rPr>
              <w:t>粪大肠菌群</w:t>
            </w:r>
          </w:p>
        </w:tc>
        <w:tc>
          <w:tcPr>
            <w:tcW w:w="1134" w:type="dxa"/>
            <w:vAlign w:val="center"/>
          </w:tcPr>
          <w:p>
            <w:pPr>
              <w:pStyle w:val="43"/>
            </w:pPr>
            <w:r>
              <w:rPr>
                <w:rFonts w:hint="eastAsia"/>
              </w:rPr>
              <w:t>MPN/L</w:t>
            </w:r>
          </w:p>
        </w:tc>
        <w:tc>
          <w:tcPr>
            <w:tcW w:w="1417" w:type="dxa"/>
            <w:vAlign w:val="center"/>
          </w:tcPr>
          <w:p>
            <w:pPr>
              <w:pStyle w:val="43"/>
            </w:pPr>
            <w:r>
              <w:t>2.6</w:t>
            </w:r>
            <w:r>
              <w:rPr>
                <w:rFonts w:hint="eastAsia"/>
              </w:rPr>
              <w:t>×1</w:t>
            </w:r>
            <w:r>
              <w:t>0</w:t>
            </w:r>
            <w:r>
              <w:rPr>
                <w:vertAlign w:val="superscript"/>
              </w:rPr>
              <w:t>2</w:t>
            </w:r>
          </w:p>
        </w:tc>
        <w:tc>
          <w:tcPr>
            <w:tcW w:w="1276" w:type="dxa"/>
            <w:vAlign w:val="center"/>
          </w:tcPr>
          <w:p>
            <w:pPr>
              <w:pStyle w:val="43"/>
            </w:pPr>
            <w:r>
              <w:t>2.2</w:t>
            </w:r>
            <w:r>
              <w:rPr>
                <w:rFonts w:hint="eastAsia"/>
              </w:rPr>
              <w:t>×1</w:t>
            </w:r>
            <w:r>
              <w:t>0</w:t>
            </w:r>
            <w:r>
              <w:rPr>
                <w:vertAlign w:val="superscript"/>
              </w:rPr>
              <w:t>2</w:t>
            </w:r>
          </w:p>
        </w:tc>
        <w:tc>
          <w:tcPr>
            <w:tcW w:w="1134" w:type="dxa"/>
            <w:vAlign w:val="center"/>
          </w:tcPr>
          <w:p>
            <w:pPr>
              <w:pStyle w:val="43"/>
            </w:pPr>
            <w:r>
              <w:rPr>
                <w:rFonts w:hint="eastAsia"/>
              </w:rPr>
              <w:t>2</w:t>
            </w:r>
            <w:r>
              <w:t>000</w:t>
            </w:r>
          </w:p>
        </w:tc>
        <w:tc>
          <w:tcPr>
            <w:tcW w:w="1355" w:type="dxa"/>
            <w:vAlign w:val="center"/>
          </w:tcPr>
          <w:p>
            <w:pPr>
              <w:pStyle w:val="43"/>
            </w:pPr>
            <w:r>
              <w:rPr>
                <w:rFonts w:hint="eastAsia"/>
              </w:rPr>
              <w:t>Ⅱ类达标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vAlign w:val="center"/>
          </w:tcPr>
          <w:p>
            <w:pPr>
              <w:pStyle w:val="43"/>
            </w:pPr>
            <w:r>
              <w:rPr>
                <w:rFonts w:hint="eastAsia"/>
              </w:rPr>
              <w:t>硫酸盐</w:t>
            </w:r>
          </w:p>
        </w:tc>
        <w:tc>
          <w:tcPr>
            <w:tcW w:w="1134" w:type="dxa"/>
            <w:vAlign w:val="center"/>
          </w:tcPr>
          <w:p>
            <w:pPr>
              <w:pStyle w:val="43"/>
            </w:pPr>
            <w:r>
              <w:rPr>
                <w:rFonts w:hint="eastAsia"/>
              </w:rPr>
              <w:t>mg/L</w:t>
            </w:r>
          </w:p>
        </w:tc>
        <w:tc>
          <w:tcPr>
            <w:tcW w:w="1417" w:type="dxa"/>
            <w:vAlign w:val="center"/>
          </w:tcPr>
          <w:p>
            <w:pPr>
              <w:pStyle w:val="43"/>
            </w:pPr>
            <w:r>
              <w:t>12.7</w:t>
            </w:r>
          </w:p>
        </w:tc>
        <w:tc>
          <w:tcPr>
            <w:tcW w:w="1276" w:type="dxa"/>
            <w:vAlign w:val="center"/>
          </w:tcPr>
          <w:p>
            <w:pPr>
              <w:pStyle w:val="43"/>
            </w:pPr>
            <w:r>
              <w:t>7.6</w:t>
            </w:r>
          </w:p>
        </w:tc>
        <w:tc>
          <w:tcPr>
            <w:tcW w:w="1134" w:type="dxa"/>
            <w:vAlign w:val="center"/>
          </w:tcPr>
          <w:p>
            <w:pPr>
              <w:pStyle w:val="43"/>
            </w:pPr>
            <w:r>
              <w:rPr>
                <w:rFonts w:hint="eastAsia"/>
              </w:rPr>
              <w:t>2</w:t>
            </w:r>
            <w:r>
              <w:t>50</w:t>
            </w:r>
          </w:p>
        </w:tc>
        <w:tc>
          <w:tcPr>
            <w:tcW w:w="1355" w:type="dxa"/>
            <w:vAlign w:val="center"/>
          </w:tcPr>
          <w:p>
            <w:pPr>
              <w:pStyle w:val="43"/>
            </w:pPr>
            <w:r>
              <w:rPr>
                <w:rFonts w:hint="eastAsia"/>
              </w:rPr>
              <w:t>Ⅱ类达标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vAlign w:val="center"/>
          </w:tcPr>
          <w:p>
            <w:pPr>
              <w:pStyle w:val="43"/>
            </w:pPr>
            <w:r>
              <w:rPr>
                <w:rFonts w:hint="eastAsia"/>
              </w:rPr>
              <w:t>氯化物</w:t>
            </w:r>
          </w:p>
        </w:tc>
        <w:tc>
          <w:tcPr>
            <w:tcW w:w="1134" w:type="dxa"/>
            <w:vAlign w:val="center"/>
          </w:tcPr>
          <w:p>
            <w:pPr>
              <w:pStyle w:val="43"/>
            </w:pPr>
            <w:r>
              <w:rPr>
                <w:rFonts w:hint="eastAsia"/>
              </w:rPr>
              <w:t>mg/L</w:t>
            </w:r>
          </w:p>
        </w:tc>
        <w:tc>
          <w:tcPr>
            <w:tcW w:w="1417" w:type="dxa"/>
            <w:vAlign w:val="center"/>
          </w:tcPr>
          <w:p>
            <w:pPr>
              <w:pStyle w:val="43"/>
            </w:pPr>
            <w:r>
              <w:t>1.79</w:t>
            </w:r>
          </w:p>
        </w:tc>
        <w:tc>
          <w:tcPr>
            <w:tcW w:w="1276" w:type="dxa"/>
            <w:vAlign w:val="center"/>
          </w:tcPr>
          <w:p>
            <w:pPr>
              <w:pStyle w:val="43"/>
            </w:pPr>
            <w:r>
              <w:t>1.68</w:t>
            </w:r>
          </w:p>
        </w:tc>
        <w:tc>
          <w:tcPr>
            <w:tcW w:w="1134" w:type="dxa"/>
            <w:vAlign w:val="center"/>
          </w:tcPr>
          <w:p>
            <w:pPr>
              <w:pStyle w:val="43"/>
            </w:pPr>
            <w:r>
              <w:rPr>
                <w:rFonts w:hint="eastAsia"/>
              </w:rPr>
              <w:t>2</w:t>
            </w:r>
            <w:r>
              <w:t>50</w:t>
            </w:r>
          </w:p>
        </w:tc>
        <w:tc>
          <w:tcPr>
            <w:tcW w:w="1355" w:type="dxa"/>
            <w:vAlign w:val="center"/>
          </w:tcPr>
          <w:p>
            <w:pPr>
              <w:pStyle w:val="43"/>
            </w:pPr>
            <w:r>
              <w:rPr>
                <w:rFonts w:hint="eastAsia"/>
              </w:rPr>
              <w:t>Ⅱ类达标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vAlign w:val="center"/>
          </w:tcPr>
          <w:p>
            <w:pPr>
              <w:pStyle w:val="43"/>
            </w:pPr>
            <w:r>
              <w:rPr>
                <w:rFonts w:hint="eastAsia"/>
              </w:rPr>
              <w:t>硝酸盐</w:t>
            </w:r>
          </w:p>
        </w:tc>
        <w:tc>
          <w:tcPr>
            <w:tcW w:w="1134" w:type="dxa"/>
            <w:vAlign w:val="center"/>
          </w:tcPr>
          <w:p>
            <w:pPr>
              <w:pStyle w:val="43"/>
            </w:pPr>
            <w:r>
              <w:rPr>
                <w:rFonts w:hint="eastAsia"/>
              </w:rPr>
              <w:t>mg/L</w:t>
            </w:r>
          </w:p>
        </w:tc>
        <w:tc>
          <w:tcPr>
            <w:tcW w:w="1417" w:type="dxa"/>
            <w:vAlign w:val="center"/>
          </w:tcPr>
          <w:p>
            <w:pPr>
              <w:pStyle w:val="43"/>
            </w:pPr>
            <w:r>
              <w:rPr>
                <w:rFonts w:hint="eastAsia"/>
              </w:rPr>
              <w:t>0</w:t>
            </w:r>
            <w:r>
              <w:t>.770</w:t>
            </w:r>
          </w:p>
        </w:tc>
        <w:tc>
          <w:tcPr>
            <w:tcW w:w="1276" w:type="dxa"/>
            <w:vAlign w:val="center"/>
          </w:tcPr>
          <w:p>
            <w:pPr>
              <w:pStyle w:val="43"/>
            </w:pPr>
            <w:r>
              <w:rPr>
                <w:rFonts w:hint="eastAsia"/>
              </w:rPr>
              <w:t>0</w:t>
            </w:r>
            <w:r>
              <w:t>.773</w:t>
            </w:r>
          </w:p>
        </w:tc>
        <w:tc>
          <w:tcPr>
            <w:tcW w:w="1134" w:type="dxa"/>
            <w:vAlign w:val="center"/>
          </w:tcPr>
          <w:p>
            <w:pPr>
              <w:pStyle w:val="43"/>
            </w:pPr>
            <w:r>
              <w:rPr>
                <w:rFonts w:hint="eastAsia"/>
              </w:rPr>
              <w:t>1</w:t>
            </w:r>
            <w:r>
              <w:t>0</w:t>
            </w:r>
          </w:p>
        </w:tc>
        <w:tc>
          <w:tcPr>
            <w:tcW w:w="1355" w:type="dxa"/>
            <w:vAlign w:val="center"/>
          </w:tcPr>
          <w:p>
            <w:pPr>
              <w:pStyle w:val="43"/>
            </w:pPr>
            <w:r>
              <w:rPr>
                <w:rFonts w:hint="eastAsia"/>
              </w:rPr>
              <w:t>Ⅱ类达标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vAlign w:val="center"/>
          </w:tcPr>
          <w:p>
            <w:pPr>
              <w:pStyle w:val="43"/>
            </w:pPr>
            <w:r>
              <w:rPr>
                <w:rFonts w:hint="eastAsia"/>
              </w:rPr>
              <w:t>备注</w:t>
            </w:r>
          </w:p>
        </w:tc>
        <w:tc>
          <w:tcPr>
            <w:tcW w:w="6316" w:type="dxa"/>
            <w:gridSpan w:val="5"/>
            <w:vAlign w:val="center"/>
          </w:tcPr>
          <w:p>
            <w:pPr>
              <w:pStyle w:val="43"/>
              <w:jc w:val="left"/>
            </w:pPr>
            <w:r>
              <w:rPr>
                <w:rFonts w:hint="eastAsia"/>
              </w:rPr>
              <w:t>带</w:t>
            </w:r>
            <w:r>
              <w:rPr>
                <w:rFonts w:hint="eastAsia" w:ascii="仿宋" w:hAnsi="仿宋"/>
              </w:rPr>
              <w:t>*</w:t>
            </w:r>
            <w:r>
              <w:rPr>
                <w:rFonts w:hint="eastAsia"/>
              </w:rPr>
              <w:t>项目为参考指标单独评价，不参与总体评价</w:t>
            </w:r>
          </w:p>
        </w:tc>
      </w:tr>
    </w:tbl>
    <w:p>
      <w:pPr>
        <w:ind w:firstLine="480"/>
      </w:pPr>
    </w:p>
    <w:p>
      <w:pPr>
        <w:ind w:firstLine="480"/>
      </w:pPr>
      <w:r>
        <w:rPr>
          <w:rFonts w:hint="eastAsia"/>
        </w:rPr>
        <w:t>本次补充监测结果表明，盐井河地表水所测指标均符合《地表水环境质量标准》(GB3838-2002)Ⅱ类水质标准限值。</w:t>
      </w:r>
    </w:p>
    <w:p>
      <w:pPr>
        <w:pStyle w:val="3"/>
        <w:ind w:left="301" w:hanging="301"/>
      </w:pPr>
      <w:bookmarkStart w:id="157" w:name="_Toc86049198"/>
      <w:bookmarkStart w:id="158" w:name="_Toc80719414"/>
      <w:r>
        <w:rPr>
          <w:rFonts w:hint="eastAsia"/>
        </w:rPr>
        <w:t>监测成果评价</w:t>
      </w:r>
      <w:bookmarkEnd w:id="157"/>
      <w:bookmarkEnd w:id="158"/>
    </w:p>
    <w:p>
      <w:pPr>
        <w:ind w:firstLine="480"/>
      </w:pPr>
      <w:r>
        <w:rPr>
          <w:rFonts w:hint="eastAsia"/>
        </w:rPr>
        <w:t>本次水质监测项，符合《地表水环境质量标准——</w:t>
      </w:r>
      <w:r>
        <w:t>GB3838-2002</w:t>
      </w:r>
      <w:r>
        <w:rPr>
          <w:rFonts w:hint="eastAsia"/>
        </w:rPr>
        <w:t>》中规定的基本项目。采样频次符合《</w:t>
      </w:r>
      <w:r>
        <w:t>SL219</w:t>
      </w:r>
      <w:r>
        <w:rPr>
          <w:rFonts w:hint="eastAsia"/>
        </w:rPr>
        <w:t>—</w:t>
      </w:r>
      <w:r>
        <w:t>2013</w:t>
      </w:r>
      <w:r>
        <w:rPr>
          <w:rFonts w:hint="eastAsia"/>
        </w:rPr>
        <w:t>水环境监测规范》要求，本次水质监测数据由四川凯乐检测技术有限公司提供，监测机构具备计量认证证书，监测项目的分析均是按照国家或行业标准的要求进行，故监测数据具有可靠性和准确性。</w:t>
      </w:r>
    </w:p>
    <w:p>
      <w:pPr>
        <w:ind w:firstLine="480"/>
      </w:pPr>
      <w:r>
        <w:rPr>
          <w:rFonts w:hint="eastAsia"/>
        </w:rPr>
        <w:t>根据生态环境部环办[</w:t>
      </w:r>
      <w:r>
        <w:t>2011]22</w:t>
      </w:r>
      <w:r>
        <w:rPr>
          <w:rFonts w:hint="eastAsia"/>
        </w:rPr>
        <w:t>号关于印发《地表水环境质量评价办法（试行）》的通知，盐井河水环境质量评价办法参照《地表水环境质量评价办法（试行）》，评价指标为除水温、总氮、粪大肠菌群以外的各项指标，水温、总氮、</w:t>
      </w:r>
      <w:r>
        <w:t>粪大肠菌群</w:t>
      </w:r>
      <w:r>
        <w:rPr>
          <w:rFonts w:hint="eastAsia"/>
        </w:rPr>
        <w:t>作为参考指标单独评价。</w:t>
      </w:r>
    </w:p>
    <w:p>
      <w:pPr>
        <w:ind w:firstLine="480"/>
        <w:sectPr>
          <w:pgSz w:w="11906" w:h="16838"/>
          <w:pgMar w:top="1440" w:right="1800" w:bottom="1440" w:left="1800" w:header="851" w:footer="992" w:gutter="0"/>
          <w:cols w:space="425" w:num="1"/>
          <w:docGrid w:type="lines" w:linePitch="326" w:charSpace="0"/>
        </w:sectPr>
      </w:pPr>
      <w:r>
        <w:rPr>
          <w:rFonts w:hint="eastAsia"/>
        </w:rPr>
        <w:t>根据盐井河河长制水质监测成果和补充水质监测成果，盐井河水质均为Ⅱ类水标准。</w:t>
      </w:r>
    </w:p>
    <w:p>
      <w:pPr>
        <w:pStyle w:val="2"/>
      </w:pPr>
      <w:bookmarkStart w:id="159" w:name="_Toc80719415"/>
      <w:bookmarkStart w:id="160" w:name="_Toc86049199"/>
      <w:r>
        <w:rPr>
          <w:rFonts w:hint="eastAsia"/>
        </w:rPr>
        <w:t>河湖健康评价结果</w:t>
      </w:r>
      <w:bookmarkEnd w:id="159"/>
      <w:bookmarkEnd w:id="160"/>
    </w:p>
    <w:p>
      <w:pPr>
        <w:pStyle w:val="3"/>
        <w:ind w:left="301" w:hanging="301"/>
      </w:pPr>
      <w:bookmarkStart w:id="161" w:name="_Toc86049200"/>
      <w:bookmarkStart w:id="162" w:name="_Toc80719416"/>
      <w:r>
        <w:rPr>
          <w:rFonts w:hint="eastAsia"/>
        </w:rPr>
        <w:t>评价方法与结果</w:t>
      </w:r>
      <w:bookmarkEnd w:id="161"/>
      <w:bookmarkEnd w:id="162"/>
    </w:p>
    <w:p>
      <w:pPr>
        <w:pStyle w:val="4"/>
        <w:ind w:left="240"/>
      </w:pPr>
      <w:bookmarkStart w:id="163" w:name="_Toc86049201"/>
      <w:bookmarkStart w:id="164" w:name="_Toc80719417"/>
      <w:r>
        <w:rPr>
          <w:rFonts w:hint="eastAsia"/>
        </w:rPr>
        <w:t>水文水资源</w:t>
      </w:r>
      <w:bookmarkEnd w:id="163"/>
      <w:bookmarkEnd w:id="164"/>
    </w:p>
    <w:p>
      <w:pPr>
        <w:pStyle w:val="46"/>
        <w:numPr>
          <w:ilvl w:val="0"/>
          <w:numId w:val="3"/>
        </w:numPr>
        <w:ind w:firstLineChars="0"/>
        <w:rPr>
          <w:b/>
        </w:rPr>
      </w:pPr>
      <w:r>
        <w:rPr>
          <w:rFonts w:hint="eastAsia"/>
          <w:b/>
        </w:rPr>
        <w:t>水资源开发利用率</w:t>
      </w:r>
    </w:p>
    <w:p>
      <w:pPr>
        <w:ind w:firstLine="480"/>
        <w:rPr>
          <w:szCs w:val="24"/>
        </w:rPr>
      </w:pPr>
      <w:r>
        <w:rPr>
          <w:szCs w:val="24"/>
        </w:rPr>
        <w:t>盐井河上游陕西省宁强县境内</w:t>
      </w:r>
      <w:r>
        <w:rPr>
          <w:rFonts w:hint="eastAsia"/>
          <w:szCs w:val="24"/>
        </w:rPr>
        <w:t>于</w:t>
      </w:r>
      <w:r>
        <w:rPr>
          <w:szCs w:val="24"/>
        </w:rPr>
        <w:t>1999年建成了二郎坝引嘉（陵江）入汉（江）工程，将东河</w:t>
      </w:r>
      <w:r>
        <w:rPr>
          <w:rFonts w:hint="eastAsia"/>
          <w:szCs w:val="24"/>
        </w:rPr>
        <w:t>一级支流</w:t>
      </w:r>
      <w:r>
        <w:t>盐井河</w:t>
      </w:r>
      <w:r>
        <w:rPr>
          <w:szCs w:val="24"/>
        </w:rPr>
        <w:t>水引入了汉江水系，</w:t>
      </w:r>
      <w:r>
        <w:rPr>
          <w:rFonts w:hint="eastAsia"/>
          <w:szCs w:val="24"/>
        </w:rPr>
        <w:t>二郎坝调水工程造成旺苍县盐井河水量减少，对盐井河开发利用率有直接影响，二郎坝引嘉入汉工程概况如下：</w:t>
      </w:r>
    </w:p>
    <w:p>
      <w:pPr>
        <w:ind w:firstLine="480"/>
        <w:rPr>
          <w:szCs w:val="24"/>
        </w:rPr>
      </w:pPr>
      <w:r>
        <w:rPr>
          <w:rFonts w:hint="eastAsia"/>
          <w:szCs w:val="24"/>
        </w:rPr>
        <w:t>二郎坝引嘉入汉工程位于宁强县境内，距陕川交界2</w:t>
      </w:r>
      <w:r>
        <w:rPr>
          <w:szCs w:val="24"/>
        </w:rPr>
        <w:t>7</w:t>
      </w:r>
      <w:r>
        <w:rPr>
          <w:rFonts w:hint="eastAsia"/>
          <w:szCs w:val="24"/>
        </w:rPr>
        <w:t>km，是一项将嘉陵江二级支流西流河（盐井河上游）引入汉江上游玉带河的中型跨流域调水梯级开发工程。该工程是利用了西流河与玉带河的地形高差，并在在西流河干流天生桥处，建成天生桥水库，在天生桥坝后建成天生桥电站，在坝址下游该流域内建成二郎坝电站，在玉带河流域建成卧龙台电站。</w:t>
      </w:r>
    </w:p>
    <w:p>
      <w:pPr>
        <w:ind w:firstLine="480"/>
        <w:rPr>
          <w:szCs w:val="24"/>
        </w:rPr>
      </w:pPr>
      <w:r>
        <w:rPr>
          <w:rFonts w:hint="eastAsia"/>
          <w:szCs w:val="24"/>
        </w:rPr>
        <w:t>1989年卧龙台电站Ⅰ期建成运行，并从西流河雷家湾渠首引水至卧龙台。而20世纪90年代，随着天生桥水库及坝后电站、二郎坝电站和卧龙台电站的全面建成，卧龙台电站的引水均从二郎坝引水隧洞过流，雷家湾渠首引水就自动废除了；但2000年之后，宁强县迫切需解决县城供水问题，又从原雷家湾渠首引水至卧龙台电站前池，另一方面通过3级电站的运行，将天生桥水库作为水源地，从前池沿玉带河铺设管道引至宁强县城，县城供水的引水流量0.17m</w:t>
      </w:r>
      <w:r>
        <w:rPr>
          <w:rFonts w:hint="eastAsia"/>
          <w:szCs w:val="24"/>
          <w:vertAlign w:val="superscript"/>
        </w:rPr>
        <w:t>3</w:t>
      </w:r>
      <w:r>
        <w:rPr>
          <w:rFonts w:hint="eastAsia"/>
          <w:szCs w:val="24"/>
        </w:rPr>
        <w:t>/s。</w:t>
      </w:r>
    </w:p>
    <w:p>
      <w:pPr>
        <w:ind w:firstLine="480"/>
        <w:rPr>
          <w:szCs w:val="24"/>
        </w:rPr>
      </w:pPr>
      <w:r>
        <w:rPr>
          <w:rFonts w:hint="eastAsia"/>
          <w:szCs w:val="24"/>
        </w:rPr>
        <w:t>1999年~2012年期间，对二郎坝水电工程进行了多次优化和扩容设计，进行变更是因为原机组设备老化，轮转效率较低，无法有效利用水资源，通讯监控系统落后。经过优化后，总装机容量由46MW最终变成53.05MW，年平均发电量由1.794亿kW·h最终变成2亿kW·h。</w:t>
      </w:r>
    </w:p>
    <w:p>
      <w:pPr>
        <w:ind w:firstLine="480"/>
        <w:rPr>
          <w:szCs w:val="24"/>
        </w:rPr>
      </w:pPr>
      <w:r>
        <w:rPr>
          <w:rFonts w:hint="eastAsia"/>
          <w:szCs w:val="24"/>
        </w:rPr>
        <w:t>二郎坝调水梯级开发工程中天生桥电站为第1级电站，设计流量17.19m</w:t>
      </w:r>
      <w:r>
        <w:rPr>
          <w:rFonts w:hint="eastAsia"/>
          <w:szCs w:val="24"/>
          <w:vertAlign w:val="superscript"/>
        </w:rPr>
        <w:t>3</w:t>
      </w:r>
      <w:r>
        <w:rPr>
          <w:rFonts w:hint="eastAsia"/>
          <w:szCs w:val="24"/>
        </w:rPr>
        <w:t>/s，总装机容量12MW，年发电量4290万kW·h；二郎坝电站为第2级电站，原设计流量14.5m</w:t>
      </w:r>
      <w:r>
        <w:rPr>
          <w:rFonts w:hint="eastAsia"/>
          <w:szCs w:val="24"/>
          <w:vertAlign w:val="superscript"/>
        </w:rPr>
        <w:t>3</w:t>
      </w:r>
      <w:r>
        <w:rPr>
          <w:rFonts w:hint="eastAsia"/>
          <w:szCs w:val="24"/>
        </w:rPr>
        <w:t>/s，总装机容量6MW，年发电量2400万kW·h。2011年，二郎坝电站在历经两次变更设计后，引水流量增加到16m</w:t>
      </w:r>
      <w:r>
        <w:rPr>
          <w:rFonts w:hint="eastAsia"/>
          <w:szCs w:val="24"/>
          <w:vertAlign w:val="superscript"/>
        </w:rPr>
        <w:t>3</w:t>
      </w:r>
      <w:r>
        <w:rPr>
          <w:rFonts w:hint="eastAsia"/>
          <w:szCs w:val="24"/>
        </w:rPr>
        <w:t>/s，总装机容量增加到8.55MW；卧龙台电站为第3级电站，该电站分为两期，设计流量14.5m</w:t>
      </w:r>
      <w:r>
        <w:rPr>
          <w:rFonts w:hint="eastAsia"/>
          <w:szCs w:val="24"/>
          <w:vertAlign w:val="superscript"/>
        </w:rPr>
        <w:t>3</w:t>
      </w:r>
      <w:r>
        <w:rPr>
          <w:rFonts w:hint="eastAsia"/>
          <w:szCs w:val="24"/>
        </w:rPr>
        <w:t>/s（Ⅰ期4.08m</w:t>
      </w:r>
      <w:r>
        <w:rPr>
          <w:rFonts w:hint="eastAsia"/>
          <w:szCs w:val="24"/>
          <w:vertAlign w:val="superscript"/>
        </w:rPr>
        <w:t>3</w:t>
      </w:r>
      <w:r>
        <w:rPr>
          <w:rFonts w:hint="eastAsia"/>
          <w:szCs w:val="24"/>
        </w:rPr>
        <w:t>/s、Ⅱ期10.14m</w:t>
      </w:r>
      <w:r>
        <w:rPr>
          <w:rFonts w:hint="eastAsia"/>
          <w:szCs w:val="24"/>
          <w:vertAlign w:val="superscript"/>
        </w:rPr>
        <w:t>3</w:t>
      </w:r>
      <w:r>
        <w:rPr>
          <w:rFonts w:hint="eastAsia"/>
          <w:szCs w:val="24"/>
        </w:rPr>
        <w:t>/s），总装机容量28MW。2012年，历经两次优化设计之后，卧龙台电站引水流量最终变为16.72m</w:t>
      </w:r>
      <w:r>
        <w:rPr>
          <w:rFonts w:hint="eastAsia"/>
          <w:szCs w:val="24"/>
          <w:vertAlign w:val="superscript"/>
        </w:rPr>
        <w:t>3</w:t>
      </w:r>
      <w:r>
        <w:rPr>
          <w:rFonts w:hint="eastAsia"/>
          <w:szCs w:val="24"/>
        </w:rPr>
        <w:t>/s，总装机容量最终变为32.5MW。</w:t>
      </w:r>
    </w:p>
    <w:p>
      <w:pPr>
        <w:ind w:firstLine="480"/>
      </w:pPr>
      <w:r>
        <w:t>二郎坝引嘉（陵江）入汉（江）工程的天生桥水库集水面积401km</w:t>
      </w:r>
      <w:r>
        <w:rPr>
          <w:vertAlign w:val="superscript"/>
        </w:rPr>
        <w:t>2</w:t>
      </w:r>
      <w:r>
        <w:rPr>
          <w:rFonts w:hint="eastAsia"/>
        </w:rPr>
        <w:t>，</w:t>
      </w:r>
      <w:r>
        <w:t>总库容7800万m</w:t>
      </w:r>
      <w:r>
        <w:rPr>
          <w:vertAlign w:val="superscript"/>
        </w:rPr>
        <w:t>3</w:t>
      </w:r>
      <w:r>
        <w:t>，调节库容5000万m</w:t>
      </w:r>
      <w:r>
        <w:rPr>
          <w:vertAlign w:val="superscript"/>
        </w:rPr>
        <w:t>3</w:t>
      </w:r>
      <w:r>
        <w:t>，引水流量16.72m</w:t>
      </w:r>
      <w:r>
        <w:rPr>
          <w:vertAlign w:val="superscript"/>
        </w:rPr>
        <w:t>3</w:t>
      </w:r>
      <w:r>
        <w:t>/s，</w:t>
      </w:r>
      <w:r>
        <w:rPr>
          <w:rFonts w:hint="eastAsia"/>
        </w:rPr>
        <w:t>生态下泄流量0</w:t>
      </w:r>
      <w:r>
        <w:t>.81m</w:t>
      </w:r>
      <w:r>
        <w:rPr>
          <w:vertAlign w:val="superscript"/>
        </w:rPr>
        <w:t>3</w:t>
      </w:r>
      <w:r>
        <w:t>/s</w:t>
      </w:r>
      <w:r>
        <w:rPr>
          <w:rFonts w:hint="eastAsia"/>
        </w:rPr>
        <w:t>。</w:t>
      </w:r>
    </w:p>
    <w:p>
      <w:pPr>
        <w:ind w:firstLine="0" w:firstLineChars="0"/>
      </w:pPr>
      <w:r>
        <w:rPr>
          <w:rFonts w:hint="eastAsia"/>
        </w:rPr>
        <w:t>由于该工程为梯级调水，</w:t>
      </w:r>
      <w:r>
        <w:rPr>
          <w:szCs w:val="24"/>
        </w:rPr>
        <w:t>致使天生桥水库坝址处小于</w:t>
      </w:r>
      <w:r>
        <w:rPr>
          <w:rFonts w:hint="eastAsia"/>
          <w:szCs w:val="24"/>
        </w:rPr>
        <w:t>设计</w:t>
      </w:r>
      <w:r>
        <w:rPr>
          <w:szCs w:val="24"/>
        </w:rPr>
        <w:t>洪水标准（P=2%）时</w:t>
      </w:r>
      <w:r>
        <w:rPr>
          <w:rFonts w:hint="eastAsia"/>
          <w:szCs w:val="24"/>
        </w:rPr>
        <w:t>除下泄生态流量外</w:t>
      </w:r>
      <w:r>
        <w:rPr>
          <w:szCs w:val="24"/>
        </w:rPr>
        <w:t>全部截流</w:t>
      </w:r>
      <w:r>
        <w:rPr>
          <w:rFonts w:hint="eastAsia"/>
          <w:szCs w:val="24"/>
        </w:rPr>
        <w:t>，</w:t>
      </w:r>
      <w:r>
        <w:t>也就是说洪水水量进入下游的旺苍境内河段属偶然事件。</w:t>
      </w:r>
      <w:r>
        <w:rPr>
          <w:rFonts w:hint="eastAsia"/>
        </w:rPr>
        <w:t>二郎坝梯级调水工程平面布置示意图见</w:t>
      </w:r>
      <w:r>
        <w:fldChar w:fldCharType="begin"/>
      </w:r>
      <w:r>
        <w:instrText xml:space="preserve"> </w:instrText>
      </w:r>
      <w:r>
        <w:rPr>
          <w:rFonts w:hint="eastAsia"/>
        </w:rPr>
        <w:instrText xml:space="preserve">REF _Ref85973499 \h</w:instrText>
      </w:r>
      <w:r>
        <w:instrText xml:space="preserve"> </w:instrText>
      </w:r>
      <w:r>
        <w:fldChar w:fldCharType="separate"/>
      </w:r>
      <w:r>
        <w:rPr>
          <w:rFonts w:hint="eastAsia"/>
        </w:rPr>
        <w:t>图</w:t>
      </w:r>
      <w:r>
        <w:t>5.1</w:t>
      </w:r>
      <w:r>
        <w:noBreakHyphen/>
      </w:r>
      <w:r>
        <w:t>1</w:t>
      </w:r>
      <w:r>
        <w:fldChar w:fldCharType="end"/>
      </w:r>
    </w:p>
    <w:p>
      <w:pPr>
        <w:ind w:firstLine="0" w:firstLineChars="0"/>
      </w:pPr>
      <w:r>
        <w:drawing>
          <wp:inline distT="0" distB="0" distL="0" distR="0">
            <wp:extent cx="5274310" cy="2625725"/>
            <wp:effectExtent l="0" t="0" r="2540" b="317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9"/>
                    <a:stretch>
                      <a:fillRect/>
                    </a:stretch>
                  </pic:blipFill>
                  <pic:spPr>
                    <a:xfrm>
                      <a:off x="0" y="0"/>
                      <a:ext cx="5274310" cy="2625725"/>
                    </a:xfrm>
                    <a:prstGeom prst="rect">
                      <a:avLst/>
                    </a:prstGeom>
                  </pic:spPr>
                </pic:pic>
              </a:graphicData>
            </a:graphic>
          </wp:inline>
        </w:drawing>
      </w:r>
    </w:p>
    <w:p>
      <w:pPr>
        <w:pStyle w:val="57"/>
      </w:pPr>
      <w:bookmarkStart w:id="165" w:name="_Ref85973499"/>
      <w:bookmarkStart w:id="166" w:name="_Ref82521806"/>
      <w:r>
        <w:rPr>
          <w:rFonts w:hint="eastAsia"/>
        </w:rPr>
        <w:t>图</w:t>
      </w:r>
      <w:r>
        <w:fldChar w:fldCharType="begin"/>
      </w:r>
      <w:r>
        <w:instrText xml:space="preserve"> </w:instrText>
      </w:r>
      <w:r>
        <w:rPr>
          <w:rFonts w:hint="eastAsia"/>
        </w:rPr>
        <w:instrText xml:space="preserve">STYLEREF 2 \s</w:instrText>
      </w:r>
      <w:r>
        <w:instrText xml:space="preserve"> </w:instrText>
      </w:r>
      <w:r>
        <w:fldChar w:fldCharType="separate"/>
      </w:r>
      <w:r>
        <w:t>5.1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t>1</w:t>
      </w:r>
      <w:r>
        <w:fldChar w:fldCharType="end"/>
      </w:r>
      <w:bookmarkEnd w:id="165"/>
      <w:r>
        <w:rPr>
          <w:rFonts w:hint="eastAsia"/>
        </w:rPr>
        <w:t>二郎坝梯级调水工程平面布置示意图</w:t>
      </w:r>
    </w:p>
    <w:bookmarkEnd w:id="166"/>
    <w:p>
      <w:pPr>
        <w:ind w:firstLine="480"/>
      </w:pPr>
      <w:r>
        <w:t>根据旺苍站的1959-1998年实测径流系列资料按扣除天生桥水库集水面积后的2300km</w:t>
      </w:r>
      <w:r>
        <w:rPr>
          <w:vertAlign w:val="superscript"/>
        </w:rPr>
        <w:t>2</w:t>
      </w:r>
      <w:r>
        <w:t>进行修正</w:t>
      </w:r>
      <w:r>
        <w:rPr>
          <w:rFonts w:hint="eastAsia"/>
        </w:rPr>
        <w:t>，计算得盐井河汇口现状多年平均流量为2</w:t>
      </w:r>
      <w:r>
        <w:t>2.7</w:t>
      </w:r>
      <w:r>
        <w:rPr>
          <w:rFonts w:hint="eastAsia"/>
        </w:rPr>
        <w:t>m</w:t>
      </w:r>
      <w:r>
        <w:rPr>
          <w:rFonts w:hint="eastAsia"/>
          <w:vertAlign w:val="superscript"/>
        </w:rPr>
        <w:t>3</w:t>
      </w:r>
      <w:r>
        <w:t>/</w:t>
      </w:r>
      <w:r>
        <w:rPr>
          <w:rFonts w:hint="eastAsia"/>
        </w:rPr>
        <w:t>s</w:t>
      </w:r>
      <w:r>
        <w:t>，</w:t>
      </w:r>
      <w:r>
        <w:rPr>
          <w:rFonts w:hint="eastAsia"/>
        </w:rPr>
        <w:t>根据天生桥水库设计资料，天生桥水库坝址多年平均流量7</w:t>
      </w:r>
      <w:r>
        <w:t>.11</w:t>
      </w:r>
      <w:r>
        <w:rPr>
          <w:rFonts w:hint="eastAsia"/>
        </w:rPr>
        <w:t xml:space="preserve"> m</w:t>
      </w:r>
      <w:r>
        <w:rPr>
          <w:rFonts w:hint="eastAsia"/>
          <w:vertAlign w:val="superscript"/>
        </w:rPr>
        <w:t>3</w:t>
      </w:r>
      <w:r>
        <w:t>/</w:t>
      </w:r>
      <w:r>
        <w:rPr>
          <w:rFonts w:hint="eastAsia"/>
        </w:rPr>
        <w:t>s</w:t>
      </w:r>
      <w:r>
        <w:t>，</w:t>
      </w:r>
      <w:r>
        <w:rPr>
          <w:rFonts w:hint="eastAsia"/>
        </w:rPr>
        <w:t>则盐井河天然来水径流量为</w:t>
      </w:r>
      <w:r>
        <w:t>29.81</w:t>
      </w:r>
      <w:r>
        <w:rPr>
          <w:rFonts w:hint="eastAsia"/>
        </w:rPr>
        <w:t>m</w:t>
      </w:r>
      <w:r>
        <w:rPr>
          <w:rFonts w:hint="eastAsia"/>
          <w:vertAlign w:val="superscript"/>
        </w:rPr>
        <w:t>3</w:t>
      </w:r>
      <w:r>
        <w:t>/</w:t>
      </w:r>
      <w:r>
        <w:rPr>
          <w:rFonts w:hint="eastAsia"/>
        </w:rPr>
        <w:t>s</w:t>
      </w:r>
      <w:r>
        <w:t>，</w:t>
      </w:r>
      <w:r>
        <w:rPr>
          <w:rFonts w:hint="eastAsia"/>
        </w:rPr>
        <w:t>天然地表水资源总量</w:t>
      </w:r>
      <w:r>
        <w:t>9.40</w:t>
      </w:r>
      <w:r>
        <w:rPr>
          <w:rFonts w:hint="eastAsia"/>
        </w:rPr>
        <w:t>亿m</w:t>
      </w:r>
      <w:r>
        <w:rPr>
          <w:rFonts w:hint="eastAsia"/>
          <w:vertAlign w:val="superscript"/>
        </w:rPr>
        <w:t>3</w:t>
      </w:r>
      <w:r>
        <w:t>，二郎坝引嘉（陵江）入汉（江）</w:t>
      </w:r>
      <w:r>
        <w:rPr>
          <w:rFonts w:hint="eastAsia"/>
        </w:rPr>
        <w:t>引调水量</w:t>
      </w:r>
      <w:r>
        <w:t>1.99</w:t>
      </w:r>
      <w:r>
        <w:rPr>
          <w:rFonts w:hint="eastAsia"/>
        </w:rPr>
        <w:t>亿</w:t>
      </w:r>
      <w:r>
        <w:t>m</w:t>
      </w:r>
      <w:r>
        <w:rPr>
          <w:vertAlign w:val="superscript"/>
        </w:rPr>
        <w:t>3</w:t>
      </w:r>
      <w:r>
        <w:rPr>
          <w:rFonts w:hint="eastAsia"/>
        </w:rPr>
        <w:t>。考虑上游引调水工程后盐井河水资源开发利用率见</w:t>
      </w:r>
      <w:r>
        <w:fldChar w:fldCharType="begin"/>
      </w:r>
      <w:r>
        <w:instrText xml:space="preserve"> </w:instrText>
      </w:r>
      <w:r>
        <w:rPr>
          <w:rFonts w:hint="eastAsia"/>
        </w:rPr>
        <w:instrText xml:space="preserve">REF _Ref82521806 \h</w:instrText>
      </w:r>
      <w:r>
        <w:instrText xml:space="preserve">  \* MERGEFORMAT </w:instrText>
      </w:r>
      <w:r>
        <w:fldChar w:fldCharType="separate"/>
      </w:r>
      <w:r>
        <w:rPr>
          <w:rFonts w:hint="eastAsia"/>
        </w:rPr>
        <w:t>图</w:t>
      </w:r>
      <w:r>
        <w:t>5.1</w:t>
      </w:r>
      <w:r>
        <w:noBreakHyphen/>
      </w:r>
      <w:r>
        <w:t>1</w:t>
      </w:r>
      <w:r>
        <w:rPr>
          <w:rFonts w:hint="eastAsia"/>
        </w:rPr>
        <w:t>二郎坝梯级调水工程平面布置示意图</w:t>
      </w:r>
    </w:p>
    <w:p>
      <w:pPr>
        <w:ind w:firstLine="0" w:firstLineChars="0"/>
        <w:jc w:val="center"/>
        <w:rPr>
          <w:rFonts w:cs="Arial"/>
          <w:b/>
          <w:kern w:val="0"/>
          <w:szCs w:val="20"/>
        </w:rPr>
      </w:pPr>
      <w:r>
        <w:fldChar w:fldCharType="end"/>
      </w:r>
      <w:r>
        <w:rPr>
          <w:rFonts w:hint="eastAsia" w:cs="Arial"/>
          <w:b/>
          <w:kern w:val="0"/>
          <w:szCs w:val="20"/>
        </w:rPr>
        <w:t>表</w:t>
      </w:r>
      <w:r>
        <w:rPr>
          <w:rFonts w:cs="Arial"/>
          <w:b/>
          <w:kern w:val="0"/>
          <w:szCs w:val="20"/>
        </w:rPr>
        <w:fldChar w:fldCharType="begin"/>
      </w:r>
      <w:r>
        <w:rPr>
          <w:rFonts w:cs="Arial"/>
          <w:b/>
          <w:kern w:val="0"/>
          <w:szCs w:val="20"/>
        </w:rPr>
        <w:instrText xml:space="preserve"> </w:instrText>
      </w:r>
      <w:r>
        <w:rPr>
          <w:rFonts w:hint="eastAsia" w:cs="Arial"/>
          <w:b/>
          <w:kern w:val="0"/>
          <w:szCs w:val="20"/>
        </w:rPr>
        <w:instrText xml:space="preserve">STYLEREF 2 \s</w:instrText>
      </w:r>
      <w:r>
        <w:rPr>
          <w:rFonts w:cs="Arial"/>
          <w:b/>
          <w:kern w:val="0"/>
          <w:szCs w:val="20"/>
        </w:rPr>
        <w:instrText xml:space="preserve"> </w:instrText>
      </w:r>
      <w:r>
        <w:rPr>
          <w:rFonts w:cs="Arial"/>
          <w:b/>
          <w:kern w:val="0"/>
          <w:szCs w:val="20"/>
        </w:rPr>
        <w:fldChar w:fldCharType="separate"/>
      </w:r>
      <w:r>
        <w:rPr>
          <w:rFonts w:cs="Arial"/>
          <w:b/>
          <w:kern w:val="0"/>
          <w:szCs w:val="20"/>
        </w:rPr>
        <w:t>5.1</w:t>
      </w:r>
      <w:r>
        <w:rPr>
          <w:rFonts w:cs="Arial"/>
          <w:b/>
          <w:kern w:val="0"/>
          <w:szCs w:val="20"/>
        </w:rPr>
        <w:fldChar w:fldCharType="end"/>
      </w:r>
      <w:r>
        <w:rPr>
          <w:rFonts w:cs="Arial"/>
          <w:b/>
          <w:kern w:val="0"/>
          <w:szCs w:val="20"/>
        </w:rPr>
        <w:noBreakHyphen/>
      </w:r>
      <w:r>
        <w:rPr>
          <w:rFonts w:cs="Arial"/>
          <w:b/>
          <w:kern w:val="0"/>
          <w:szCs w:val="20"/>
        </w:rPr>
        <w:fldChar w:fldCharType="begin"/>
      </w:r>
      <w:r>
        <w:rPr>
          <w:rFonts w:cs="Arial"/>
          <w:b/>
          <w:kern w:val="0"/>
          <w:szCs w:val="20"/>
        </w:rPr>
        <w:instrText xml:space="preserve"> </w:instrText>
      </w:r>
      <w:r>
        <w:rPr>
          <w:rFonts w:hint="eastAsia" w:cs="Arial"/>
          <w:b/>
          <w:kern w:val="0"/>
          <w:szCs w:val="20"/>
        </w:rPr>
        <w:instrText xml:space="preserve">SEQ 表 \* ARABIC \s 2</w:instrText>
      </w:r>
      <w:r>
        <w:rPr>
          <w:rFonts w:cs="Arial"/>
          <w:b/>
          <w:kern w:val="0"/>
          <w:szCs w:val="20"/>
        </w:rPr>
        <w:instrText xml:space="preserve"> </w:instrText>
      </w:r>
      <w:r>
        <w:rPr>
          <w:rFonts w:cs="Arial"/>
          <w:b/>
          <w:kern w:val="0"/>
          <w:szCs w:val="20"/>
        </w:rPr>
        <w:fldChar w:fldCharType="separate"/>
      </w:r>
      <w:r>
        <w:rPr>
          <w:rFonts w:cs="Arial"/>
          <w:b/>
          <w:kern w:val="0"/>
          <w:szCs w:val="20"/>
        </w:rPr>
        <w:t>1</w:t>
      </w:r>
      <w:r>
        <w:rPr>
          <w:rFonts w:cs="Arial"/>
          <w:b/>
          <w:kern w:val="0"/>
          <w:szCs w:val="20"/>
        </w:rPr>
        <w:fldChar w:fldCharType="end"/>
      </w:r>
      <w:r>
        <w:rPr>
          <w:rFonts w:hint="eastAsia" w:cs="Arial"/>
          <w:b/>
          <w:kern w:val="0"/>
          <w:szCs w:val="20"/>
        </w:rPr>
        <w:t>盐井河</w:t>
      </w:r>
      <w:r>
        <w:rPr>
          <w:rFonts w:cs="Arial"/>
          <w:b/>
          <w:kern w:val="0"/>
          <w:szCs w:val="20"/>
        </w:rPr>
        <w:t>水资源开发利用率统计表</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9"/>
        <w:gridCol w:w="2630"/>
        <w:gridCol w:w="2630"/>
        <w:gridCol w:w="22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98" w:type="pct"/>
            <w:shd w:val="clear" w:color="auto" w:fill="auto"/>
            <w:noWrap/>
            <w:vAlign w:val="center"/>
          </w:tcPr>
          <w:p>
            <w:pPr>
              <w:widowControl/>
              <w:snapToGrid/>
              <w:spacing w:line="240" w:lineRule="auto"/>
              <w:ind w:firstLine="0" w:firstLineChars="0"/>
              <w:jc w:val="center"/>
              <w:rPr>
                <w:kern w:val="0"/>
                <w:sz w:val="21"/>
              </w:rPr>
            </w:pPr>
            <w:r>
              <w:rPr>
                <w:kern w:val="0"/>
                <w:sz w:val="21"/>
              </w:rPr>
              <w:t>流域</w:t>
            </w:r>
          </w:p>
        </w:tc>
        <w:tc>
          <w:tcPr>
            <w:tcW w:w="1543" w:type="pct"/>
            <w:shd w:val="clear" w:color="auto" w:fill="auto"/>
            <w:noWrap/>
            <w:vAlign w:val="center"/>
          </w:tcPr>
          <w:p>
            <w:pPr>
              <w:widowControl/>
              <w:snapToGrid/>
              <w:spacing w:line="240" w:lineRule="auto"/>
              <w:ind w:firstLine="0" w:firstLineChars="0"/>
              <w:jc w:val="center"/>
              <w:rPr>
                <w:kern w:val="0"/>
                <w:sz w:val="21"/>
              </w:rPr>
            </w:pPr>
            <w:r>
              <w:rPr>
                <w:kern w:val="0"/>
                <w:sz w:val="21"/>
              </w:rPr>
              <w:t>水资源总量（亿m</w:t>
            </w:r>
            <w:r>
              <w:rPr>
                <w:kern w:val="0"/>
                <w:sz w:val="21"/>
                <w:vertAlign w:val="superscript"/>
              </w:rPr>
              <w:t>3</w:t>
            </w:r>
            <w:r>
              <w:rPr>
                <w:kern w:val="0"/>
                <w:sz w:val="21"/>
              </w:rPr>
              <w:t>）</w:t>
            </w:r>
          </w:p>
        </w:tc>
        <w:tc>
          <w:tcPr>
            <w:tcW w:w="1543" w:type="pct"/>
            <w:shd w:val="clear" w:color="auto" w:fill="auto"/>
            <w:noWrap/>
            <w:vAlign w:val="center"/>
          </w:tcPr>
          <w:p>
            <w:pPr>
              <w:widowControl/>
              <w:snapToGrid/>
              <w:spacing w:line="240" w:lineRule="auto"/>
              <w:ind w:firstLine="0" w:firstLineChars="0"/>
              <w:jc w:val="center"/>
              <w:rPr>
                <w:kern w:val="0"/>
                <w:sz w:val="21"/>
              </w:rPr>
            </w:pPr>
            <w:r>
              <w:rPr>
                <w:kern w:val="0"/>
                <w:sz w:val="21"/>
              </w:rPr>
              <w:t>开发利用量（万m</w:t>
            </w:r>
            <w:r>
              <w:rPr>
                <w:kern w:val="0"/>
                <w:sz w:val="21"/>
                <w:vertAlign w:val="superscript"/>
              </w:rPr>
              <w:t>3</w:t>
            </w:r>
            <w:r>
              <w:rPr>
                <w:kern w:val="0"/>
                <w:sz w:val="21"/>
              </w:rPr>
              <w:t>）</w:t>
            </w:r>
          </w:p>
        </w:tc>
        <w:tc>
          <w:tcPr>
            <w:tcW w:w="1316" w:type="pct"/>
            <w:shd w:val="clear" w:color="auto" w:fill="auto"/>
            <w:noWrap/>
            <w:vAlign w:val="center"/>
          </w:tcPr>
          <w:p>
            <w:pPr>
              <w:widowControl/>
              <w:snapToGrid/>
              <w:spacing w:line="240" w:lineRule="auto"/>
              <w:ind w:firstLine="0" w:firstLineChars="0"/>
              <w:jc w:val="center"/>
              <w:rPr>
                <w:kern w:val="0"/>
                <w:sz w:val="21"/>
              </w:rPr>
            </w:pPr>
            <w:r>
              <w:rPr>
                <w:kern w:val="0"/>
                <w:sz w:val="21"/>
              </w:rPr>
              <w:t>开发利用率（%）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98" w:type="pct"/>
            <w:shd w:val="clear" w:color="auto" w:fill="auto"/>
            <w:noWrap/>
            <w:vAlign w:val="center"/>
          </w:tcPr>
          <w:p>
            <w:pPr>
              <w:widowControl/>
              <w:snapToGrid/>
              <w:spacing w:line="240" w:lineRule="auto"/>
              <w:ind w:firstLine="0" w:firstLineChars="0"/>
              <w:jc w:val="center"/>
              <w:rPr>
                <w:kern w:val="0"/>
                <w:sz w:val="21"/>
              </w:rPr>
            </w:pPr>
            <w:r>
              <w:rPr>
                <w:kern w:val="0"/>
                <w:sz w:val="21"/>
              </w:rPr>
              <w:t>盐井河</w:t>
            </w:r>
          </w:p>
        </w:tc>
        <w:tc>
          <w:tcPr>
            <w:tcW w:w="1543" w:type="pct"/>
            <w:shd w:val="clear" w:color="auto" w:fill="auto"/>
            <w:noWrap/>
            <w:vAlign w:val="center"/>
          </w:tcPr>
          <w:p>
            <w:pPr>
              <w:widowControl/>
              <w:snapToGrid/>
              <w:spacing w:line="240" w:lineRule="auto"/>
              <w:ind w:firstLine="0" w:firstLineChars="0"/>
              <w:jc w:val="center"/>
              <w:rPr>
                <w:kern w:val="0"/>
                <w:sz w:val="21"/>
              </w:rPr>
            </w:pPr>
            <w:r>
              <w:rPr>
                <w:kern w:val="0"/>
                <w:sz w:val="21"/>
              </w:rPr>
              <w:t>9.40</w:t>
            </w:r>
          </w:p>
        </w:tc>
        <w:tc>
          <w:tcPr>
            <w:tcW w:w="1543" w:type="pct"/>
            <w:shd w:val="clear" w:color="auto" w:fill="auto"/>
            <w:noWrap/>
            <w:vAlign w:val="center"/>
          </w:tcPr>
          <w:p>
            <w:pPr>
              <w:widowControl/>
              <w:snapToGrid/>
              <w:spacing w:line="240" w:lineRule="auto"/>
              <w:ind w:firstLine="0" w:firstLineChars="0"/>
              <w:jc w:val="center"/>
              <w:rPr>
                <w:kern w:val="0"/>
                <w:sz w:val="21"/>
              </w:rPr>
            </w:pPr>
            <w:r>
              <w:rPr>
                <w:kern w:val="0"/>
                <w:sz w:val="21"/>
              </w:rPr>
              <w:t>1.99</w:t>
            </w:r>
          </w:p>
        </w:tc>
        <w:tc>
          <w:tcPr>
            <w:tcW w:w="1316" w:type="pct"/>
            <w:shd w:val="clear" w:color="auto" w:fill="auto"/>
            <w:noWrap/>
            <w:vAlign w:val="center"/>
          </w:tcPr>
          <w:p>
            <w:pPr>
              <w:widowControl/>
              <w:snapToGrid/>
              <w:spacing w:line="240" w:lineRule="auto"/>
              <w:ind w:firstLine="0" w:firstLineChars="0"/>
              <w:jc w:val="center"/>
              <w:rPr>
                <w:kern w:val="0"/>
                <w:sz w:val="21"/>
              </w:rPr>
            </w:pPr>
            <w:r>
              <w:rPr>
                <w:kern w:val="0"/>
                <w:sz w:val="21"/>
              </w:rPr>
              <w:t>21.13</w:t>
            </w:r>
          </w:p>
        </w:tc>
      </w:tr>
    </w:tbl>
    <w:p>
      <w:pPr>
        <w:ind w:firstLine="480"/>
      </w:pPr>
    </w:p>
    <w:p>
      <w:pPr>
        <w:ind w:firstLine="480"/>
      </w:pPr>
      <w:r>
        <w:rPr>
          <w:rFonts w:hint="eastAsia"/>
        </w:rPr>
        <w:t>综上，盐井河在旺苍县境内无河道外用水，但陕西省境内</w:t>
      </w:r>
      <w:r>
        <w:t>二郎坝引嘉（陵江）入汉（江）工程</w:t>
      </w:r>
      <w:r>
        <w:rPr>
          <w:rFonts w:hint="eastAsia"/>
        </w:rPr>
        <w:t>将盐井河上游4</w:t>
      </w:r>
      <w:r>
        <w:t>01</w:t>
      </w:r>
      <w:r>
        <w:rPr>
          <w:rFonts w:hint="eastAsia"/>
        </w:rPr>
        <w:t>km</w:t>
      </w:r>
      <w:r>
        <w:rPr>
          <w:vertAlign w:val="superscript"/>
        </w:rPr>
        <w:t>2</w:t>
      </w:r>
      <w:r>
        <w:rPr>
          <w:rFonts w:hint="eastAsia"/>
        </w:rPr>
        <w:t>天然来水全部引入汉江，盐井河实际流域面积由1</w:t>
      </w:r>
      <w:r>
        <w:t>401</w:t>
      </w:r>
      <w:r>
        <w:rPr>
          <w:rFonts w:hint="eastAsia"/>
        </w:rPr>
        <w:t>km</w:t>
      </w:r>
      <w:r>
        <w:rPr>
          <w:vertAlign w:val="superscript"/>
        </w:rPr>
        <w:t>2</w:t>
      </w:r>
      <w:r>
        <w:rPr>
          <w:rFonts w:hint="eastAsia"/>
        </w:rPr>
        <w:t>减少至</w:t>
      </w:r>
      <w:r>
        <w:t>1000</w:t>
      </w:r>
      <w:r>
        <w:rPr>
          <w:rFonts w:hint="eastAsia"/>
        </w:rPr>
        <w:t>km</w:t>
      </w:r>
      <w:r>
        <w:rPr>
          <w:vertAlign w:val="superscript"/>
        </w:rPr>
        <w:t>2</w:t>
      </w:r>
      <w:r>
        <w:rPr>
          <w:rFonts w:hint="eastAsia"/>
        </w:rPr>
        <w:t>，直接导致盐井河下游水量锐减。考虑二郎坝</w:t>
      </w:r>
      <w:r>
        <w:t>引嘉（陵江）入汉（江）</w:t>
      </w:r>
      <w:r>
        <w:rPr>
          <w:rFonts w:hint="eastAsia"/>
        </w:rPr>
        <w:t>工程虽不在旺苍县境内，但该引水工程对旺苍县境内盐井河来水量造成直接影响，盐井河水资源开发利用率达</w:t>
      </w:r>
      <w:r>
        <w:t>21.13</w:t>
      </w:r>
      <w:r>
        <w:rPr>
          <w:rFonts w:hint="eastAsia"/>
        </w:rPr>
        <w:t>%，按照水资源开发利用率评估赋分标准（</w:t>
      </w:r>
      <w:r>
        <w:fldChar w:fldCharType="begin"/>
      </w:r>
      <w:r>
        <w:instrText xml:space="preserve"> </w:instrText>
      </w:r>
      <w:r>
        <w:rPr>
          <w:rFonts w:hint="eastAsia"/>
        </w:rPr>
        <w:instrText xml:space="preserve">REF _Ref80716677 \h</w:instrText>
      </w:r>
      <w:r>
        <w:instrText xml:space="preserve"> </w:instrText>
      </w:r>
      <w:r>
        <w:fldChar w:fldCharType="separate"/>
      </w:r>
      <w:r>
        <w:rPr>
          <w:rFonts w:hint="eastAsia"/>
        </w:rPr>
        <w:t>表</w:t>
      </w:r>
      <w:r>
        <w:t>3.1</w:t>
      </w:r>
      <w:r>
        <w:noBreakHyphen/>
      </w:r>
      <w:r>
        <w:t>2</w:t>
      </w:r>
      <w:r>
        <w:fldChar w:fldCharType="end"/>
      </w:r>
      <w:r>
        <w:rPr>
          <w:rFonts w:hint="eastAsia"/>
        </w:rPr>
        <w:t>），盐井河水资源开发利用率得分为</w:t>
      </w:r>
      <w:r>
        <w:t>80</w:t>
      </w:r>
      <w:r>
        <w:rPr>
          <w:rFonts w:hint="eastAsia"/>
        </w:rPr>
        <w:t>分。</w:t>
      </w:r>
    </w:p>
    <w:p>
      <w:pPr>
        <w:ind w:firstLine="198" w:firstLineChars="82"/>
        <w:rPr>
          <w:b/>
        </w:rPr>
      </w:pPr>
      <w:r>
        <w:rPr>
          <w:rFonts w:hint="eastAsia"/>
          <w:b/>
        </w:rPr>
        <w:t>2、生态用水</w:t>
      </w:r>
    </w:p>
    <w:p>
      <w:pPr>
        <w:ind w:firstLine="480"/>
      </w:pPr>
      <w:r>
        <w:rPr>
          <w:rFonts w:hint="eastAsia"/>
        </w:rPr>
        <w:t>盐井河旺苍县境内河段共有电站两座，分别是福鑫电站和盐河电站。</w:t>
      </w:r>
    </w:p>
    <w:p>
      <w:pPr>
        <w:ind w:firstLine="480"/>
      </w:pPr>
      <w:r>
        <w:rPr>
          <w:rFonts w:hint="eastAsia"/>
        </w:rPr>
        <w:t>（1）福鑫电站生态下泄水量</w:t>
      </w:r>
    </w:p>
    <w:p>
      <w:pPr>
        <w:ind w:firstLine="480"/>
        <w:rPr>
          <w:rFonts w:ascii="宋体" w:hAnsi="宋体" w:eastAsia="宋体" w:cs="宋体"/>
          <w:kern w:val="0"/>
        </w:rPr>
      </w:pPr>
      <w:r>
        <w:rPr>
          <w:rFonts w:hint="eastAsia"/>
        </w:rPr>
        <w:t>福鑫水电站地处旺苍县距旺苍县城约65km，首部枢纽位于旺苍县万家乡盐井河三元坝汇口下游约50m处，地理坐标为东经</w:t>
      </w:r>
      <w:r>
        <w:t>106°19′51″，北纬32°36′21″</w:t>
      </w:r>
      <w:r>
        <w:rPr>
          <w:rFonts w:hint="eastAsia"/>
        </w:rPr>
        <w:t>；厂房位于盐河镇林区村</w:t>
      </w:r>
      <w:r>
        <w:rPr>
          <w:rFonts w:hint="eastAsia" w:ascii="宋体" w:hAnsi="宋体"/>
        </w:rPr>
        <w:t>盐井</w:t>
      </w:r>
      <w:r>
        <w:rPr>
          <w:rFonts w:hint="eastAsia" w:eastAsiaTheme="minorEastAsia"/>
        </w:rPr>
        <w:t>河</w:t>
      </w:r>
      <w:r>
        <w:rPr>
          <w:rFonts w:hint="eastAsia"/>
        </w:rPr>
        <w:t>“唐家河”段、临海二级电站拱坝上游的左岸阶地，地理坐标为东经106°19</w:t>
      </w:r>
      <w:r>
        <w:t>′</w:t>
      </w:r>
      <w:r>
        <w:rPr>
          <w:rFonts w:hint="eastAsia"/>
        </w:rPr>
        <w:t>16.72″、北纬32°35</w:t>
      </w:r>
      <w:r>
        <w:t>′</w:t>
      </w:r>
      <w:r>
        <w:rPr>
          <w:rFonts w:hint="eastAsia"/>
        </w:rPr>
        <w:t>35.55″</w:t>
      </w:r>
      <w:r>
        <w:rPr>
          <w:rFonts w:hint="eastAsia" w:ascii="宋体" w:hAnsi="宋体" w:eastAsia="宋体" w:cs="宋体"/>
          <w:kern w:val="0"/>
        </w:rPr>
        <w:t>。</w:t>
      </w:r>
    </w:p>
    <w:p>
      <w:pPr>
        <w:ind w:firstLine="480"/>
        <w:rPr>
          <w:rFonts w:ascii="宋体" w:hAnsi="宋体" w:eastAsia="宋体" w:cs="宋体"/>
          <w:kern w:val="0"/>
        </w:rPr>
      </w:pPr>
      <w:r>
        <w:rPr>
          <w:rFonts w:hint="eastAsia"/>
        </w:rPr>
        <w:t>福鑫水电站为</w:t>
      </w:r>
      <w:r>
        <w:rPr>
          <w:rFonts w:hint="eastAsia" w:asciiTheme="minorEastAsia" w:hAnsiTheme="minorEastAsia" w:cstheme="minorEastAsia"/>
        </w:rPr>
        <w:t>引水式开发</w:t>
      </w:r>
      <w:r>
        <w:rPr>
          <w:rFonts w:hint="eastAsia"/>
        </w:rPr>
        <w:t>电站，</w:t>
      </w:r>
      <w:r>
        <w:rPr>
          <w:rFonts w:hint="eastAsia" w:cstheme="minorEastAsia"/>
        </w:rPr>
        <w:t>坝址以上控制流域面积</w:t>
      </w:r>
      <w:r>
        <w:rPr>
          <w:rFonts w:hint="eastAsia"/>
        </w:rPr>
        <w:t>890.2km</w:t>
      </w:r>
      <w:r>
        <w:t>²</w:t>
      </w:r>
      <w:r>
        <w:rPr>
          <w:rFonts w:hint="eastAsia"/>
        </w:rPr>
        <w:t>（实际</w:t>
      </w:r>
      <w:r>
        <w:rPr>
          <w:rFonts w:hint="eastAsia" w:cstheme="minorEastAsia"/>
        </w:rPr>
        <w:t>为</w:t>
      </w:r>
      <w:r>
        <w:rPr>
          <w:rFonts w:hint="eastAsia"/>
        </w:rPr>
        <w:t>489.2km</w:t>
      </w:r>
      <w:r>
        <w:t>²</w:t>
      </w:r>
      <w:r>
        <w:rPr>
          <w:rFonts w:hint="eastAsia"/>
        </w:rPr>
        <w:t>，</w:t>
      </w:r>
      <w:r>
        <w:rPr>
          <w:rFonts w:hint="eastAsia" w:ascii="仿宋" w:hAnsi="仿宋" w:cs="仿宋"/>
        </w:rPr>
        <w:t>扣除扣除天生桥水库集水面积</w:t>
      </w:r>
      <w:r>
        <w:rPr>
          <w:rFonts w:hint="eastAsia" w:cstheme="minorEastAsia"/>
        </w:rPr>
        <w:t>401km</w:t>
      </w:r>
      <w:r>
        <w:t>²</w:t>
      </w:r>
      <w:r>
        <w:rPr>
          <w:rFonts w:hint="eastAsia" w:asciiTheme="minorEastAsia" w:hAnsiTheme="minorEastAsia" w:cstheme="minorEastAsia"/>
        </w:rPr>
        <w:t>）</w:t>
      </w:r>
      <w:r>
        <w:rPr>
          <w:rFonts w:hint="eastAsia" w:cstheme="minorEastAsia"/>
        </w:rPr>
        <w:t>，</w:t>
      </w:r>
      <w:r>
        <w:rPr>
          <w:rFonts w:hint="eastAsia"/>
        </w:rPr>
        <w:t>坝址处多年平均流量为10.6m</w:t>
      </w:r>
      <w:r>
        <w:rPr>
          <w:rFonts w:cs="Times New Roman"/>
        </w:rPr>
        <w:t>³</w:t>
      </w:r>
      <w:r>
        <w:rPr>
          <w:rFonts w:hint="eastAsia"/>
        </w:rPr>
        <w:t>/s。福鑫水电站以旺发改（2014）106号文件和旺发改（2015）21号文件批准建设，</w:t>
      </w:r>
      <w:r>
        <w:rPr>
          <w:szCs w:val="24"/>
        </w:rPr>
        <w:t>电站于2015年2月底开工建设，2016年10月建成并投入运行</w:t>
      </w:r>
      <w:r>
        <w:rPr>
          <w:rFonts w:hint="eastAsia"/>
        </w:rPr>
        <w:t>。工程为小（2）型水电站，工程等级为Ⅴ等，主要建筑物为5级。拦河坝设计洪水标准为10年一遇，相应流量2370m</w:t>
      </w:r>
      <w:r>
        <w:rPr>
          <w:rFonts w:cs="Times New Roman"/>
        </w:rPr>
        <w:t>³</w:t>
      </w:r>
      <w:r>
        <w:rPr>
          <w:rFonts w:hint="eastAsia"/>
        </w:rPr>
        <w:t>/s（P=10%）；校核洪水标准为50年一遇，相应流量4190m</w:t>
      </w:r>
      <w:r>
        <w:rPr>
          <w:rFonts w:cs="Times New Roman"/>
        </w:rPr>
        <w:t>³</w:t>
      </w:r>
      <w:r>
        <w:rPr>
          <w:rFonts w:hint="eastAsia"/>
        </w:rPr>
        <w:t>/s（P=2%），电站厂区设计洪水标准为50年一遇。电站装机容量5MW，</w:t>
      </w:r>
      <w:r>
        <w:rPr>
          <w:rFonts w:hint="eastAsia" w:asciiTheme="minorEastAsia" w:hAnsiTheme="minorEastAsia" w:cstheme="minorEastAsia"/>
        </w:rPr>
        <w:t>多年平均发电</w:t>
      </w:r>
      <w:r>
        <w:rPr>
          <w:rFonts w:hint="eastAsia"/>
        </w:rPr>
        <w:t>量2269万kW·h，最大坝高11.5m，坝长64m，引水隧洞长1710.902m，设计引水流量11.1m</w:t>
      </w:r>
      <w:r>
        <w:rPr>
          <w:rFonts w:cs="Times New Roman"/>
        </w:rPr>
        <w:t>³</w:t>
      </w:r>
      <w:r>
        <w:rPr>
          <w:rFonts w:hint="eastAsia"/>
        </w:rPr>
        <w:t>/s。</w:t>
      </w:r>
    </w:p>
    <w:p>
      <w:pPr>
        <w:ind w:firstLine="480"/>
      </w:pPr>
      <w:r>
        <w:rPr>
          <w:rFonts w:hint="eastAsia"/>
        </w:rPr>
        <w:t>福鑫水电站取用水为发电用水，属非耗水型用水，在电站首部枢纽取水至厂房发电后于厂房尾水渠出口处汇于盐井河主流，对水资源总量不产生影响；径流式电站，对水资源时间分布基本无影响；由于为引水式开发，电站运行后将在拦水坝、发电厂房间形成约1.</w:t>
      </w:r>
      <w:r>
        <w:t>85</w:t>
      </w:r>
      <w:r>
        <w:rPr>
          <w:rFonts w:hint="eastAsia"/>
        </w:rPr>
        <w:t>km的减脱水河段，改变了水资源的空间分布，因此需下泄生态流量。</w:t>
      </w:r>
    </w:p>
    <w:p>
      <w:pPr>
        <w:ind w:firstLine="480"/>
      </w:pPr>
      <w:r>
        <w:rPr>
          <w:rFonts w:hint="eastAsia"/>
        </w:rPr>
        <w:t>福鑫水电站在主体工程设计中设置了生态流量下泄工程措施，具体为：在电站首部枢纽左岸冲沙闸孔处开启闸门泄放生态流量（冲沙孔净空尺寸1.5m×1.5m），闸门开度为0.1m,设计下泄流量为1.12m</w:t>
      </w:r>
      <w:r>
        <w:rPr>
          <w:rFonts w:ascii="Calibri" w:hAnsi="Calibri" w:cs="Calibri"/>
        </w:rPr>
        <w:t>³</w:t>
      </w:r>
      <w:r>
        <w:rPr>
          <w:rFonts w:hint="eastAsia"/>
        </w:rPr>
        <w:t>/s，</w:t>
      </w:r>
      <w:r>
        <w:rPr>
          <w:rFonts w:hint="eastAsia"/>
          <w:szCs w:val="24"/>
        </w:rPr>
        <w:t>大于最小下泄生态流量1.06m</w:t>
      </w:r>
      <w:r>
        <w:rPr>
          <w:rFonts w:ascii="Calibri" w:hAnsi="Calibri" w:cs="Calibri"/>
          <w:szCs w:val="24"/>
          <w:vertAlign w:val="superscript"/>
        </w:rPr>
        <w:t>³</w:t>
      </w:r>
      <w:r>
        <w:rPr>
          <w:rFonts w:hint="eastAsia"/>
          <w:szCs w:val="24"/>
        </w:rPr>
        <w:t>/s，</w:t>
      </w:r>
      <w:r>
        <w:rPr>
          <w:rFonts w:cs="Times New Roman"/>
          <w:szCs w:val="24"/>
        </w:rPr>
        <w:t>满足水利要求的生态下泄流量</w:t>
      </w:r>
      <w:r>
        <w:rPr>
          <w:rFonts w:hint="eastAsia" w:cs="Times New Roman"/>
          <w:szCs w:val="24"/>
        </w:rPr>
        <w:t>。</w:t>
      </w:r>
    </w:p>
    <w:p>
      <w:pPr>
        <w:ind w:firstLine="240" w:firstLineChars="100"/>
      </w:pPr>
      <w:r>
        <w:drawing>
          <wp:inline distT="0" distB="0" distL="0" distR="0">
            <wp:extent cx="1848485" cy="2473960"/>
            <wp:effectExtent l="0" t="0" r="0" b="25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871697" cy="2504504"/>
                    </a:xfrm>
                    <a:prstGeom prst="rect">
                      <a:avLst/>
                    </a:prstGeom>
                    <a:noFill/>
                    <a:ln>
                      <a:noFill/>
                    </a:ln>
                  </pic:spPr>
                </pic:pic>
              </a:graphicData>
            </a:graphic>
          </wp:inline>
        </w:drawing>
      </w:r>
      <w:r>
        <w:drawing>
          <wp:inline distT="0" distB="0" distL="0" distR="0">
            <wp:extent cx="2974340" cy="2470785"/>
            <wp:effectExtent l="0" t="0" r="0" b="571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1"/>
                    <a:stretch>
                      <a:fillRect/>
                    </a:stretch>
                  </pic:blipFill>
                  <pic:spPr>
                    <a:xfrm>
                      <a:off x="0" y="0"/>
                      <a:ext cx="3007722" cy="2498696"/>
                    </a:xfrm>
                    <a:prstGeom prst="rect">
                      <a:avLst/>
                    </a:prstGeom>
                  </pic:spPr>
                </pic:pic>
              </a:graphicData>
            </a:graphic>
          </wp:inline>
        </w:drawing>
      </w:r>
    </w:p>
    <w:p>
      <w:pPr>
        <w:pStyle w:val="57"/>
      </w:pPr>
      <w:r>
        <w:rPr>
          <w:rFonts w:hint="eastAsia"/>
        </w:rPr>
        <w:t>图</w:t>
      </w:r>
      <w:r>
        <w:fldChar w:fldCharType="begin"/>
      </w:r>
      <w:r>
        <w:instrText xml:space="preserve"> </w:instrText>
      </w:r>
      <w:r>
        <w:rPr>
          <w:rFonts w:hint="eastAsia"/>
        </w:rPr>
        <w:instrText xml:space="preserve">STYLEREF 2 \s</w:instrText>
      </w:r>
      <w:r>
        <w:instrText xml:space="preserve"> </w:instrText>
      </w:r>
      <w:r>
        <w:fldChar w:fldCharType="separate"/>
      </w:r>
      <w:r>
        <w:t>5.1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t>2</w:t>
      </w:r>
      <w:r>
        <w:fldChar w:fldCharType="end"/>
      </w:r>
      <w:r>
        <w:rPr>
          <w:rFonts w:hint="eastAsia"/>
        </w:rPr>
        <w:t>福鑫电站生态流量下泄措施及监督公示牌</w:t>
      </w:r>
    </w:p>
    <w:p>
      <w:pPr>
        <w:ind w:firstLine="480"/>
      </w:pPr>
      <w:r>
        <w:rPr>
          <w:rFonts w:hint="eastAsia"/>
        </w:rPr>
        <w:t>（2）盐河电站生态下泄水量</w:t>
      </w:r>
    </w:p>
    <w:p>
      <w:pPr>
        <w:ind w:firstLine="480"/>
        <w:rPr>
          <w:rFonts w:cs="Times New Roman"/>
        </w:rPr>
      </w:pPr>
      <w:r>
        <w:rPr>
          <w:rFonts w:hint="eastAsia" w:cs="Times New Roman"/>
        </w:rPr>
        <w:t>盐河电站</w:t>
      </w:r>
      <w:r>
        <w:rPr>
          <w:rFonts w:cs="Times New Roman"/>
        </w:rPr>
        <w:t>位于旺苍县</w:t>
      </w:r>
      <w:r>
        <w:rPr>
          <w:rFonts w:hint="eastAsia" w:cs="Times New Roman"/>
        </w:rPr>
        <w:t>盐河镇林园村</w:t>
      </w:r>
      <w:r>
        <w:rPr>
          <w:rFonts w:cs="Times New Roman"/>
        </w:rPr>
        <w:t>，距离</w:t>
      </w:r>
      <w:r>
        <w:rPr>
          <w:rFonts w:hint="eastAsia" w:cs="Times New Roman"/>
        </w:rPr>
        <w:t>盐河镇1.3</w:t>
      </w:r>
      <w:r>
        <w:rPr>
          <w:rFonts w:cs="Times New Roman"/>
        </w:rPr>
        <w:t>km，距旺苍县城</w:t>
      </w:r>
      <w:r>
        <w:rPr>
          <w:rFonts w:hint="eastAsia" w:cs="Times New Roman"/>
        </w:rPr>
        <w:t>41</w:t>
      </w:r>
      <w:r>
        <w:rPr>
          <w:rFonts w:cs="Times New Roman"/>
        </w:rPr>
        <w:t>km，地理坐标为东经106°</w:t>
      </w:r>
      <w:r>
        <w:rPr>
          <w:rFonts w:hint="eastAsia" w:cs="Times New Roman"/>
        </w:rPr>
        <w:t>19</w:t>
      </w:r>
      <w:r>
        <w:rPr>
          <w:rFonts w:cs="Times New Roman"/>
        </w:rPr>
        <w:t>´</w:t>
      </w:r>
      <w:r>
        <w:rPr>
          <w:rFonts w:hint="eastAsia" w:cs="Times New Roman"/>
        </w:rPr>
        <w:t>56</w:t>
      </w:r>
      <w:r>
        <w:rPr>
          <w:rFonts w:cs="Times New Roman"/>
        </w:rPr>
        <w:t>″、北纬32°</w:t>
      </w:r>
      <w:r>
        <w:rPr>
          <w:rFonts w:hint="eastAsia" w:cs="Times New Roman"/>
        </w:rPr>
        <w:t>33</w:t>
      </w:r>
      <w:r>
        <w:rPr>
          <w:rFonts w:cs="Times New Roman"/>
        </w:rPr>
        <w:t>´</w:t>
      </w:r>
      <w:r>
        <w:rPr>
          <w:rFonts w:hint="eastAsia" w:cs="Times New Roman"/>
        </w:rPr>
        <w:t>09</w:t>
      </w:r>
      <w:r>
        <w:rPr>
          <w:rFonts w:cs="Times New Roman"/>
        </w:rPr>
        <w:t>″</w:t>
      </w:r>
    </w:p>
    <w:p>
      <w:pPr>
        <w:ind w:firstLine="480"/>
      </w:pPr>
      <w:r>
        <w:t>盐河电站</w:t>
      </w:r>
      <w:r>
        <w:rPr>
          <w:rFonts w:hint="eastAsia"/>
        </w:rPr>
        <w:t>坝址以上集雨面积</w:t>
      </w:r>
      <w:r>
        <w:rPr>
          <w:rFonts w:hint="eastAsia"/>
          <w:szCs w:val="24"/>
        </w:rPr>
        <w:t>560.07</w:t>
      </w:r>
      <w:r>
        <w:rPr>
          <w:szCs w:val="24"/>
        </w:rPr>
        <w:t>km²</w:t>
      </w:r>
      <w:r>
        <w:rPr>
          <w:rFonts w:hint="eastAsia"/>
          <w:szCs w:val="24"/>
        </w:rPr>
        <w:t>（</w:t>
      </w:r>
      <w:r>
        <w:rPr>
          <w:szCs w:val="24"/>
        </w:rPr>
        <w:t>坝址以上控制流域面积961.07km²</w:t>
      </w:r>
      <w:r>
        <w:rPr>
          <w:rFonts w:hint="eastAsia"/>
          <w:szCs w:val="24"/>
        </w:rPr>
        <w:t>，</w:t>
      </w:r>
      <w:r>
        <w:rPr>
          <w:szCs w:val="24"/>
        </w:rPr>
        <w:t>实际为560.07km²，扣除天生桥水库集水面积401km²）</w:t>
      </w:r>
      <w:r>
        <w:rPr>
          <w:rFonts w:hint="eastAsia"/>
          <w:szCs w:val="24"/>
        </w:rPr>
        <w:t>，坝址</w:t>
      </w:r>
      <w:r>
        <w:rPr>
          <w:rFonts w:hint="eastAsia"/>
        </w:rPr>
        <w:t>多年平均流量为12.07m</w:t>
      </w:r>
      <w:r>
        <w:rPr>
          <w:rFonts w:cs="Times New Roman"/>
        </w:rPr>
        <w:t>³</w:t>
      </w:r>
      <w:r>
        <w:rPr>
          <w:rFonts w:hint="eastAsia"/>
        </w:rPr>
        <w:t>/s。</w:t>
      </w:r>
      <w:r>
        <w:t>水电站由首部枢纽、引水建筑物、厂区枢纽3部分组成。首部枢纽主要由溢流坝、冲沙孔（1孔）、取水口组成，坝轴线长</w:t>
      </w:r>
      <w:r>
        <w:rPr>
          <w:rFonts w:hint="eastAsia"/>
        </w:rPr>
        <w:t>40</w:t>
      </w:r>
      <w:r>
        <w:t>米，坝高</w:t>
      </w:r>
      <w:r>
        <w:rPr>
          <w:rFonts w:hint="eastAsia"/>
        </w:rPr>
        <w:t>4</w:t>
      </w:r>
      <w:r>
        <w:t>m</w:t>
      </w:r>
      <w:r>
        <w:rPr>
          <w:rFonts w:hint="eastAsia"/>
        </w:rPr>
        <w:t>，坝宽2m</w:t>
      </w:r>
      <w:r>
        <w:t>，水库为日调节。取水口不至于</w:t>
      </w:r>
      <w:r>
        <w:rPr>
          <w:rFonts w:hint="eastAsia"/>
        </w:rPr>
        <w:t>右</w:t>
      </w:r>
      <w:r>
        <w:t>岸，采用“正向泄洪排沙、侧向取水”的布置形式，其前缘与坝轴线成120°夹角。引水建筑物主要由取水口、有压引水隧洞、调压井、压力管道等组成。隧洞总长</w:t>
      </w:r>
      <w:r>
        <w:rPr>
          <w:rFonts w:hint="eastAsia"/>
        </w:rPr>
        <w:t>1.7k</w:t>
      </w:r>
      <w:r>
        <w:t>m</w:t>
      </w:r>
      <w:r>
        <w:rPr>
          <w:rFonts w:hint="eastAsia"/>
        </w:rPr>
        <w:t>，尺寸为1.8×2m</w:t>
      </w:r>
      <w:r>
        <w:t>。厂区枢纽主要由主副厂房、升压站、尾水渠、进场公路等组成。主厂房纵轴线大致平行于河流方向，副厂房布置于主厂房上游侧、升压站位于主厂房右侧、成呈“一”字型布置</w:t>
      </w:r>
      <w:r>
        <w:rPr>
          <w:rFonts w:hint="eastAsia"/>
        </w:rPr>
        <w:t>，溢流坝以下减水河段1</w:t>
      </w:r>
      <w:r>
        <w:t>.9</w:t>
      </w:r>
      <w:r>
        <w:rPr>
          <w:rFonts w:hint="eastAsia"/>
        </w:rPr>
        <w:t>km。</w:t>
      </w:r>
    </w:p>
    <w:p>
      <w:pPr>
        <w:ind w:firstLine="480"/>
      </w:pPr>
      <w:r>
        <w:rPr>
          <w:rFonts w:hint="eastAsia"/>
        </w:rPr>
        <w:t>盐河</w:t>
      </w:r>
      <w:r>
        <w:t>电站在主体工程设计中设置了生态流量下泄</w:t>
      </w:r>
      <w:r>
        <w:rPr>
          <w:rFonts w:hint="eastAsia"/>
        </w:rPr>
        <w:t>工程</w:t>
      </w:r>
      <w:r>
        <w:t>措施，具体为：在电站首部枢纽左岸冲沙闸孔处开启闸门泄放生态流量（冲沙孔净空尺寸</w:t>
      </w:r>
      <w:r>
        <w:rPr>
          <w:rFonts w:hint="eastAsia"/>
        </w:rPr>
        <w:t>1.5</w:t>
      </w:r>
      <w:r>
        <w:t>m</w:t>
      </w:r>
      <w:r>
        <w:rPr>
          <w:rFonts w:hint="eastAsia"/>
        </w:rPr>
        <w:t>×0</w:t>
      </w:r>
      <w:r>
        <w:t>.</w:t>
      </w:r>
      <w:r>
        <w:rPr>
          <w:rFonts w:hint="eastAsia"/>
        </w:rPr>
        <w:t>8</w:t>
      </w:r>
      <w:r>
        <w:t>m），闸门开度为0.14m,设计下泄流量为</w:t>
      </w:r>
      <w:r>
        <w:rPr>
          <w:rFonts w:hint="eastAsia"/>
        </w:rPr>
        <w:t>1.2</w:t>
      </w:r>
      <w:r>
        <w:t>7m³/s，</w:t>
      </w:r>
      <w:r>
        <w:rPr>
          <w:rFonts w:cs="Times New Roman"/>
          <w:szCs w:val="24"/>
        </w:rPr>
        <w:t>大于最小生态流量1.21m³/s，满足水利要求的生态下泄流量。</w:t>
      </w:r>
    </w:p>
    <w:p>
      <w:pPr>
        <w:ind w:firstLine="0" w:firstLineChars="0"/>
        <w:jc w:val="center"/>
      </w:pPr>
      <w:r>
        <w:drawing>
          <wp:inline distT="0" distB="0" distL="0" distR="0">
            <wp:extent cx="2524125" cy="1892935"/>
            <wp:effectExtent l="0" t="0" r="0" b="0"/>
            <wp:docPr id="18" name="图片 18" descr="D:\旺苍福鑫、盐河\基础资料\盐河电站\盐河电站照片\IMG_2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D:\旺苍福鑫、盐河\基础资料\盐河电站\盐河电站照片\IMG_252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524732" cy="1893550"/>
                    </a:xfrm>
                    <a:prstGeom prst="rect">
                      <a:avLst/>
                    </a:prstGeom>
                    <a:noFill/>
                    <a:ln>
                      <a:noFill/>
                    </a:ln>
                  </pic:spPr>
                </pic:pic>
              </a:graphicData>
            </a:graphic>
          </wp:inline>
        </w:drawing>
      </w:r>
      <w:r>
        <w:drawing>
          <wp:inline distT="0" distB="0" distL="0" distR="0">
            <wp:extent cx="2505075" cy="1877695"/>
            <wp:effectExtent l="0" t="0" r="0" b="825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3"/>
                    <a:stretch>
                      <a:fillRect/>
                    </a:stretch>
                  </pic:blipFill>
                  <pic:spPr>
                    <a:xfrm>
                      <a:off x="0" y="0"/>
                      <a:ext cx="2580505" cy="1934285"/>
                    </a:xfrm>
                    <a:prstGeom prst="rect">
                      <a:avLst/>
                    </a:prstGeom>
                  </pic:spPr>
                </pic:pic>
              </a:graphicData>
            </a:graphic>
          </wp:inline>
        </w:drawing>
      </w:r>
    </w:p>
    <w:p>
      <w:pPr>
        <w:pStyle w:val="57"/>
      </w:pPr>
      <w:r>
        <w:rPr>
          <w:rFonts w:hint="eastAsia"/>
        </w:rPr>
        <w:t>图</w:t>
      </w:r>
      <w:r>
        <w:fldChar w:fldCharType="begin"/>
      </w:r>
      <w:r>
        <w:instrText xml:space="preserve"> </w:instrText>
      </w:r>
      <w:r>
        <w:rPr>
          <w:rFonts w:hint="eastAsia"/>
        </w:rPr>
        <w:instrText xml:space="preserve">STYLEREF 2 \s</w:instrText>
      </w:r>
      <w:r>
        <w:instrText xml:space="preserve"> </w:instrText>
      </w:r>
      <w:r>
        <w:fldChar w:fldCharType="separate"/>
      </w:r>
      <w:r>
        <w:t>5.1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t>3</w:t>
      </w:r>
      <w:r>
        <w:fldChar w:fldCharType="end"/>
      </w:r>
      <w:r>
        <w:rPr>
          <w:rFonts w:hint="eastAsia"/>
        </w:rPr>
        <w:t>盐河电站生态流量下泄措施及监督公示牌</w:t>
      </w:r>
    </w:p>
    <w:p>
      <w:pPr>
        <w:ind w:firstLine="480"/>
        <w:rPr>
          <w:rFonts w:cs="Times New Roman"/>
        </w:rPr>
      </w:pPr>
      <w:r>
        <w:rPr>
          <w:rFonts w:hint="eastAsia" w:cs="Times New Roman"/>
        </w:rPr>
        <w:t>综上所述，福鑫电站和盐河电站均为径流式电站，无调节功能，1</w:t>
      </w:r>
      <w:r>
        <w:rPr>
          <w:rFonts w:cs="Times New Roman"/>
        </w:rPr>
        <w:t>0</w:t>
      </w:r>
      <w:r>
        <w:rPr>
          <w:rFonts w:hint="eastAsia" w:cs="Times New Roman"/>
        </w:rPr>
        <w:t>~</w:t>
      </w:r>
      <w:r>
        <w:rPr>
          <w:rFonts w:cs="Times New Roman"/>
        </w:rPr>
        <w:t>3</w:t>
      </w:r>
      <w:r>
        <w:rPr>
          <w:rFonts w:hint="eastAsia" w:cs="Times New Roman"/>
        </w:rPr>
        <w:t>月减水河段生态流量占多年平均流量比例分别为</w:t>
      </w:r>
      <w:r>
        <w:rPr>
          <w:rFonts w:cs="Times New Roman"/>
        </w:rPr>
        <w:t>10.56</w:t>
      </w:r>
      <w:r>
        <w:rPr>
          <w:rFonts w:hint="eastAsia" w:cs="Times New Roman"/>
        </w:rPr>
        <w:t>%、1</w:t>
      </w:r>
      <w:r>
        <w:rPr>
          <w:rFonts w:cs="Times New Roman"/>
        </w:rPr>
        <w:t>0.52</w:t>
      </w:r>
      <w:r>
        <w:rPr>
          <w:rFonts w:hint="eastAsia" w:cs="Times New Roman"/>
        </w:rPr>
        <w:t>%，均大于1</w:t>
      </w:r>
      <w:r>
        <w:rPr>
          <w:rFonts w:cs="Times New Roman"/>
        </w:rPr>
        <w:t>0</w:t>
      </w:r>
      <w:r>
        <w:rPr>
          <w:rFonts w:hint="eastAsia" w:cs="Times New Roman"/>
        </w:rPr>
        <w:t>%；4~</w:t>
      </w:r>
      <w:r>
        <w:rPr>
          <w:rFonts w:cs="Times New Roman"/>
        </w:rPr>
        <w:t>9</w:t>
      </w:r>
      <w:r>
        <w:rPr>
          <w:rFonts w:hint="eastAsia" w:cs="Times New Roman"/>
        </w:rPr>
        <w:t>月为汛期，电站除发电引水外多余弃水均进入下游河道，但上游</w:t>
      </w:r>
      <w:r>
        <w:t>二郎坝引嘉（陵江）入汉（江）工程</w:t>
      </w:r>
      <w:r>
        <w:rPr>
          <w:rFonts w:hint="eastAsia"/>
        </w:rPr>
        <w:t>拦截4</w:t>
      </w:r>
      <w:r>
        <w:t>01</w:t>
      </w:r>
      <w:r>
        <w:rPr>
          <w:rFonts w:hint="eastAsia"/>
        </w:rPr>
        <w:t>km</w:t>
      </w:r>
      <w:r>
        <w:rPr>
          <w:rFonts w:hint="eastAsia"/>
          <w:vertAlign w:val="superscript"/>
        </w:rPr>
        <w:t>2</w:t>
      </w:r>
      <w:r>
        <w:rPr>
          <w:rFonts w:hint="eastAsia"/>
        </w:rPr>
        <w:t>天然径流</w:t>
      </w:r>
      <w:r>
        <w:rPr>
          <w:rFonts w:hint="eastAsia" w:cs="Times New Roman"/>
        </w:rPr>
        <w:t>，导致坝址天然径流量减少，汛期4~5月、9月上游来水以电站引水发电为主，电站以下减水河段水量仍为1</w:t>
      </w:r>
      <w:r>
        <w:rPr>
          <w:rFonts w:cs="Times New Roman"/>
        </w:rPr>
        <w:t>0</w:t>
      </w:r>
      <w:r>
        <w:rPr>
          <w:rFonts w:hint="eastAsia" w:cs="Times New Roman"/>
        </w:rPr>
        <w:t>%下泄生态流量，故4~</w:t>
      </w:r>
      <w:r>
        <w:rPr>
          <w:rFonts w:cs="Times New Roman"/>
        </w:rPr>
        <w:t>5</w:t>
      </w:r>
      <w:r>
        <w:rPr>
          <w:rFonts w:hint="eastAsia" w:cs="Times New Roman"/>
        </w:rPr>
        <w:t>月、9月河道生态流量为多年平均径流的1</w:t>
      </w:r>
      <w:r>
        <w:rPr>
          <w:rFonts w:cs="Times New Roman"/>
        </w:rPr>
        <w:t>0</w:t>
      </w:r>
      <w:r>
        <w:rPr>
          <w:rFonts w:hint="eastAsia" w:cs="Times New Roman"/>
        </w:rPr>
        <w:t>%~</w:t>
      </w:r>
      <w:r>
        <w:rPr>
          <w:rFonts w:cs="Times New Roman"/>
        </w:rPr>
        <w:t>30</w:t>
      </w:r>
      <w:r>
        <w:rPr>
          <w:rFonts w:hint="eastAsia" w:cs="Times New Roman"/>
        </w:rPr>
        <w:t>%，根据</w:t>
      </w:r>
      <w:r>
        <w:rPr>
          <w:rFonts w:hint="eastAsia"/>
        </w:rPr>
        <w:t>河流生态用水满足程度评估赋分标准（</w:t>
      </w:r>
      <w:r>
        <w:fldChar w:fldCharType="begin"/>
      </w:r>
      <w:r>
        <w:instrText xml:space="preserve"> </w:instrText>
      </w:r>
      <w:r>
        <w:rPr>
          <w:rFonts w:hint="eastAsia"/>
        </w:rPr>
        <w:instrText xml:space="preserve">REF _Ref80716698 \h</w:instrText>
      </w:r>
      <w:r>
        <w:instrText xml:space="preserve"> </w:instrText>
      </w:r>
      <w:r>
        <w:fldChar w:fldCharType="separate"/>
      </w:r>
      <w:r>
        <w:rPr>
          <w:rFonts w:hint="eastAsia"/>
        </w:rPr>
        <w:t>表</w:t>
      </w:r>
      <w:r>
        <w:t>3.1</w:t>
      </w:r>
      <w:r>
        <w:noBreakHyphen/>
      </w:r>
      <w:r>
        <w:t>3</w:t>
      </w:r>
      <w:r>
        <w:fldChar w:fldCharType="end"/>
      </w:r>
      <w:r>
        <w:rPr>
          <w:rFonts w:hint="eastAsia"/>
        </w:rPr>
        <w:t>），1</w:t>
      </w:r>
      <w:r>
        <w:t>0</w:t>
      </w:r>
      <w:r>
        <w:rPr>
          <w:rFonts w:hint="eastAsia"/>
        </w:rPr>
        <w:t>~</w:t>
      </w:r>
      <w:r>
        <w:t>3</w:t>
      </w:r>
      <w:r>
        <w:rPr>
          <w:rFonts w:hint="eastAsia"/>
        </w:rPr>
        <w:t>月盐井河生态用水满足程度评估赋分为8</w:t>
      </w:r>
      <w:r>
        <w:t>0</w:t>
      </w:r>
      <w:r>
        <w:rPr>
          <w:rFonts w:hint="eastAsia"/>
        </w:rPr>
        <w:t>分，4~</w:t>
      </w:r>
      <w:r>
        <w:t>9</w:t>
      </w:r>
      <w:r>
        <w:rPr>
          <w:rFonts w:hint="eastAsia"/>
        </w:rPr>
        <w:t>月盐井河生态用水满足程度评估赋分为</w:t>
      </w:r>
      <w:r>
        <w:t>40</w:t>
      </w:r>
      <w:r>
        <w:rPr>
          <w:rFonts w:hint="eastAsia"/>
        </w:rPr>
        <w:t>分，最终得分为</w:t>
      </w:r>
      <w:r>
        <w:t>40</w:t>
      </w:r>
      <w:r>
        <w:rPr>
          <w:rFonts w:hint="eastAsia"/>
        </w:rPr>
        <w:t>分。</w:t>
      </w:r>
    </w:p>
    <w:p>
      <w:pPr>
        <w:pStyle w:val="4"/>
        <w:ind w:left="240"/>
      </w:pPr>
      <w:bookmarkStart w:id="167" w:name="_Toc80719418"/>
      <w:bookmarkStart w:id="168" w:name="_Toc86049202"/>
      <w:r>
        <w:rPr>
          <w:rFonts w:hint="eastAsia"/>
        </w:rPr>
        <w:t>物理结构</w:t>
      </w:r>
      <w:bookmarkEnd w:id="167"/>
      <w:bookmarkEnd w:id="168"/>
    </w:p>
    <w:p>
      <w:pPr>
        <w:ind w:firstLine="482"/>
        <w:rPr>
          <w:b/>
        </w:rPr>
      </w:pPr>
      <w:r>
        <w:rPr>
          <w:rFonts w:hint="eastAsia"/>
          <w:b/>
        </w:rPr>
        <w:t>1、河岸稳定性</w:t>
      </w:r>
    </w:p>
    <w:p>
      <w:pPr>
        <w:ind w:firstLine="480"/>
      </w:pPr>
      <w:r>
        <w:rPr>
          <w:rFonts w:hint="eastAsia"/>
        </w:rPr>
        <w:t>盐井河流域地处川陕交界地区，北与汉江流域共分水岭。流域内多为山地，山势陡峻；北部地势较高，分水岭海拔在2000m以上，南面地势较低。盐井河自崇山峻岭中穿过，形成许多峡谷，河床坡度大，水流湍急。盐井河属山区河谷河流，河谷狭窄，河道弯曲且弯道较多，弯度较大，河流流域面积小，水源涵养差，水量小，流程短，季节性强，水能藴藏量小，无通航能力。</w:t>
      </w:r>
    </w:p>
    <w:p>
      <w:pPr>
        <w:ind w:firstLine="480"/>
      </w:pPr>
      <w:r>
        <w:rPr>
          <w:rFonts w:hint="eastAsia"/>
        </w:rPr>
        <w:t>盐井河流域内植被较好，森林覆盖率达45%，较多灌木林，树木以杂木为主，亦有部分经济林木如油桐、桑梨、苹果、茶叶等。境内的粮食作物主要有小麦、玉米、土豆、苕豆等。</w:t>
      </w:r>
    </w:p>
    <w:p>
      <w:pPr>
        <w:ind w:firstLine="0" w:firstLineChars="0"/>
        <w:jc w:val="center"/>
      </w:pPr>
      <w:r>
        <w:drawing>
          <wp:inline distT="0" distB="0" distL="0" distR="0">
            <wp:extent cx="4139565" cy="2981960"/>
            <wp:effectExtent l="0" t="0" r="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4194754" cy="3021358"/>
                    </a:xfrm>
                    <a:prstGeom prst="rect">
                      <a:avLst/>
                    </a:prstGeom>
                    <a:noFill/>
                    <a:ln>
                      <a:noFill/>
                    </a:ln>
                  </pic:spPr>
                </pic:pic>
              </a:graphicData>
            </a:graphic>
          </wp:inline>
        </w:drawing>
      </w:r>
    </w:p>
    <w:p>
      <w:pPr>
        <w:pStyle w:val="57"/>
      </w:pPr>
      <w:r>
        <w:rPr>
          <w:rFonts w:hint="eastAsia"/>
        </w:rPr>
        <w:t>图</w:t>
      </w:r>
      <w:r>
        <w:fldChar w:fldCharType="begin"/>
      </w:r>
      <w:r>
        <w:instrText xml:space="preserve"> </w:instrText>
      </w:r>
      <w:r>
        <w:rPr>
          <w:rFonts w:hint="eastAsia"/>
        </w:rPr>
        <w:instrText xml:space="preserve">STYLEREF 2 \s</w:instrText>
      </w:r>
      <w:r>
        <w:instrText xml:space="preserve"> </w:instrText>
      </w:r>
      <w:r>
        <w:fldChar w:fldCharType="separate"/>
      </w:r>
      <w:r>
        <w:t>5.1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t>4</w:t>
      </w:r>
      <w:r>
        <w:fldChar w:fldCharType="end"/>
      </w:r>
      <w:r>
        <w:rPr>
          <w:rFonts w:hint="eastAsia"/>
        </w:rPr>
        <w:t>盐井河河岸自然边坡现状（1）</w:t>
      </w:r>
    </w:p>
    <w:p>
      <w:pPr>
        <w:ind w:firstLine="0" w:firstLineChars="0"/>
        <w:jc w:val="center"/>
      </w:pPr>
    </w:p>
    <w:p>
      <w:pPr>
        <w:ind w:firstLine="0" w:firstLineChars="0"/>
        <w:jc w:val="center"/>
      </w:pPr>
      <w:r>
        <w:drawing>
          <wp:inline distT="0" distB="0" distL="0" distR="0">
            <wp:extent cx="4123055" cy="30702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152723" cy="3092457"/>
                    </a:xfrm>
                    <a:prstGeom prst="rect">
                      <a:avLst/>
                    </a:prstGeom>
                    <a:noFill/>
                    <a:ln>
                      <a:noFill/>
                    </a:ln>
                  </pic:spPr>
                </pic:pic>
              </a:graphicData>
            </a:graphic>
          </wp:inline>
        </w:drawing>
      </w:r>
    </w:p>
    <w:p>
      <w:pPr>
        <w:pStyle w:val="57"/>
      </w:pPr>
      <w:r>
        <w:rPr>
          <w:rFonts w:hint="eastAsia"/>
        </w:rPr>
        <w:t>图</w:t>
      </w:r>
      <w:r>
        <w:fldChar w:fldCharType="begin"/>
      </w:r>
      <w:r>
        <w:instrText xml:space="preserve"> </w:instrText>
      </w:r>
      <w:r>
        <w:rPr>
          <w:rFonts w:hint="eastAsia"/>
        </w:rPr>
        <w:instrText xml:space="preserve">STYLEREF 2 \s</w:instrText>
      </w:r>
      <w:r>
        <w:instrText xml:space="preserve"> </w:instrText>
      </w:r>
      <w:r>
        <w:fldChar w:fldCharType="separate"/>
      </w:r>
      <w:r>
        <w:t>5.1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t>5</w:t>
      </w:r>
      <w:r>
        <w:fldChar w:fldCharType="end"/>
      </w:r>
      <w:r>
        <w:rPr>
          <w:rFonts w:hint="eastAsia"/>
        </w:rPr>
        <w:t>盐井河河岸自然边坡现状（</w:t>
      </w:r>
      <w:r>
        <w:t>2</w:t>
      </w:r>
      <w:r>
        <w:rPr>
          <w:rFonts w:hint="eastAsia"/>
        </w:rPr>
        <w:t>）</w:t>
      </w:r>
    </w:p>
    <w:p>
      <w:pPr>
        <w:ind w:firstLine="0" w:firstLineChars="0"/>
        <w:jc w:val="center"/>
      </w:pPr>
    </w:p>
    <w:p>
      <w:pPr>
        <w:ind w:firstLine="0" w:firstLineChars="0"/>
        <w:jc w:val="center"/>
      </w:pPr>
      <w:r>
        <w:drawing>
          <wp:inline distT="0" distB="0" distL="0" distR="0">
            <wp:extent cx="4196080" cy="315277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4295749" cy="3227577"/>
                    </a:xfrm>
                    <a:prstGeom prst="rect">
                      <a:avLst/>
                    </a:prstGeom>
                    <a:noFill/>
                    <a:ln>
                      <a:noFill/>
                    </a:ln>
                  </pic:spPr>
                </pic:pic>
              </a:graphicData>
            </a:graphic>
          </wp:inline>
        </w:drawing>
      </w:r>
    </w:p>
    <w:p>
      <w:pPr>
        <w:pStyle w:val="57"/>
      </w:pPr>
      <w:r>
        <w:rPr>
          <w:rFonts w:hint="eastAsia"/>
        </w:rPr>
        <w:t>图</w:t>
      </w:r>
      <w:r>
        <w:fldChar w:fldCharType="begin"/>
      </w:r>
      <w:r>
        <w:instrText xml:space="preserve"> </w:instrText>
      </w:r>
      <w:r>
        <w:rPr>
          <w:rFonts w:hint="eastAsia"/>
        </w:rPr>
        <w:instrText xml:space="preserve">STYLEREF 2 \s</w:instrText>
      </w:r>
      <w:r>
        <w:instrText xml:space="preserve"> </w:instrText>
      </w:r>
      <w:r>
        <w:fldChar w:fldCharType="separate"/>
      </w:r>
      <w:r>
        <w:t>5.1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t>6</w:t>
      </w:r>
      <w:r>
        <w:fldChar w:fldCharType="end"/>
      </w:r>
      <w:r>
        <w:rPr>
          <w:rFonts w:hint="eastAsia"/>
        </w:rPr>
        <w:t>盐井河河岸自然边坡现状（</w:t>
      </w:r>
      <w:r>
        <w:t>3</w:t>
      </w:r>
      <w:r>
        <w:rPr>
          <w:rFonts w:hint="eastAsia"/>
        </w:rPr>
        <w:t>）</w:t>
      </w:r>
    </w:p>
    <w:p>
      <w:pPr>
        <w:ind w:firstLine="480"/>
      </w:pPr>
      <w:r>
        <w:rPr>
          <w:rFonts w:hint="eastAsia"/>
        </w:rPr>
        <w:t>盐井河两岸及河床大多基岩裸露，两岸多为天然岩质岸坡倾角3</w:t>
      </w:r>
      <w:r>
        <w:t>0</w:t>
      </w:r>
      <w:r>
        <w:rPr>
          <w:rFonts w:hint="eastAsia"/>
        </w:rPr>
        <w:t>~</w:t>
      </w:r>
      <w:r>
        <w:t>45</w:t>
      </w:r>
      <w:r>
        <w:rPr>
          <w:rFonts w:hint="eastAsia"/>
        </w:rPr>
        <w:t>°，斜坡高度2~</w:t>
      </w:r>
      <w:r>
        <w:t>3</w:t>
      </w:r>
      <w:r>
        <w:rPr>
          <w:rFonts w:hint="eastAsia"/>
        </w:rPr>
        <w:t>m，岸坡以上植物覆盖率较高，国华镇以上河段两岸岸坡植被覆盖率达7</w:t>
      </w:r>
      <w:r>
        <w:t>5</w:t>
      </w:r>
      <w:r>
        <w:rPr>
          <w:rFonts w:hint="eastAsia"/>
        </w:rPr>
        <w:t>%，国华镇以下河段两岸岸坡植被覆盖率约4</w:t>
      </w:r>
      <w:r>
        <w:t>5</w:t>
      </w:r>
      <w:r>
        <w:rPr>
          <w:rFonts w:hint="eastAsia"/>
        </w:rPr>
        <w:t>%，两岸岸坡植被综合覆盖率为6</w:t>
      </w:r>
      <w:r>
        <w:t>0</w:t>
      </w:r>
      <w:r>
        <w:rPr>
          <w:rFonts w:hint="eastAsia"/>
        </w:rPr>
        <w:t>%，两岸均无明显冲刷迹象。</w:t>
      </w:r>
    </w:p>
    <w:p>
      <w:pPr>
        <w:ind w:firstLine="480"/>
      </w:pPr>
      <w:r>
        <w:rPr>
          <w:rFonts w:hint="eastAsia"/>
        </w:rPr>
        <w:t>盐井河河岸稳定性评估分指标赋分见</w:t>
      </w:r>
      <w:r>
        <w:fldChar w:fldCharType="begin"/>
      </w:r>
      <w:r>
        <w:instrText xml:space="preserve"> </w:instrText>
      </w:r>
      <w:r>
        <w:rPr>
          <w:rFonts w:hint="eastAsia"/>
        </w:rPr>
        <w:instrText xml:space="preserve">REF _Ref80717253 \h</w:instrText>
      </w:r>
      <w:r>
        <w:instrText xml:space="preserve"> </w:instrText>
      </w:r>
      <w:r>
        <w:fldChar w:fldCharType="separate"/>
      </w:r>
      <w:r>
        <w:rPr>
          <w:rFonts w:hint="eastAsia"/>
        </w:rPr>
        <w:t>表</w:t>
      </w:r>
      <w:r>
        <w:t>5.1</w:t>
      </w:r>
      <w:r>
        <w:noBreakHyphen/>
      </w:r>
      <w:r>
        <w:t>2</w:t>
      </w:r>
      <w:r>
        <w:fldChar w:fldCharType="end"/>
      </w:r>
      <w:r>
        <w:rPr>
          <w:rFonts w:hint="eastAsia"/>
        </w:rPr>
        <w:t>。</w:t>
      </w:r>
    </w:p>
    <w:p>
      <w:pPr>
        <w:pStyle w:val="58"/>
        <w:rPr>
          <w:color w:val="auto"/>
        </w:rPr>
      </w:pPr>
      <w:bookmarkStart w:id="169" w:name="_Ref80717253"/>
      <w:r>
        <w:rPr>
          <w:rFonts w:hint="eastAsia"/>
          <w:color w:val="auto"/>
        </w:rPr>
        <w:t>表</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5.1</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2</w:t>
      </w:r>
      <w:r>
        <w:rPr>
          <w:color w:val="auto"/>
        </w:rPr>
        <w:fldChar w:fldCharType="end"/>
      </w:r>
      <w:bookmarkEnd w:id="169"/>
      <w:r>
        <w:rPr>
          <w:rFonts w:hint="eastAsia"/>
          <w:color w:val="auto"/>
        </w:rPr>
        <w:t>盐井河河岸稳定性评估分指标赋分表</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0"/>
        <w:gridCol w:w="1276"/>
        <w:gridCol w:w="1721"/>
        <w:gridCol w:w="1659"/>
        <w:gridCol w:w="1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vAlign w:val="center"/>
          </w:tcPr>
          <w:p>
            <w:pPr>
              <w:spacing w:line="240" w:lineRule="auto"/>
              <w:ind w:firstLine="0" w:firstLineChars="0"/>
              <w:jc w:val="center"/>
              <w:rPr>
                <w:sz w:val="21"/>
                <w:szCs w:val="21"/>
              </w:rPr>
            </w:pPr>
            <w:r>
              <w:rPr>
                <w:rFonts w:hint="eastAsia"/>
                <w:sz w:val="21"/>
                <w:szCs w:val="21"/>
              </w:rPr>
              <w:t>岸坡特征</w:t>
            </w:r>
          </w:p>
        </w:tc>
        <w:tc>
          <w:tcPr>
            <w:tcW w:w="1276" w:type="dxa"/>
            <w:vAlign w:val="center"/>
          </w:tcPr>
          <w:p>
            <w:pPr>
              <w:spacing w:line="240" w:lineRule="auto"/>
              <w:ind w:firstLine="0" w:firstLineChars="0"/>
              <w:jc w:val="center"/>
              <w:rPr>
                <w:sz w:val="21"/>
                <w:szCs w:val="21"/>
              </w:rPr>
            </w:pPr>
            <w:r>
              <w:rPr>
                <w:rFonts w:hint="eastAsia"/>
                <w:sz w:val="21"/>
                <w:szCs w:val="21"/>
              </w:rPr>
              <w:t>稳定</w:t>
            </w:r>
          </w:p>
        </w:tc>
        <w:tc>
          <w:tcPr>
            <w:tcW w:w="1721" w:type="dxa"/>
            <w:vAlign w:val="center"/>
          </w:tcPr>
          <w:p>
            <w:pPr>
              <w:spacing w:line="240" w:lineRule="auto"/>
              <w:ind w:firstLine="0" w:firstLineChars="0"/>
              <w:jc w:val="center"/>
              <w:rPr>
                <w:sz w:val="21"/>
                <w:szCs w:val="21"/>
              </w:rPr>
            </w:pPr>
            <w:r>
              <w:rPr>
                <w:rFonts w:hint="eastAsia"/>
                <w:sz w:val="21"/>
                <w:szCs w:val="21"/>
              </w:rPr>
              <w:t>基本稳定</w:t>
            </w:r>
          </w:p>
        </w:tc>
        <w:tc>
          <w:tcPr>
            <w:tcW w:w="1659" w:type="dxa"/>
            <w:vAlign w:val="center"/>
          </w:tcPr>
          <w:p>
            <w:pPr>
              <w:spacing w:line="240" w:lineRule="auto"/>
              <w:ind w:firstLine="0" w:firstLineChars="0"/>
              <w:jc w:val="center"/>
              <w:rPr>
                <w:sz w:val="21"/>
                <w:szCs w:val="21"/>
              </w:rPr>
            </w:pPr>
            <w:r>
              <w:rPr>
                <w:rFonts w:hint="eastAsia"/>
                <w:sz w:val="21"/>
                <w:szCs w:val="21"/>
              </w:rPr>
              <w:t>次不稳定</w:t>
            </w:r>
          </w:p>
        </w:tc>
        <w:tc>
          <w:tcPr>
            <w:tcW w:w="1660" w:type="dxa"/>
            <w:vAlign w:val="center"/>
          </w:tcPr>
          <w:p>
            <w:pPr>
              <w:spacing w:line="240" w:lineRule="auto"/>
              <w:ind w:firstLine="0" w:firstLineChars="0"/>
              <w:jc w:val="center"/>
              <w:rPr>
                <w:sz w:val="21"/>
                <w:szCs w:val="21"/>
              </w:rPr>
            </w:pPr>
            <w:r>
              <w:rPr>
                <w:rFonts w:hint="eastAsia"/>
                <w:sz w:val="21"/>
                <w:szCs w:val="21"/>
              </w:rPr>
              <w:t>不稳定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vAlign w:val="center"/>
          </w:tcPr>
          <w:p>
            <w:pPr>
              <w:spacing w:line="240" w:lineRule="auto"/>
              <w:ind w:firstLine="0" w:firstLineChars="0"/>
              <w:jc w:val="center"/>
              <w:rPr>
                <w:sz w:val="21"/>
                <w:szCs w:val="21"/>
              </w:rPr>
            </w:pPr>
            <w:r>
              <w:rPr>
                <w:rFonts w:hint="eastAsia"/>
                <w:sz w:val="21"/>
                <w:szCs w:val="21"/>
              </w:rPr>
              <w:t>斜坡角度（度）</w:t>
            </w:r>
          </w:p>
        </w:tc>
        <w:tc>
          <w:tcPr>
            <w:tcW w:w="1276" w:type="dxa"/>
            <w:vAlign w:val="center"/>
          </w:tcPr>
          <w:p>
            <w:pPr>
              <w:spacing w:line="240" w:lineRule="auto"/>
              <w:ind w:firstLine="0" w:firstLineChars="0"/>
              <w:jc w:val="center"/>
              <w:rPr>
                <w:sz w:val="21"/>
                <w:szCs w:val="21"/>
              </w:rPr>
            </w:pPr>
          </w:p>
        </w:tc>
        <w:tc>
          <w:tcPr>
            <w:tcW w:w="1721" w:type="dxa"/>
            <w:vAlign w:val="center"/>
          </w:tcPr>
          <w:p>
            <w:pPr>
              <w:spacing w:line="240" w:lineRule="auto"/>
              <w:ind w:firstLine="0" w:firstLineChars="0"/>
              <w:jc w:val="center"/>
              <w:rPr>
                <w:sz w:val="21"/>
                <w:szCs w:val="21"/>
              </w:rPr>
            </w:pPr>
          </w:p>
        </w:tc>
        <w:tc>
          <w:tcPr>
            <w:tcW w:w="1659" w:type="dxa"/>
            <w:vAlign w:val="center"/>
          </w:tcPr>
          <w:p>
            <w:pPr>
              <w:spacing w:line="240" w:lineRule="auto"/>
              <w:ind w:firstLine="0" w:firstLineChars="0"/>
              <w:jc w:val="center"/>
              <w:rPr>
                <w:sz w:val="21"/>
                <w:szCs w:val="21"/>
              </w:rPr>
            </w:pPr>
            <w:r>
              <w:rPr>
                <w:rFonts w:hint="eastAsia"/>
                <w:sz w:val="21"/>
                <w:szCs w:val="21"/>
              </w:rPr>
              <w:t>2</w:t>
            </w:r>
            <w:r>
              <w:rPr>
                <w:sz w:val="21"/>
                <w:szCs w:val="21"/>
              </w:rPr>
              <w:t>5</w:t>
            </w:r>
          </w:p>
        </w:tc>
        <w:tc>
          <w:tcPr>
            <w:tcW w:w="1660" w:type="dxa"/>
            <w:vAlign w:val="center"/>
          </w:tcPr>
          <w:p>
            <w:pPr>
              <w:spacing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vAlign w:val="center"/>
          </w:tcPr>
          <w:p>
            <w:pPr>
              <w:spacing w:line="240" w:lineRule="auto"/>
              <w:ind w:firstLine="0" w:firstLineChars="0"/>
              <w:jc w:val="center"/>
              <w:rPr>
                <w:sz w:val="21"/>
                <w:szCs w:val="21"/>
              </w:rPr>
            </w:pPr>
            <w:r>
              <w:rPr>
                <w:rFonts w:hint="eastAsia"/>
                <w:sz w:val="21"/>
                <w:szCs w:val="21"/>
              </w:rPr>
              <w:t>植被覆盖率（%）</w:t>
            </w:r>
          </w:p>
        </w:tc>
        <w:tc>
          <w:tcPr>
            <w:tcW w:w="1276" w:type="dxa"/>
            <w:vAlign w:val="center"/>
          </w:tcPr>
          <w:p>
            <w:pPr>
              <w:spacing w:line="240" w:lineRule="auto"/>
              <w:ind w:firstLine="0" w:firstLineChars="0"/>
              <w:jc w:val="center"/>
              <w:rPr>
                <w:sz w:val="21"/>
                <w:szCs w:val="21"/>
              </w:rPr>
            </w:pPr>
          </w:p>
        </w:tc>
        <w:tc>
          <w:tcPr>
            <w:tcW w:w="1721" w:type="dxa"/>
            <w:vAlign w:val="center"/>
          </w:tcPr>
          <w:p>
            <w:pPr>
              <w:spacing w:line="240" w:lineRule="auto"/>
              <w:ind w:firstLine="0" w:firstLineChars="0"/>
              <w:jc w:val="center"/>
              <w:rPr>
                <w:sz w:val="21"/>
                <w:szCs w:val="21"/>
              </w:rPr>
            </w:pPr>
            <w:r>
              <w:rPr>
                <w:sz w:val="21"/>
                <w:szCs w:val="21"/>
              </w:rPr>
              <w:t>75</w:t>
            </w:r>
          </w:p>
        </w:tc>
        <w:tc>
          <w:tcPr>
            <w:tcW w:w="1659" w:type="dxa"/>
            <w:vAlign w:val="center"/>
          </w:tcPr>
          <w:p>
            <w:pPr>
              <w:spacing w:line="240" w:lineRule="auto"/>
              <w:ind w:firstLine="0" w:firstLineChars="0"/>
              <w:jc w:val="center"/>
              <w:rPr>
                <w:sz w:val="21"/>
                <w:szCs w:val="21"/>
              </w:rPr>
            </w:pPr>
          </w:p>
        </w:tc>
        <w:tc>
          <w:tcPr>
            <w:tcW w:w="1660" w:type="dxa"/>
            <w:vAlign w:val="center"/>
          </w:tcPr>
          <w:p>
            <w:pPr>
              <w:spacing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vAlign w:val="center"/>
          </w:tcPr>
          <w:p>
            <w:pPr>
              <w:spacing w:line="240" w:lineRule="auto"/>
              <w:ind w:firstLine="0" w:firstLineChars="0"/>
              <w:jc w:val="center"/>
              <w:rPr>
                <w:sz w:val="21"/>
                <w:szCs w:val="21"/>
              </w:rPr>
            </w:pPr>
            <w:r>
              <w:rPr>
                <w:rFonts w:hint="eastAsia"/>
                <w:sz w:val="21"/>
                <w:szCs w:val="21"/>
              </w:rPr>
              <w:t>斜坡高度（米）</w:t>
            </w:r>
          </w:p>
        </w:tc>
        <w:tc>
          <w:tcPr>
            <w:tcW w:w="1276" w:type="dxa"/>
            <w:vAlign w:val="center"/>
          </w:tcPr>
          <w:p>
            <w:pPr>
              <w:spacing w:line="240" w:lineRule="auto"/>
              <w:ind w:firstLine="0" w:firstLineChars="0"/>
              <w:jc w:val="center"/>
              <w:rPr>
                <w:sz w:val="21"/>
                <w:szCs w:val="21"/>
              </w:rPr>
            </w:pPr>
          </w:p>
        </w:tc>
        <w:tc>
          <w:tcPr>
            <w:tcW w:w="1721" w:type="dxa"/>
            <w:vAlign w:val="center"/>
          </w:tcPr>
          <w:p>
            <w:pPr>
              <w:spacing w:line="240" w:lineRule="auto"/>
              <w:ind w:firstLine="0" w:firstLineChars="0"/>
              <w:jc w:val="center"/>
              <w:rPr>
                <w:sz w:val="21"/>
                <w:szCs w:val="21"/>
              </w:rPr>
            </w:pPr>
          </w:p>
        </w:tc>
        <w:tc>
          <w:tcPr>
            <w:tcW w:w="1659" w:type="dxa"/>
            <w:vAlign w:val="center"/>
          </w:tcPr>
          <w:p>
            <w:pPr>
              <w:spacing w:line="240" w:lineRule="auto"/>
              <w:ind w:firstLine="0" w:firstLineChars="0"/>
              <w:jc w:val="center"/>
              <w:rPr>
                <w:sz w:val="21"/>
                <w:szCs w:val="21"/>
              </w:rPr>
            </w:pPr>
            <w:r>
              <w:rPr>
                <w:sz w:val="21"/>
                <w:szCs w:val="21"/>
              </w:rPr>
              <w:t>25</w:t>
            </w:r>
          </w:p>
        </w:tc>
        <w:tc>
          <w:tcPr>
            <w:tcW w:w="1660" w:type="dxa"/>
            <w:vAlign w:val="center"/>
          </w:tcPr>
          <w:p>
            <w:pPr>
              <w:spacing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vAlign w:val="center"/>
          </w:tcPr>
          <w:p>
            <w:pPr>
              <w:spacing w:line="240" w:lineRule="auto"/>
              <w:ind w:firstLine="0" w:firstLineChars="0"/>
              <w:jc w:val="center"/>
              <w:rPr>
                <w:sz w:val="21"/>
                <w:szCs w:val="21"/>
              </w:rPr>
            </w:pPr>
            <w:r>
              <w:rPr>
                <w:rFonts w:hint="eastAsia"/>
                <w:sz w:val="21"/>
                <w:szCs w:val="21"/>
              </w:rPr>
              <w:t>基质（类别）</w:t>
            </w:r>
          </w:p>
        </w:tc>
        <w:tc>
          <w:tcPr>
            <w:tcW w:w="1276" w:type="dxa"/>
            <w:vAlign w:val="center"/>
          </w:tcPr>
          <w:p>
            <w:pPr>
              <w:spacing w:line="240" w:lineRule="auto"/>
              <w:ind w:firstLine="0" w:firstLineChars="0"/>
              <w:jc w:val="center"/>
              <w:rPr>
                <w:sz w:val="21"/>
                <w:szCs w:val="21"/>
              </w:rPr>
            </w:pPr>
            <w:r>
              <w:rPr>
                <w:rFonts w:hint="eastAsia"/>
                <w:sz w:val="21"/>
                <w:szCs w:val="21"/>
              </w:rPr>
              <w:t>1</w:t>
            </w:r>
            <w:r>
              <w:rPr>
                <w:sz w:val="21"/>
                <w:szCs w:val="21"/>
              </w:rPr>
              <w:t>00</w:t>
            </w:r>
          </w:p>
        </w:tc>
        <w:tc>
          <w:tcPr>
            <w:tcW w:w="1721" w:type="dxa"/>
            <w:vAlign w:val="center"/>
          </w:tcPr>
          <w:p>
            <w:pPr>
              <w:spacing w:line="240" w:lineRule="auto"/>
              <w:ind w:firstLine="0" w:firstLineChars="0"/>
              <w:jc w:val="center"/>
              <w:rPr>
                <w:sz w:val="21"/>
                <w:szCs w:val="21"/>
              </w:rPr>
            </w:pPr>
          </w:p>
        </w:tc>
        <w:tc>
          <w:tcPr>
            <w:tcW w:w="1659" w:type="dxa"/>
            <w:vAlign w:val="center"/>
          </w:tcPr>
          <w:p>
            <w:pPr>
              <w:spacing w:line="240" w:lineRule="auto"/>
              <w:ind w:firstLine="0" w:firstLineChars="0"/>
              <w:jc w:val="center"/>
              <w:rPr>
                <w:sz w:val="21"/>
                <w:szCs w:val="21"/>
              </w:rPr>
            </w:pPr>
          </w:p>
        </w:tc>
        <w:tc>
          <w:tcPr>
            <w:tcW w:w="1660" w:type="dxa"/>
            <w:vAlign w:val="center"/>
          </w:tcPr>
          <w:p>
            <w:pPr>
              <w:spacing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vAlign w:val="center"/>
          </w:tcPr>
          <w:p>
            <w:pPr>
              <w:spacing w:line="240" w:lineRule="auto"/>
              <w:ind w:firstLine="0" w:firstLineChars="0"/>
              <w:jc w:val="center"/>
              <w:rPr>
                <w:sz w:val="21"/>
                <w:szCs w:val="21"/>
              </w:rPr>
            </w:pPr>
            <w:r>
              <w:rPr>
                <w:rFonts w:hint="eastAsia"/>
                <w:sz w:val="21"/>
                <w:szCs w:val="21"/>
              </w:rPr>
              <w:t>河岸冲刷状况</w:t>
            </w:r>
          </w:p>
        </w:tc>
        <w:tc>
          <w:tcPr>
            <w:tcW w:w="1276" w:type="dxa"/>
            <w:vAlign w:val="center"/>
          </w:tcPr>
          <w:p>
            <w:pPr>
              <w:spacing w:line="240" w:lineRule="auto"/>
              <w:ind w:firstLine="0" w:firstLineChars="0"/>
              <w:jc w:val="center"/>
              <w:rPr>
                <w:sz w:val="21"/>
                <w:szCs w:val="21"/>
              </w:rPr>
            </w:pPr>
            <w:r>
              <w:rPr>
                <w:rFonts w:hint="eastAsia"/>
                <w:sz w:val="21"/>
                <w:szCs w:val="21"/>
              </w:rPr>
              <w:t>1</w:t>
            </w:r>
            <w:r>
              <w:rPr>
                <w:sz w:val="21"/>
                <w:szCs w:val="21"/>
              </w:rPr>
              <w:t>00</w:t>
            </w:r>
          </w:p>
        </w:tc>
        <w:tc>
          <w:tcPr>
            <w:tcW w:w="1721" w:type="dxa"/>
            <w:vAlign w:val="center"/>
          </w:tcPr>
          <w:p>
            <w:pPr>
              <w:spacing w:line="240" w:lineRule="auto"/>
              <w:ind w:firstLine="0" w:firstLineChars="0"/>
              <w:jc w:val="center"/>
              <w:rPr>
                <w:sz w:val="21"/>
                <w:szCs w:val="21"/>
              </w:rPr>
            </w:pPr>
          </w:p>
        </w:tc>
        <w:tc>
          <w:tcPr>
            <w:tcW w:w="1659" w:type="dxa"/>
            <w:vAlign w:val="center"/>
          </w:tcPr>
          <w:p>
            <w:pPr>
              <w:spacing w:line="240" w:lineRule="auto"/>
              <w:ind w:firstLine="0" w:firstLineChars="0"/>
              <w:jc w:val="center"/>
              <w:rPr>
                <w:sz w:val="21"/>
                <w:szCs w:val="21"/>
              </w:rPr>
            </w:pPr>
          </w:p>
        </w:tc>
        <w:tc>
          <w:tcPr>
            <w:tcW w:w="1660" w:type="dxa"/>
            <w:vAlign w:val="center"/>
          </w:tcPr>
          <w:p>
            <w:pPr>
              <w:spacing w:line="240" w:lineRule="auto"/>
              <w:ind w:firstLine="0" w:firstLineChars="0"/>
              <w:jc w:val="center"/>
              <w:rPr>
                <w:sz w:val="21"/>
                <w:szCs w:val="21"/>
              </w:rPr>
            </w:pPr>
          </w:p>
        </w:tc>
      </w:tr>
    </w:tbl>
    <w:p>
      <w:pPr>
        <w:ind w:firstLine="482"/>
        <w:rPr>
          <w:b/>
        </w:rPr>
      </w:pPr>
    </w:p>
    <w:p>
      <w:pPr>
        <w:ind w:firstLine="480"/>
      </w:pPr>
      <w:r>
        <w:rPr>
          <w:rFonts w:hint="eastAsia"/>
        </w:rPr>
        <w:t>盐井河河岸稳定性评估得分按下式计算：</w:t>
      </w:r>
    </w:p>
    <w:p>
      <w:pPr>
        <w:ind w:firstLine="0" w:firstLineChars="0"/>
        <w:jc w:val="center"/>
        <w:rPr>
          <w:i/>
        </w:rPr>
      </w:pPr>
      <w:r>
        <w:rPr>
          <w:rFonts w:hint="eastAsia"/>
          <w:i/>
        </w:rPr>
        <w:t>BKS</w:t>
      </w:r>
      <w:r>
        <w:rPr>
          <w:rFonts w:hint="eastAsia"/>
          <w:i/>
          <w:vertAlign w:val="subscript"/>
        </w:rPr>
        <w:t>r</w:t>
      </w:r>
      <w:r>
        <w:rPr>
          <w:rFonts w:hint="eastAsia"/>
          <w:i/>
        </w:rPr>
        <w:t>=</w:t>
      </w:r>
      <w:r>
        <w:rPr>
          <w:rFonts w:hint="eastAsia"/>
        </w:rPr>
        <w:t>(</w:t>
      </w:r>
      <w:r>
        <w:rPr>
          <w:rFonts w:hint="eastAsia"/>
          <w:i/>
        </w:rPr>
        <w:t>SA</w:t>
      </w:r>
      <w:r>
        <w:rPr>
          <w:rFonts w:hint="eastAsia"/>
          <w:i/>
          <w:vertAlign w:val="subscript"/>
        </w:rPr>
        <w:t>r</w:t>
      </w:r>
      <w:r>
        <w:rPr>
          <w:rFonts w:hint="eastAsia"/>
          <w:i/>
        </w:rPr>
        <w:t>+SC</w:t>
      </w:r>
      <w:r>
        <w:rPr>
          <w:rFonts w:hint="eastAsia"/>
          <w:i/>
          <w:vertAlign w:val="subscript"/>
        </w:rPr>
        <w:t>r</w:t>
      </w:r>
      <w:r>
        <w:rPr>
          <w:rFonts w:hint="eastAsia"/>
          <w:i/>
        </w:rPr>
        <w:t>+SH</w:t>
      </w:r>
      <w:r>
        <w:rPr>
          <w:rFonts w:hint="eastAsia"/>
          <w:i/>
          <w:vertAlign w:val="subscript"/>
        </w:rPr>
        <w:t>r</w:t>
      </w:r>
      <w:r>
        <w:rPr>
          <w:rFonts w:hint="eastAsia"/>
          <w:i/>
        </w:rPr>
        <w:t>+SM</w:t>
      </w:r>
      <w:r>
        <w:rPr>
          <w:rFonts w:hint="eastAsia"/>
          <w:i/>
          <w:vertAlign w:val="subscript"/>
        </w:rPr>
        <w:t>r</w:t>
      </w:r>
      <w:r>
        <w:rPr>
          <w:rFonts w:hint="eastAsia"/>
          <w:i/>
        </w:rPr>
        <w:t>+ST</w:t>
      </w:r>
      <w:r>
        <w:rPr>
          <w:rFonts w:hint="eastAsia"/>
          <w:i/>
          <w:vertAlign w:val="subscript"/>
        </w:rPr>
        <w:t>r</w:t>
      </w:r>
      <w:r>
        <w:rPr>
          <w:rFonts w:hint="eastAsia"/>
        </w:rPr>
        <w:t>)</w:t>
      </w:r>
      <w:r>
        <w:rPr>
          <w:i/>
        </w:rPr>
        <w:t>/5</w:t>
      </w:r>
    </w:p>
    <w:p>
      <w:pPr>
        <w:ind w:firstLine="480"/>
      </w:pPr>
      <w:r>
        <w:rPr>
          <w:rFonts w:hint="eastAsia"/>
        </w:rPr>
        <w:t>式中:</w:t>
      </w:r>
    </w:p>
    <w:p>
      <w:pPr>
        <w:ind w:firstLine="480"/>
      </w:pPr>
      <w:r>
        <w:rPr>
          <w:rFonts w:hint="eastAsia"/>
        </w:rPr>
        <w:t>BKS</w:t>
      </w:r>
      <w:r>
        <w:rPr>
          <w:vertAlign w:val="subscript"/>
        </w:rPr>
        <w:t>r</w:t>
      </w:r>
      <w:r>
        <w:rPr>
          <w:rFonts w:hint="eastAsia"/>
        </w:rPr>
        <w:t>—岸坡稳定性指标赋分；</w:t>
      </w:r>
    </w:p>
    <w:p>
      <w:pPr>
        <w:ind w:firstLine="480"/>
      </w:pPr>
      <w:r>
        <w:rPr>
          <w:rFonts w:hint="eastAsia"/>
        </w:rPr>
        <w:t>SA</w:t>
      </w:r>
      <w:r>
        <w:rPr>
          <w:vertAlign w:val="subscript"/>
        </w:rPr>
        <w:t>r</w:t>
      </w:r>
      <w:r>
        <w:rPr>
          <w:rFonts w:hint="eastAsia"/>
        </w:rPr>
        <w:t>—岸坡倾角分值；</w:t>
      </w:r>
    </w:p>
    <w:p>
      <w:pPr>
        <w:ind w:firstLine="480"/>
      </w:pPr>
      <w:r>
        <w:rPr>
          <w:rFonts w:hint="eastAsia"/>
        </w:rPr>
        <w:t>SC</w:t>
      </w:r>
      <w:r>
        <w:rPr>
          <w:vertAlign w:val="subscript"/>
        </w:rPr>
        <w:t>r</w:t>
      </w:r>
      <w:r>
        <w:rPr>
          <w:rFonts w:hint="eastAsia"/>
        </w:rPr>
        <w:t>—岸坡植被覆盖度分值；</w:t>
      </w:r>
    </w:p>
    <w:p>
      <w:pPr>
        <w:ind w:firstLine="480"/>
      </w:pPr>
      <w:r>
        <w:rPr>
          <w:rFonts w:hint="eastAsia"/>
        </w:rPr>
        <w:t>SH</w:t>
      </w:r>
      <w:r>
        <w:rPr>
          <w:vertAlign w:val="subscript"/>
        </w:rPr>
        <w:t>r</w:t>
      </w:r>
      <w:r>
        <w:rPr>
          <w:rFonts w:hint="eastAsia"/>
        </w:rPr>
        <w:t>—岸坡高度分值；</w:t>
      </w:r>
    </w:p>
    <w:p>
      <w:pPr>
        <w:ind w:firstLine="480"/>
      </w:pPr>
      <w:r>
        <w:rPr>
          <w:rFonts w:hint="eastAsia"/>
        </w:rPr>
        <w:t>SM</w:t>
      </w:r>
      <w:r>
        <w:rPr>
          <w:vertAlign w:val="subscript"/>
        </w:rPr>
        <w:t>r</w:t>
      </w:r>
      <w:r>
        <w:rPr>
          <w:rFonts w:hint="eastAsia"/>
        </w:rPr>
        <w:t>—河岸基质分值；</w:t>
      </w:r>
    </w:p>
    <w:p>
      <w:pPr>
        <w:ind w:firstLine="480"/>
      </w:pPr>
      <w:r>
        <w:rPr>
          <w:rFonts w:hint="eastAsia"/>
        </w:rPr>
        <w:t>ST</w:t>
      </w:r>
      <w:r>
        <w:rPr>
          <w:vertAlign w:val="subscript"/>
        </w:rPr>
        <w:t>r</w:t>
      </w:r>
      <w:r>
        <w:rPr>
          <w:rFonts w:hint="eastAsia"/>
        </w:rPr>
        <w:t>—坡脚冲刷强度分值。</w:t>
      </w:r>
    </w:p>
    <w:p>
      <w:pPr>
        <w:ind w:firstLine="480"/>
      </w:pPr>
      <w:r>
        <w:rPr>
          <w:rFonts w:hint="eastAsia"/>
        </w:rPr>
        <w:t>经计算，盐井河河岸稳定性得分BKS</w:t>
      </w:r>
      <w:r>
        <w:rPr>
          <w:vertAlign w:val="subscript"/>
        </w:rPr>
        <w:t>r</w:t>
      </w:r>
      <w:r>
        <w:rPr>
          <w:rFonts w:hint="eastAsia"/>
        </w:rPr>
        <w:t>=(</w:t>
      </w:r>
      <w:r>
        <w:t>75+25+25+100+100</w:t>
      </w:r>
      <w:r>
        <w:rPr>
          <w:rFonts w:hint="eastAsia"/>
        </w:rPr>
        <w:t>)/</w:t>
      </w:r>
      <w:r>
        <w:t>5</w:t>
      </w:r>
      <w:r>
        <w:rPr>
          <w:rFonts w:hint="eastAsia"/>
        </w:rPr>
        <w:t>=</w:t>
      </w:r>
      <w:r>
        <w:t>65</w:t>
      </w:r>
      <w:r>
        <w:rPr>
          <w:rFonts w:hint="eastAsia"/>
        </w:rPr>
        <w:t>。</w:t>
      </w:r>
    </w:p>
    <w:p>
      <w:pPr>
        <w:ind w:firstLine="482"/>
        <w:rPr>
          <w:b/>
        </w:rPr>
      </w:pPr>
      <w:r>
        <w:rPr>
          <w:rFonts w:hint="eastAsia"/>
          <w:b/>
        </w:rPr>
        <w:t>2、纵向连通指数</w:t>
      </w:r>
    </w:p>
    <w:p>
      <w:pPr>
        <w:ind w:firstLine="480"/>
      </w:pPr>
      <w:r>
        <w:rPr>
          <w:rFonts w:hint="eastAsia"/>
        </w:rPr>
        <w:t>盐井河旺苍县境内河段河长</w:t>
      </w:r>
      <w:r>
        <w:t>43.3</w:t>
      </w:r>
      <w:r>
        <w:rPr>
          <w:rFonts w:hint="eastAsia"/>
        </w:rPr>
        <w:t>km，共有两座径流式小型水电站。</w:t>
      </w:r>
    </w:p>
    <w:p>
      <w:pPr>
        <w:ind w:firstLine="480"/>
      </w:pPr>
      <w:r>
        <w:rPr>
          <w:rFonts w:hint="eastAsia"/>
        </w:rPr>
        <w:t>根据《指南》指标评价与赋分标准，河流纵向连通指数为单位河长内影响河流连通性的建筑物或设施数量评价，有过鱼设施的且能正常运行的不在统计范围内。盐井河福鑫、盐河两座水电站均无设置过鱼设施，对电站上下游水生物基因交流有阻隔影响，盐井河纵向连通性指数按</w:t>
      </w:r>
      <w:r>
        <w:fldChar w:fldCharType="begin"/>
      </w:r>
      <w:r>
        <w:instrText xml:space="preserve"> </w:instrText>
      </w:r>
      <w:r>
        <w:rPr>
          <w:rFonts w:hint="eastAsia"/>
        </w:rPr>
        <w:instrText xml:space="preserve">REF _Ref80717433 \h</w:instrText>
      </w:r>
      <w:r>
        <w:instrText xml:space="preserve"> </w:instrText>
      </w:r>
      <w:r>
        <w:fldChar w:fldCharType="separate"/>
      </w:r>
      <w:r>
        <w:rPr>
          <w:rFonts w:hint="eastAsia"/>
        </w:rPr>
        <w:t>表</w:t>
      </w:r>
      <w:r>
        <w:t>3.1</w:t>
      </w:r>
      <w:r>
        <w:noBreakHyphen/>
      </w:r>
      <w:r>
        <w:t>5</w:t>
      </w:r>
      <w:r>
        <w:fldChar w:fldCharType="end"/>
      </w:r>
      <w:r>
        <w:rPr>
          <w:rFonts w:hint="eastAsia"/>
        </w:rPr>
        <w:t>统计为4</w:t>
      </w:r>
      <w:r>
        <w:t>.5</w:t>
      </w:r>
      <w:r>
        <w:rPr>
          <w:rFonts w:hint="eastAsia"/>
        </w:rPr>
        <w:t>个/</w:t>
      </w:r>
      <w:r>
        <w:t>100</w:t>
      </w:r>
      <w:r>
        <w:rPr>
          <w:rFonts w:hint="eastAsia"/>
        </w:rPr>
        <w:t>km，得分为</w:t>
      </w:r>
      <w:r>
        <w:t>0</w:t>
      </w:r>
      <w:r>
        <w:rPr>
          <w:rFonts w:hint="eastAsia"/>
        </w:rPr>
        <w:t>分。</w:t>
      </w:r>
    </w:p>
    <w:p>
      <w:pPr>
        <w:pStyle w:val="4"/>
        <w:ind w:left="240"/>
      </w:pPr>
      <w:bookmarkStart w:id="170" w:name="_Toc80719419"/>
      <w:bookmarkStart w:id="171" w:name="_Toc86049203"/>
      <w:r>
        <w:rPr>
          <w:rFonts w:hint="eastAsia"/>
        </w:rPr>
        <w:t>水质</w:t>
      </w:r>
      <w:bookmarkEnd w:id="170"/>
      <w:bookmarkEnd w:id="171"/>
    </w:p>
    <w:p>
      <w:pPr>
        <w:ind w:firstLine="482"/>
        <w:rPr>
          <w:b/>
        </w:rPr>
      </w:pPr>
      <w:r>
        <w:rPr>
          <w:rFonts w:hint="eastAsia"/>
          <w:b/>
        </w:rPr>
        <w:t>1、水体整洁程度</w:t>
      </w:r>
    </w:p>
    <w:p>
      <w:pPr>
        <w:ind w:firstLine="480"/>
      </w:pPr>
      <w:r>
        <w:rPr>
          <w:rFonts w:hint="eastAsia"/>
        </w:rPr>
        <w:t>水体整洁程度根据嗅和味、漂浮废弃物中最差状况来确定最终得分。</w:t>
      </w:r>
    </w:p>
    <w:p>
      <w:pPr>
        <w:ind w:firstLine="480"/>
      </w:pPr>
      <w:r>
        <w:rPr>
          <w:rFonts w:hint="eastAsia"/>
        </w:rPr>
        <w:t>通过对上游万家、中游国华、下游双汇三个乡镇选取三个点位调查走访盐河居民，走访调查结果见</w:t>
      </w:r>
      <w:r>
        <w:fldChar w:fldCharType="begin"/>
      </w:r>
      <w:r>
        <w:instrText xml:space="preserve"> </w:instrText>
      </w:r>
      <w:r>
        <w:rPr>
          <w:rFonts w:hint="eastAsia"/>
        </w:rPr>
        <w:instrText xml:space="preserve">REF _Ref82613483 \h</w:instrText>
      </w:r>
      <w:r>
        <w:instrText xml:space="preserve"> </w:instrText>
      </w:r>
      <w:r>
        <w:fldChar w:fldCharType="separate"/>
      </w:r>
      <w:r>
        <w:rPr>
          <w:rFonts w:hint="eastAsia"/>
        </w:rPr>
        <w:t>表</w:t>
      </w:r>
      <w:r>
        <w:t>5.1</w:t>
      </w:r>
      <w:r>
        <w:noBreakHyphen/>
      </w:r>
      <w:r>
        <w:t>3</w:t>
      </w:r>
      <w:r>
        <w:fldChar w:fldCharType="end"/>
      </w:r>
      <w:r>
        <w:rPr>
          <w:rFonts w:hint="eastAsia"/>
        </w:rPr>
        <w:t>。</w:t>
      </w:r>
    </w:p>
    <w:p>
      <w:pPr>
        <w:pStyle w:val="58"/>
        <w:rPr>
          <w:color w:val="auto"/>
        </w:rPr>
      </w:pPr>
      <w:bookmarkStart w:id="172" w:name="_Ref82613483"/>
      <w:r>
        <w:rPr>
          <w:rFonts w:hint="eastAsia"/>
          <w:color w:val="auto"/>
        </w:rPr>
        <w:t>表</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5.1</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3</w:t>
      </w:r>
      <w:r>
        <w:rPr>
          <w:color w:val="auto"/>
        </w:rPr>
        <w:fldChar w:fldCharType="end"/>
      </w:r>
      <w:bookmarkEnd w:id="172"/>
      <w:r>
        <w:rPr>
          <w:rFonts w:hint="eastAsia"/>
          <w:color w:val="auto"/>
        </w:rPr>
        <w:t>盐井河水体整洁整体情况表</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1704"/>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tcPr>
          <w:p>
            <w:pPr>
              <w:pStyle w:val="43"/>
            </w:pPr>
            <w:r>
              <w:rPr>
                <w:rFonts w:hint="eastAsia"/>
              </w:rPr>
              <w:t>调查点位</w:t>
            </w:r>
          </w:p>
        </w:tc>
        <w:tc>
          <w:tcPr>
            <w:tcW w:w="1000" w:type="pct"/>
          </w:tcPr>
          <w:p>
            <w:pPr>
              <w:pStyle w:val="43"/>
            </w:pPr>
            <w:r>
              <w:rPr>
                <w:rFonts w:hint="eastAsia"/>
              </w:rPr>
              <w:t>感官指标</w:t>
            </w:r>
          </w:p>
        </w:tc>
        <w:tc>
          <w:tcPr>
            <w:tcW w:w="1000" w:type="pct"/>
          </w:tcPr>
          <w:p>
            <w:pPr>
              <w:pStyle w:val="43"/>
            </w:pPr>
            <w:r>
              <w:rPr>
                <w:rFonts w:hint="eastAsia"/>
              </w:rPr>
              <w:t>臭和味</w:t>
            </w:r>
          </w:p>
        </w:tc>
        <w:tc>
          <w:tcPr>
            <w:tcW w:w="1000" w:type="pct"/>
          </w:tcPr>
          <w:p>
            <w:pPr>
              <w:pStyle w:val="43"/>
            </w:pPr>
            <w:r>
              <w:rPr>
                <w:rFonts w:hint="eastAsia"/>
              </w:rPr>
              <w:t>漂浮物</w:t>
            </w:r>
          </w:p>
        </w:tc>
        <w:tc>
          <w:tcPr>
            <w:tcW w:w="1000" w:type="pct"/>
          </w:tcPr>
          <w:p>
            <w:pPr>
              <w:pStyle w:val="43"/>
            </w:pPr>
            <w:r>
              <w:rPr>
                <w:rFonts w:hint="eastAsia"/>
              </w:rPr>
              <w:t>赋分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tcPr>
          <w:p>
            <w:pPr>
              <w:pStyle w:val="43"/>
            </w:pPr>
            <w:r>
              <w:rPr>
                <w:rFonts w:hint="eastAsia"/>
              </w:rPr>
              <w:t>万家</w:t>
            </w:r>
          </w:p>
        </w:tc>
        <w:tc>
          <w:tcPr>
            <w:tcW w:w="1000" w:type="pct"/>
          </w:tcPr>
          <w:p>
            <w:pPr>
              <w:pStyle w:val="43"/>
            </w:pPr>
            <w:r>
              <w:rPr>
                <w:rFonts w:hint="eastAsia"/>
              </w:rPr>
              <w:t>优</w:t>
            </w:r>
          </w:p>
        </w:tc>
        <w:tc>
          <w:tcPr>
            <w:tcW w:w="1000" w:type="pct"/>
          </w:tcPr>
          <w:p>
            <w:pPr>
              <w:pStyle w:val="43"/>
            </w:pPr>
            <w:r>
              <w:rPr>
                <w:rFonts w:hint="eastAsia"/>
              </w:rPr>
              <w:t>无</w:t>
            </w:r>
          </w:p>
        </w:tc>
        <w:tc>
          <w:tcPr>
            <w:tcW w:w="1000" w:type="pct"/>
          </w:tcPr>
          <w:p>
            <w:pPr>
              <w:pStyle w:val="43"/>
            </w:pPr>
            <w:r>
              <w:rPr>
                <w:rFonts w:hint="eastAsia"/>
              </w:rPr>
              <w:t>无</w:t>
            </w:r>
          </w:p>
        </w:tc>
        <w:tc>
          <w:tcPr>
            <w:tcW w:w="1000" w:type="pct"/>
          </w:tcPr>
          <w:p>
            <w:pPr>
              <w:pStyle w:val="43"/>
            </w:pPr>
            <w:r>
              <w:rPr>
                <w:rFonts w:hint="eastAsia"/>
              </w:rPr>
              <w:t>1</w:t>
            </w:r>
            <w: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tcPr>
          <w:p>
            <w:pPr>
              <w:pStyle w:val="43"/>
            </w:pPr>
            <w:r>
              <w:rPr>
                <w:rFonts w:hint="eastAsia"/>
              </w:rPr>
              <w:t>国华</w:t>
            </w:r>
          </w:p>
        </w:tc>
        <w:tc>
          <w:tcPr>
            <w:tcW w:w="1000" w:type="pct"/>
          </w:tcPr>
          <w:p>
            <w:pPr>
              <w:pStyle w:val="43"/>
            </w:pPr>
            <w:r>
              <w:rPr>
                <w:rFonts w:hint="eastAsia"/>
              </w:rPr>
              <w:t>良</w:t>
            </w:r>
          </w:p>
        </w:tc>
        <w:tc>
          <w:tcPr>
            <w:tcW w:w="1000" w:type="pct"/>
          </w:tcPr>
          <w:p>
            <w:pPr>
              <w:pStyle w:val="43"/>
            </w:pPr>
            <w:r>
              <w:rPr>
                <w:rFonts w:hint="eastAsia"/>
              </w:rPr>
              <w:t>轻微</w:t>
            </w:r>
          </w:p>
        </w:tc>
        <w:tc>
          <w:tcPr>
            <w:tcW w:w="1000" w:type="pct"/>
          </w:tcPr>
          <w:p>
            <w:pPr>
              <w:pStyle w:val="43"/>
            </w:pPr>
            <w:r>
              <w:rPr>
                <w:rFonts w:hint="eastAsia"/>
              </w:rPr>
              <w:t>无</w:t>
            </w:r>
          </w:p>
        </w:tc>
        <w:tc>
          <w:tcPr>
            <w:tcW w:w="1000" w:type="pct"/>
          </w:tcPr>
          <w:p>
            <w:pPr>
              <w:pStyle w:val="43"/>
            </w:pPr>
            <w:r>
              <w:rPr>
                <w:rFonts w:hint="eastAsia"/>
              </w:rPr>
              <w:t>6</w:t>
            </w:r>
            <w: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tcPr>
          <w:p>
            <w:pPr>
              <w:pStyle w:val="43"/>
            </w:pPr>
            <w:r>
              <w:rPr>
                <w:rFonts w:hint="eastAsia"/>
              </w:rPr>
              <w:t>双汇</w:t>
            </w:r>
          </w:p>
        </w:tc>
        <w:tc>
          <w:tcPr>
            <w:tcW w:w="1000" w:type="pct"/>
          </w:tcPr>
          <w:p>
            <w:pPr>
              <w:pStyle w:val="43"/>
            </w:pPr>
            <w:r>
              <w:rPr>
                <w:rFonts w:hint="eastAsia"/>
              </w:rPr>
              <w:t>优</w:t>
            </w:r>
          </w:p>
        </w:tc>
        <w:tc>
          <w:tcPr>
            <w:tcW w:w="1000" w:type="pct"/>
          </w:tcPr>
          <w:p>
            <w:pPr>
              <w:pStyle w:val="43"/>
            </w:pPr>
            <w:r>
              <w:rPr>
                <w:rFonts w:hint="eastAsia"/>
              </w:rPr>
              <w:t>无</w:t>
            </w:r>
          </w:p>
        </w:tc>
        <w:tc>
          <w:tcPr>
            <w:tcW w:w="1000" w:type="pct"/>
          </w:tcPr>
          <w:p>
            <w:pPr>
              <w:pStyle w:val="43"/>
            </w:pPr>
            <w:r>
              <w:rPr>
                <w:rFonts w:hint="eastAsia"/>
              </w:rPr>
              <w:t>无</w:t>
            </w:r>
          </w:p>
        </w:tc>
        <w:tc>
          <w:tcPr>
            <w:tcW w:w="1000" w:type="pct"/>
          </w:tcPr>
          <w:p>
            <w:pPr>
              <w:pStyle w:val="43"/>
            </w:pPr>
            <w:r>
              <w:rPr>
                <w:rFonts w:hint="eastAsia"/>
              </w:rPr>
              <w:t>1</w:t>
            </w:r>
            <w:r>
              <w:t>00</w:t>
            </w:r>
          </w:p>
        </w:tc>
      </w:tr>
    </w:tbl>
    <w:p>
      <w:pPr>
        <w:ind w:firstLine="480"/>
      </w:pPr>
      <w:r>
        <w:rPr>
          <w:rFonts w:hint="eastAsia"/>
        </w:rPr>
        <w:t>盐井河根据居民的反馈及实地踏勘，河道内上下游水面基本无漂浮物，水体较为整洁，无任何异味，整体感官良好；中游国华镇段河道无漂浮物，局部河段存在轻微异味，水体整洁程度综合得分</w:t>
      </w:r>
      <w:r>
        <w:t>87</w:t>
      </w:r>
      <w:r>
        <w:rPr>
          <w:rFonts w:hint="eastAsia"/>
        </w:rPr>
        <w:t>分。</w:t>
      </w:r>
    </w:p>
    <w:p>
      <w:pPr>
        <w:ind w:firstLine="482"/>
        <w:rPr>
          <w:b/>
        </w:rPr>
      </w:pPr>
      <w:r>
        <w:rPr>
          <w:rFonts w:hint="eastAsia"/>
          <w:b/>
        </w:rPr>
        <w:t>2、水质优劣程度</w:t>
      </w:r>
    </w:p>
    <w:p>
      <w:pPr>
        <w:ind w:firstLine="480"/>
      </w:pPr>
      <w:r>
        <w:rPr>
          <w:rFonts w:hint="eastAsia"/>
        </w:rPr>
        <w:t>本次盐井河水质优劣程度根据水体取样送检结果进行评价，水质监测结果见</w:t>
      </w:r>
      <w:r>
        <w:rPr>
          <w:highlight w:val="yellow"/>
        </w:rPr>
        <w:fldChar w:fldCharType="begin"/>
      </w:r>
      <w:r>
        <w:rPr>
          <w:highlight w:val="yellow"/>
        </w:rPr>
        <w:instrText xml:space="preserve"> REF _Ref80803772 \h </w:instrText>
      </w:r>
      <w:r>
        <w:rPr>
          <w:highlight w:val="yellow"/>
        </w:rPr>
        <w:fldChar w:fldCharType="separate"/>
      </w:r>
      <w:r>
        <w:rPr>
          <w:rFonts w:hint="eastAsia"/>
        </w:rPr>
        <w:t>表</w:t>
      </w:r>
      <w:r>
        <w:t>4.3</w:t>
      </w:r>
      <w:r>
        <w:noBreakHyphen/>
      </w:r>
      <w:r>
        <w:t>4</w:t>
      </w:r>
      <w:r>
        <w:rPr>
          <w:highlight w:val="yellow"/>
        </w:rPr>
        <w:fldChar w:fldCharType="end"/>
      </w:r>
      <w:r>
        <w:rPr>
          <w:rFonts w:hint="eastAsia"/>
        </w:rPr>
        <w:t>。</w:t>
      </w:r>
    </w:p>
    <w:p>
      <w:pPr>
        <w:ind w:firstLine="480"/>
        <w:rPr>
          <w:highlight w:val="yellow"/>
        </w:rPr>
      </w:pPr>
      <w:r>
        <w:rPr>
          <w:rFonts w:hint="eastAsia"/>
        </w:rPr>
        <w:t>河长制水质检测为旺苍县生态环境局委托四川凯乐技术检测有限公司（</w:t>
      </w:r>
      <w:r>
        <w:t>2020</w:t>
      </w:r>
      <w:r>
        <w:rPr>
          <w:rFonts w:hint="eastAsia"/>
        </w:rPr>
        <w:t>年</w:t>
      </w:r>
      <w:r>
        <w:t>12</w:t>
      </w:r>
      <w:r>
        <w:rPr>
          <w:rFonts w:hint="eastAsia"/>
        </w:rPr>
        <w:t>月）取样检测，检测结果显示，监测断面抽检项目均达到《地表水环境质量标准》（</w:t>
      </w:r>
      <w:r>
        <w:t>GB3838-2002</w:t>
      </w:r>
      <w:r>
        <w:rPr>
          <w:rFonts w:hint="eastAsia"/>
        </w:rPr>
        <w:t>）中Ⅱ类标准限制要求；补充水质检测由中达建诚工程管理集团有限公司委托四川凯乐技术检测有限公司（</w:t>
      </w:r>
      <w:r>
        <w:t>2021</w:t>
      </w:r>
      <w:r>
        <w:rPr>
          <w:rFonts w:hint="eastAsia"/>
        </w:rPr>
        <w:t>年</w:t>
      </w:r>
      <w:r>
        <w:t>8</w:t>
      </w:r>
      <w:r>
        <w:rPr>
          <w:rFonts w:hint="eastAsia"/>
        </w:rPr>
        <w:t>月、</w:t>
      </w:r>
      <w:r>
        <w:t>10</w:t>
      </w:r>
      <w:r>
        <w:rPr>
          <w:rFonts w:hint="eastAsia"/>
        </w:rPr>
        <w:t>月）取样检测，检测结果显示，上游入境断面和下游入东河口断面抽检项目均达到《地表水环境质量标准》（</w:t>
      </w:r>
      <w:r>
        <w:t>GB3838-2002</w:t>
      </w:r>
      <w:r>
        <w:rPr>
          <w:rFonts w:hint="eastAsia"/>
        </w:rPr>
        <w:t>）中Ⅱ类标准限制要求；根据水体优劣程度评估赋分标准表（</w:t>
      </w:r>
      <w:r>
        <w:fldChar w:fldCharType="begin"/>
      </w:r>
      <w:r>
        <w:instrText xml:space="preserve"> </w:instrText>
      </w:r>
      <w:r>
        <w:rPr>
          <w:rFonts w:hint="eastAsia"/>
        </w:rPr>
        <w:instrText xml:space="preserve">REF _Ref80717516 \h</w:instrText>
      </w:r>
      <w:r>
        <w:instrText xml:space="preserve"> </w:instrText>
      </w:r>
      <w:r>
        <w:fldChar w:fldCharType="separate"/>
      </w:r>
      <w:r>
        <w:rPr>
          <w:rFonts w:hint="eastAsia"/>
        </w:rPr>
        <w:t>表</w:t>
      </w:r>
      <w:r>
        <w:t>3.1</w:t>
      </w:r>
      <w:r>
        <w:noBreakHyphen/>
      </w:r>
      <w:r>
        <w:t>7</w:t>
      </w:r>
      <w:r>
        <w:fldChar w:fldCharType="end"/>
      </w:r>
      <w:r>
        <w:rPr>
          <w:rFonts w:hint="eastAsia"/>
        </w:rPr>
        <w:t>），盐井河评价河段Ⅰ</w:t>
      </w:r>
      <w:r>
        <w:t>~</w:t>
      </w:r>
      <w:r>
        <w:rPr>
          <w:rFonts w:hint="eastAsia"/>
        </w:rPr>
        <w:t>Ⅲ水质类别比例≥</w:t>
      </w:r>
      <w:r>
        <w:t>90%</w:t>
      </w:r>
      <w:r>
        <w:rPr>
          <w:rFonts w:hint="eastAsia"/>
        </w:rPr>
        <w:t>，因此盐井河健康评价水质优劣程度评估得分为</w:t>
      </w:r>
      <w:r>
        <w:t>100</w:t>
      </w:r>
      <w:r>
        <w:rPr>
          <w:rFonts w:hint="eastAsia"/>
        </w:rPr>
        <w:t>分。</w:t>
      </w:r>
    </w:p>
    <w:p>
      <w:pPr>
        <w:ind w:firstLine="482"/>
        <w:rPr>
          <w:b/>
        </w:rPr>
      </w:pPr>
      <w:r>
        <w:rPr>
          <w:rFonts w:hint="eastAsia"/>
          <w:b/>
        </w:rPr>
        <w:t>3、水质变化趋势</w:t>
      </w:r>
    </w:p>
    <w:p>
      <w:pPr>
        <w:ind w:firstLine="480"/>
      </w:pPr>
      <w:r>
        <w:rPr>
          <w:rFonts w:hint="eastAsia"/>
        </w:rPr>
        <w:t>水质变化趋势需根据近</w:t>
      </w:r>
      <w:r>
        <w:t>3</w:t>
      </w:r>
      <w:r>
        <w:rPr>
          <w:rFonts w:hint="eastAsia"/>
        </w:rPr>
        <w:t>年或上一年度水质监测资料进行评价，盐井河入东河汇口监测断面目前仅有上一年1</w:t>
      </w:r>
      <w:r>
        <w:t>2</w:t>
      </w:r>
      <w:r>
        <w:rPr>
          <w:rFonts w:hint="eastAsia"/>
        </w:rPr>
        <w:t>月的数据，根据2</w:t>
      </w:r>
      <w:r>
        <w:t>021</w:t>
      </w:r>
      <w:r>
        <w:rPr>
          <w:rFonts w:hint="eastAsia"/>
        </w:rPr>
        <w:t>年8月和1</w:t>
      </w:r>
      <w:r>
        <w:t>0</w:t>
      </w:r>
      <w:r>
        <w:rPr>
          <w:rFonts w:hint="eastAsia"/>
        </w:rPr>
        <w:t>月补测数据，可以看出盐井河近</w:t>
      </w:r>
      <w:r>
        <w:t>1</w:t>
      </w:r>
      <w:r>
        <w:rPr>
          <w:rFonts w:hint="eastAsia"/>
        </w:rPr>
        <w:t>年水质类别均基本稳定在Ⅱ类水质，水质情况较为稳定。根据水质变化趋势评估赋分标准表（</w:t>
      </w:r>
      <w:r>
        <w:fldChar w:fldCharType="begin"/>
      </w:r>
      <w:r>
        <w:instrText xml:space="preserve"> </w:instrText>
      </w:r>
      <w:r>
        <w:rPr>
          <w:rFonts w:hint="eastAsia"/>
        </w:rPr>
        <w:instrText xml:space="preserve">REF _Ref80717534 \h</w:instrText>
      </w:r>
      <w:r>
        <w:instrText xml:space="preserve"> </w:instrText>
      </w:r>
      <w:r>
        <w:fldChar w:fldCharType="separate"/>
      </w:r>
      <w:r>
        <w:rPr>
          <w:rFonts w:hint="eastAsia"/>
        </w:rPr>
        <w:t>表</w:t>
      </w:r>
      <w:r>
        <w:t>3.1</w:t>
      </w:r>
      <w:r>
        <w:noBreakHyphen/>
      </w:r>
      <w:r>
        <w:t>8</w:t>
      </w:r>
      <w:r>
        <w:fldChar w:fldCharType="end"/>
      </w:r>
      <w:r>
        <w:rPr>
          <w:rFonts w:hint="eastAsia"/>
        </w:rPr>
        <w:t>），盐井河水质变化趋势为：水质类别稳定，且主要水质指标总体向好。因此盐井河水质变化趋势得分为</w:t>
      </w:r>
      <w:r>
        <w:t>100</w:t>
      </w:r>
      <w:r>
        <w:rPr>
          <w:rFonts w:hint="eastAsia"/>
        </w:rPr>
        <w:t>分。</w:t>
      </w:r>
    </w:p>
    <w:p>
      <w:pPr>
        <w:pStyle w:val="4"/>
        <w:ind w:left="240"/>
      </w:pPr>
      <w:bookmarkStart w:id="173" w:name="_Toc86049204"/>
      <w:bookmarkStart w:id="174" w:name="_Toc80719420"/>
      <w:r>
        <w:rPr>
          <w:rFonts w:hint="eastAsia"/>
        </w:rPr>
        <w:t>生物</w:t>
      </w:r>
      <w:bookmarkEnd w:id="173"/>
      <w:bookmarkEnd w:id="174"/>
    </w:p>
    <w:p>
      <w:pPr>
        <w:ind w:firstLine="482"/>
        <w:rPr>
          <w:b/>
        </w:rPr>
      </w:pPr>
      <w:r>
        <w:rPr>
          <w:rFonts w:hint="eastAsia"/>
          <w:b/>
        </w:rPr>
        <w:t>1、鱼类保有指数</w:t>
      </w:r>
    </w:p>
    <w:p>
      <w:pPr>
        <w:ind w:firstLine="480"/>
      </w:pPr>
      <w:r>
        <w:rPr>
          <w:rFonts w:hint="eastAsia"/>
        </w:rPr>
        <w:t>盐井河</w:t>
      </w:r>
      <w:r>
        <w:t>位于嘉陵江中游，早在200年前的《合川县志》就有嘉陵江水生生物的记载，其后各科研单位对嘉陵江个别水系进行可科考</w:t>
      </w:r>
      <w:r>
        <w:rPr>
          <w:rFonts w:hint="eastAsia"/>
        </w:rPr>
        <w:t>，东河各时间段鱼类调查科考时间线如下：</w:t>
      </w:r>
    </w:p>
    <w:p>
      <w:pPr>
        <w:ind w:firstLine="480"/>
      </w:pPr>
      <w:r>
        <w:rPr>
          <w:rFonts w:hint="eastAsia"/>
        </w:rPr>
        <w:t>1</w:t>
      </w:r>
      <w:r>
        <w:t>976</w:t>
      </w:r>
      <w:r>
        <w:rPr>
          <w:rFonts w:hint="eastAsia"/>
        </w:rPr>
        <w:t>年，四川省农业局和省科委组织嘉陵江全水系（嘉陵江干流、渠河、涪江)的鱼类资源及渔业调查。西南师范学院，南充师范学院、重庆市博物馆和沿江渔业部门，承担了嘉陵江干流及其主要支流东河、西河等的调查。科研人员在渔民的协助和支持下，用了两年的时间，搜集了第一手资料，并参考前人著作，作了综合的整理，列举出147种在嘉陵江有分布记录的鱼类。</w:t>
      </w:r>
    </w:p>
    <w:p>
      <w:pPr>
        <w:ind w:firstLine="480"/>
      </w:pPr>
      <w:r>
        <w:t>1980</w:t>
      </w:r>
      <w:r>
        <w:rPr>
          <w:rFonts w:hint="eastAsia"/>
        </w:rPr>
        <w:t>年，施白南、邓其祥（邓其详，南充师范学院生物系）根据嘉陵江干流调查结果发表论文《嘉陵江鱼类名录及其调查史略》，调查显示，东河8</w:t>
      </w:r>
      <w:r>
        <w:t>0</w:t>
      </w:r>
      <w:r>
        <w:rPr>
          <w:rFonts w:hint="eastAsia"/>
        </w:rPr>
        <w:t>年代前的鱼类分布有7</w:t>
      </w:r>
      <w:r>
        <w:t>3</w:t>
      </w:r>
      <w:r>
        <w:rPr>
          <w:rFonts w:hint="eastAsia"/>
        </w:rPr>
        <w:t>种。</w:t>
      </w:r>
    </w:p>
    <w:p>
      <w:pPr>
        <w:ind w:firstLine="480"/>
      </w:pPr>
      <w:r>
        <w:t>2013</w:t>
      </w:r>
      <w:r>
        <w:rPr>
          <w:rFonts w:hint="eastAsia"/>
        </w:rPr>
        <w:t>年，为配合旺苍县成立汉王山东河湿地省级自然保护区，四川省农业科学院水产研究所对东河鱼类资源作了详细科考调查，调查到鱼类分布7</w:t>
      </w:r>
      <w:r>
        <w:t>0</w:t>
      </w:r>
      <w:r>
        <w:rPr>
          <w:rFonts w:hint="eastAsia"/>
        </w:rPr>
        <w:t>种。</w:t>
      </w:r>
    </w:p>
    <w:p>
      <w:pPr>
        <w:ind w:firstLine="480"/>
      </w:pPr>
      <w:r>
        <w:rPr>
          <w:rFonts w:hint="eastAsia"/>
        </w:rPr>
        <w:t>2</w:t>
      </w:r>
      <w:r>
        <w:t>019</w:t>
      </w:r>
      <w:r>
        <w:rPr>
          <w:rFonts w:hint="eastAsia"/>
        </w:rPr>
        <w:t>年，为配合旺苍县盐河电站、福鑫电站专项整改工作，成都泉源博帆渔业科技有限公司对盐井河水生生物作了详细调查，根据《旺苍县盐河电站对水生生物影响及补救措施专题报告》、《旺苍县福鑫电站对水生生物影响及补救措施专题报告》，盐井河</w:t>
      </w:r>
      <w:r>
        <w:t>分布有鱼类</w:t>
      </w:r>
      <w:r>
        <w:rPr>
          <w:rFonts w:hint="eastAsia"/>
        </w:rPr>
        <w:t>60</w:t>
      </w:r>
      <w:r>
        <w:t>种</w:t>
      </w:r>
      <w:r>
        <w:rPr>
          <w:rFonts w:hint="eastAsia"/>
        </w:rPr>
        <w:t>。</w:t>
      </w:r>
    </w:p>
    <w:p>
      <w:pPr>
        <w:ind w:firstLine="480"/>
      </w:pPr>
      <w:r>
        <w:rPr>
          <w:rFonts w:hint="eastAsia"/>
        </w:rPr>
        <w:t>根据《旺苍县盐河电站对水生生物影响及补救措施专题报告》，盐井河水</w:t>
      </w:r>
      <w:r>
        <w:t>域鱼类种类数较下游</w:t>
      </w:r>
      <w:r>
        <w:rPr>
          <w:rFonts w:hint="eastAsia"/>
        </w:rPr>
        <w:t>东河</w:t>
      </w:r>
      <w:r>
        <w:t>河段有所减少，分布有鱼类</w:t>
      </w:r>
      <w:r>
        <w:rPr>
          <w:rFonts w:hint="eastAsia"/>
        </w:rPr>
        <w:t>60</w:t>
      </w:r>
      <w:r>
        <w:t>种，隶属于5目12科4</w:t>
      </w:r>
      <w:r>
        <w:rPr>
          <w:rFonts w:hint="eastAsia"/>
        </w:rPr>
        <w:t>6</w:t>
      </w:r>
      <w:r>
        <w:t>属。其中：鲤形目鳅科</w:t>
      </w:r>
      <w:r>
        <w:rPr>
          <w:rFonts w:hint="eastAsia"/>
        </w:rPr>
        <w:t>9</w:t>
      </w:r>
      <w:r>
        <w:t>种，鲤科3</w:t>
      </w:r>
      <w:r>
        <w:rPr>
          <w:rFonts w:hint="eastAsia"/>
        </w:rPr>
        <w:t>2</w:t>
      </w:r>
      <w:r>
        <w:t>种，平鳍鳅科</w:t>
      </w:r>
      <w:r>
        <w:rPr>
          <w:rFonts w:hint="eastAsia"/>
        </w:rPr>
        <w:t>2</w:t>
      </w:r>
      <w:r>
        <w:t>种；鲇形目鲇科2种，鲿科</w:t>
      </w:r>
      <w:r>
        <w:rPr>
          <w:rFonts w:hint="eastAsia"/>
        </w:rPr>
        <w:t>7</w:t>
      </w:r>
      <w:r>
        <w:t>种，钝头鮠科1种，鮡科1种；鳉形目青鳉科1种；合鳃鱼目合鳃鱼科1种；鲈形目</w:t>
      </w:r>
      <w:r>
        <w:rPr>
          <w:rFonts w:hint="eastAsia"/>
        </w:rPr>
        <w:t>鮨</w:t>
      </w:r>
      <w:r>
        <w:t>科2种，鰕虎鱼科1种，鳢科1种。</w:t>
      </w:r>
    </w:p>
    <w:p>
      <w:pPr>
        <w:ind w:firstLine="480"/>
      </w:pPr>
      <w:r>
        <w:rPr>
          <w:rFonts w:hint="eastAsia"/>
          <w:kern w:val="0"/>
          <w:szCs w:val="24"/>
        </w:rPr>
        <w:t>本次盐井河河湖健康评价鱼类调查范围为</w:t>
      </w:r>
      <w:r>
        <w:rPr>
          <w:rFonts w:hint="eastAsia"/>
          <w:kern w:val="0"/>
          <w:szCs w:val="24"/>
          <w:lang w:val="zh-CN"/>
        </w:rPr>
        <w:t>福鑫水</w:t>
      </w:r>
      <w:r>
        <w:rPr>
          <w:rFonts w:hint="eastAsia"/>
          <w:szCs w:val="24"/>
        </w:rPr>
        <w:t>电站取水口上游至盐河电站厂房下游河段，</w:t>
      </w:r>
      <w:r>
        <w:rPr>
          <w:rFonts w:hint="eastAsia"/>
          <w:kern w:val="0"/>
          <w:szCs w:val="24"/>
        </w:rPr>
        <w:t>在向导的带领下，对沿河居民进行访问调查并收集相关资料，调查到鱼类资源1</w:t>
      </w:r>
      <w:r>
        <w:rPr>
          <w:kern w:val="0"/>
          <w:szCs w:val="24"/>
        </w:rPr>
        <w:t>2</w:t>
      </w:r>
      <w:r>
        <w:rPr>
          <w:rFonts w:hint="eastAsia"/>
          <w:kern w:val="0"/>
          <w:szCs w:val="24"/>
        </w:rPr>
        <w:t>种，</w:t>
      </w:r>
      <w:r>
        <w:t>主要以尖头鱥、宽鳍鱲、</w:t>
      </w:r>
      <w:r>
        <w:rPr>
          <w:rFonts w:hint="eastAsia"/>
        </w:rPr>
        <w:t>花</w:t>
      </w:r>
      <w:r>
        <w:t>䱻等小型鱼类为主，其中数量最多的是尖头鱥</w:t>
      </w:r>
      <w:r>
        <w:rPr>
          <w:rFonts w:hint="eastAsia"/>
        </w:rPr>
        <w:t>。</w:t>
      </w:r>
    </w:p>
    <w:p>
      <w:pPr>
        <w:ind w:firstLine="480"/>
      </w:pPr>
      <w:r>
        <w:rPr>
          <w:rFonts w:hint="eastAsia"/>
        </w:rPr>
        <w:t>鉴于盐井河盐河电站及福鑫电站的影响，盐井河鱼类保有指数分上下两端进行评价，盐河电站上游和盐河电站下游为两个评价单元，最后综合评价盐井河鱼类保有指数。</w:t>
      </w:r>
    </w:p>
    <w:p>
      <w:pPr>
        <w:ind w:firstLine="480"/>
      </w:pPr>
      <w:r>
        <w:rPr>
          <w:rFonts w:hint="eastAsia"/>
        </w:rPr>
        <w:t>盐井河鱼类无8</w:t>
      </w:r>
      <w:r>
        <w:t>0</w:t>
      </w:r>
      <w:r>
        <w:rPr>
          <w:rFonts w:hint="eastAsia"/>
        </w:rPr>
        <w:t>年代调查资料，</w:t>
      </w:r>
      <w:r>
        <w:rPr>
          <w:rFonts w:hint="eastAsia"/>
          <w:kern w:val="0"/>
          <w:szCs w:val="24"/>
        </w:rPr>
        <w:t>调查访问沿河居民得知盐井河盐河电站以上河段历史常见鱼类1</w:t>
      </w:r>
      <w:r>
        <w:rPr>
          <w:kern w:val="0"/>
          <w:szCs w:val="24"/>
        </w:rPr>
        <w:t>5</w:t>
      </w:r>
      <w:r>
        <w:rPr>
          <w:rFonts w:hint="eastAsia"/>
          <w:kern w:val="0"/>
          <w:szCs w:val="24"/>
        </w:rPr>
        <w:t>种，</w:t>
      </w:r>
      <w:r>
        <w:rPr>
          <w:rFonts w:hint="eastAsia"/>
        </w:rPr>
        <w:t>由于盐河电站和福鑫电站的阻隔影响，下游鱼类不能洄游，上游鱼类资源呈减少趋势。根据公式</w:t>
      </w:r>
      <w:r>
        <w:rPr>
          <w:i/>
        </w:rPr>
        <w:t>FOEI=(FO/FE)</w:t>
      </w:r>
      <w:r>
        <w:rPr>
          <w:rFonts w:hint="eastAsia"/>
        </w:rPr>
        <w:t xml:space="preserve"> ×</w:t>
      </w:r>
      <w:r>
        <w:rPr>
          <w:i/>
        </w:rPr>
        <w:t>100</w:t>
      </w:r>
      <w:r>
        <w:rPr>
          <w:rFonts w:hint="eastAsia"/>
        </w:rPr>
        <w:t>计算得上游段鱼类保有指数为1</w:t>
      </w:r>
      <w:r>
        <w:t>2/15</w:t>
      </w:r>
      <w:r>
        <w:rPr>
          <w:rFonts w:hint="eastAsia"/>
        </w:rPr>
        <w:t>×1</w:t>
      </w:r>
      <w:r>
        <w:t>00</w:t>
      </w:r>
      <w:r>
        <w:rPr>
          <w:rFonts w:hint="eastAsia"/>
        </w:rPr>
        <w:t>%=8</w:t>
      </w:r>
      <w:r>
        <w:t>0</w:t>
      </w:r>
      <w:r>
        <w:rPr>
          <w:rFonts w:hint="eastAsia"/>
        </w:rPr>
        <w:t>%。</w:t>
      </w:r>
    </w:p>
    <w:p>
      <w:pPr>
        <w:ind w:firstLine="480"/>
      </w:pPr>
      <w:r>
        <w:rPr>
          <w:rFonts w:hint="eastAsia"/>
        </w:rPr>
        <w:t>盐井河盐河电站以下河段渔业资源受电站影响较小，</w:t>
      </w:r>
      <w:r>
        <w:t>随着沿程支流的汇入，河流下段水流量比上游段明显增大，水温较上游也有所上升</w:t>
      </w:r>
      <w:r>
        <w:rPr>
          <w:rFonts w:hint="eastAsia"/>
        </w:rPr>
        <w:t>；</w:t>
      </w:r>
      <w:r>
        <w:t>下游段鱼类种类较上游段多，鱼类组成也相对复杂。</w:t>
      </w:r>
      <w:r>
        <w:rPr>
          <w:rFonts w:hint="eastAsia"/>
        </w:rPr>
        <w:t>根据</w:t>
      </w:r>
      <w:r>
        <w:t>《</w:t>
      </w:r>
      <w:r>
        <w:rPr>
          <w:szCs w:val="24"/>
        </w:rPr>
        <w:t>东河上游特有鱼类省级水产种质资源保护区</w:t>
      </w:r>
      <w:r>
        <w:rPr>
          <w:rFonts w:hint="eastAsia" w:ascii="宋体" w:hAnsi="宋体"/>
          <w:szCs w:val="24"/>
        </w:rPr>
        <w:t>科考报告</w:t>
      </w:r>
      <w:r>
        <w:t>》等相关资料的分析，副鳅属、山鳅属、高原鳅属、华吸鳅属、</w:t>
      </w:r>
      <w:r>
        <w:rPr>
          <w:rFonts w:hint="eastAsia"/>
          <w:szCs w:val="24"/>
        </w:rPr>
        <w:t>宽鳍鱲、尖头鱥、</w:t>
      </w:r>
      <w:r>
        <w:t>裂腹鱼属</w:t>
      </w:r>
      <w:r>
        <w:rPr>
          <w:rFonts w:hint="eastAsia"/>
        </w:rPr>
        <w:t>、䱻</w:t>
      </w:r>
      <w:r>
        <w:t>属等的鱼类在盐井河的中、上游段均有分布；鲤科、鮎科、鲿科、合鳃鱼科、鳢科、</w:t>
      </w:r>
      <w:r>
        <w:rPr>
          <w:rFonts w:hint="eastAsia"/>
        </w:rPr>
        <w:t>鮨</w:t>
      </w:r>
      <w:r>
        <w:t>科、钝头鮠科等的鱼类在</w:t>
      </w:r>
      <w:r>
        <w:rPr>
          <w:rFonts w:hint="eastAsia"/>
        </w:rPr>
        <w:t>评价</w:t>
      </w:r>
      <w:r>
        <w:t>河段都广泛分布。根据本次</w:t>
      </w:r>
      <w:r>
        <w:rPr>
          <w:rFonts w:hint="eastAsia"/>
          <w:szCs w:val="24"/>
        </w:rPr>
        <w:t>调查访问</w:t>
      </w:r>
      <w:r>
        <w:rPr>
          <w:rFonts w:hint="eastAsia"/>
          <w:kern w:val="0"/>
          <w:szCs w:val="24"/>
        </w:rPr>
        <w:t>沿河居民</w:t>
      </w:r>
      <w:r>
        <w:rPr>
          <w:rFonts w:hint="eastAsia" w:ascii="宋体" w:hAnsi="宋体"/>
          <w:szCs w:val="24"/>
        </w:rPr>
        <w:t>，盐河电站以下河段常见鱼类无明显变化。</w:t>
      </w:r>
      <w:r>
        <w:rPr>
          <w:rFonts w:hint="eastAsia"/>
        </w:rPr>
        <w:t>根据公式</w:t>
      </w:r>
      <w:r>
        <w:rPr>
          <w:i/>
        </w:rPr>
        <w:t>FOEI=(FO/FE)*100</w:t>
      </w:r>
      <w:r>
        <w:rPr>
          <w:rFonts w:hint="eastAsia"/>
        </w:rPr>
        <w:t>计算得下游段鱼类保有指数为6</w:t>
      </w:r>
      <w:r>
        <w:t>0/60</w:t>
      </w:r>
      <w:r>
        <w:rPr>
          <w:rFonts w:hint="eastAsia"/>
        </w:rPr>
        <w:t>×1</w:t>
      </w:r>
      <w:r>
        <w:t>00</w:t>
      </w:r>
      <w:r>
        <w:rPr>
          <w:rFonts w:hint="eastAsia"/>
        </w:rPr>
        <w:t>%=</w:t>
      </w:r>
      <w:r>
        <w:t>100</w:t>
      </w:r>
      <w:r>
        <w:rPr>
          <w:rFonts w:hint="eastAsia"/>
        </w:rPr>
        <w:t>%。</w:t>
      </w:r>
    </w:p>
    <w:p>
      <w:pPr>
        <w:ind w:firstLine="480"/>
      </w:pPr>
      <w:r>
        <w:rPr>
          <w:rFonts w:hint="eastAsia"/>
        </w:rPr>
        <w:t>考虑盐井河盐河电站及福鑫电站对水生生态及渔业资源有一定程度的影响，鱼类保有指数得分采取上下游河段得分就低不就高原则，则盐井河鱼类保有指数取8</w:t>
      </w:r>
      <w:r>
        <w:t>0</w:t>
      </w:r>
      <w:r>
        <w:rPr>
          <w:rFonts w:hint="eastAsia"/>
        </w:rPr>
        <w:t>%，根据鱼类保有指数赋分标准表（</w:t>
      </w:r>
      <w:r>
        <w:fldChar w:fldCharType="begin"/>
      </w:r>
      <w:r>
        <w:instrText xml:space="preserve"> </w:instrText>
      </w:r>
      <w:r>
        <w:rPr>
          <w:rFonts w:hint="eastAsia"/>
        </w:rPr>
        <w:instrText xml:space="preserve">REF _Ref80716854 \h</w:instrText>
      </w:r>
      <w:r>
        <w:instrText xml:space="preserve">  \* MERGEFORMAT </w:instrText>
      </w:r>
      <w:r>
        <w:fldChar w:fldCharType="separate"/>
      </w:r>
      <w:r>
        <w:rPr>
          <w:rFonts w:hint="eastAsia"/>
        </w:rPr>
        <w:t>表</w:t>
      </w:r>
      <w:r>
        <w:t>3.1</w:t>
      </w:r>
      <w:r>
        <w:noBreakHyphen/>
      </w:r>
      <w:r>
        <w:t>9</w:t>
      </w:r>
      <w:r>
        <w:fldChar w:fldCharType="end"/>
      </w:r>
      <w:r>
        <w:rPr>
          <w:rFonts w:hint="eastAsia"/>
        </w:rPr>
        <w:t>），盐井河鱼类保有指数赋分标准赋分为8</w:t>
      </w:r>
      <w:r>
        <w:t>0</w:t>
      </w:r>
      <w:r>
        <w:rPr>
          <w:rFonts w:hint="eastAsia"/>
        </w:rPr>
        <w:t>分。</w:t>
      </w:r>
    </w:p>
    <w:p>
      <w:pPr>
        <w:ind w:firstLine="482"/>
        <w:rPr>
          <w:b/>
        </w:rPr>
      </w:pPr>
      <w:r>
        <w:rPr>
          <w:rFonts w:hint="eastAsia"/>
          <w:b/>
        </w:rPr>
        <w:t>2、外来水生动植物</w:t>
      </w:r>
    </w:p>
    <w:p>
      <w:pPr>
        <w:ind w:firstLine="480"/>
        <w:rPr>
          <w:b/>
        </w:rPr>
      </w:pPr>
      <w:r>
        <w:rPr>
          <w:rFonts w:hint="eastAsia"/>
        </w:rPr>
        <w:t>本次经走访调查和咨询旺苍县农业农村局渔业渔政管理股、汉王山东河湿地是省级自然保护区管理工作人员，未调查到有关外来水生动植物。按照外来水生动植物指数赋分标准表（</w:t>
      </w:r>
      <w:r>
        <w:fldChar w:fldCharType="begin"/>
      </w:r>
      <w:r>
        <w:instrText xml:space="preserve"> </w:instrText>
      </w:r>
      <w:r>
        <w:rPr>
          <w:rFonts w:hint="eastAsia"/>
        </w:rPr>
        <w:instrText xml:space="preserve">REF _Ref80716880 \h</w:instrText>
      </w:r>
      <w:r>
        <w:instrText xml:space="preserve"> </w:instrText>
      </w:r>
      <w:r>
        <w:fldChar w:fldCharType="separate"/>
      </w:r>
      <w:r>
        <w:rPr>
          <w:rFonts w:hint="eastAsia"/>
        </w:rPr>
        <w:t>表</w:t>
      </w:r>
      <w:r>
        <w:t>3.1</w:t>
      </w:r>
      <w:r>
        <w:noBreakHyphen/>
      </w:r>
      <w:r>
        <w:t>10</w:t>
      </w:r>
      <w:r>
        <w:fldChar w:fldCharType="end"/>
      </w:r>
      <w:r>
        <w:rPr>
          <w:rFonts w:hint="eastAsia"/>
        </w:rPr>
        <w:t>），盐井河外来水生动植物指数赋分标准赋分为1</w:t>
      </w:r>
      <w:r>
        <w:t>00</w:t>
      </w:r>
      <w:r>
        <w:rPr>
          <w:rFonts w:hint="eastAsia"/>
        </w:rPr>
        <w:t>分。</w:t>
      </w:r>
    </w:p>
    <w:p>
      <w:pPr>
        <w:pStyle w:val="4"/>
        <w:ind w:left="240"/>
      </w:pPr>
      <w:bookmarkStart w:id="175" w:name="_Toc86049205"/>
      <w:bookmarkStart w:id="176" w:name="_Toc80719421"/>
      <w:r>
        <w:rPr>
          <w:rFonts w:hint="eastAsia"/>
        </w:rPr>
        <w:t>河湖管理及社会服务</w:t>
      </w:r>
      <w:bookmarkEnd w:id="175"/>
      <w:bookmarkEnd w:id="176"/>
    </w:p>
    <w:p>
      <w:pPr>
        <w:ind w:firstLine="482"/>
        <w:rPr>
          <w:b/>
        </w:rPr>
      </w:pPr>
      <w:r>
        <w:rPr>
          <w:rFonts w:hint="eastAsia"/>
          <w:b/>
        </w:rPr>
        <w:t>1、公众满意度</w:t>
      </w:r>
    </w:p>
    <w:p>
      <w:pPr>
        <w:ind w:firstLine="480"/>
      </w:pPr>
      <w:r>
        <w:rPr>
          <w:rFonts w:hint="eastAsia"/>
        </w:rPr>
        <w:t>公众满意程度的调查采用问卷的方式进行，采集公众对于河流环境、水质质量、涉水景观、舒适性、美学价值等的满意程度，本次参与问卷调查的人数为</w:t>
      </w:r>
      <w:r>
        <w:t>20</w:t>
      </w:r>
      <w:r>
        <w:rPr>
          <w:rFonts w:hint="eastAsia"/>
        </w:rPr>
        <w:t>人，考虑盐河、天星等镇盐河居民较少，调查乡镇主要为国华镇，取所有公众赋分的平均值为公众满意程度综合赋分值。根据调查问卷结果，公众满意度得分为</w:t>
      </w:r>
      <w:r>
        <w:t>80</w:t>
      </w:r>
      <w:r>
        <w:rPr>
          <w:rFonts w:hint="eastAsia"/>
        </w:rPr>
        <w:t>分，盐井河健康评价公众调查情况汇总见下表。</w:t>
      </w:r>
    </w:p>
    <w:p>
      <w:pPr>
        <w:pStyle w:val="58"/>
        <w:rPr>
          <w:color w:val="auto"/>
        </w:rPr>
      </w:pPr>
      <w:r>
        <w:rPr>
          <w:rFonts w:hint="eastAsia"/>
          <w:color w:val="auto"/>
        </w:rPr>
        <w:t>表</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5.1</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4</w:t>
      </w:r>
      <w:r>
        <w:rPr>
          <w:color w:val="auto"/>
        </w:rPr>
        <w:fldChar w:fldCharType="end"/>
      </w:r>
      <w:r>
        <w:rPr>
          <w:rFonts w:hint="eastAsia"/>
          <w:color w:val="auto"/>
        </w:rPr>
        <w:t>公众满意度调查赋分表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876"/>
        <w:gridCol w:w="873"/>
        <w:gridCol w:w="1311"/>
        <w:gridCol w:w="1164"/>
        <w:gridCol w:w="1164"/>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424" w:type="pct"/>
            <w:shd w:val="clear" w:color="auto" w:fill="auto"/>
            <w:vAlign w:val="center"/>
          </w:tcPr>
          <w:p>
            <w:pPr>
              <w:widowControl/>
              <w:adjustRightInd/>
              <w:snapToGrid/>
              <w:spacing w:line="240" w:lineRule="auto"/>
              <w:ind w:firstLine="0" w:firstLineChars="0"/>
              <w:jc w:val="center"/>
              <w:rPr>
                <w:rFonts w:ascii="仿宋" w:hAnsi="仿宋" w:cs="宋体"/>
                <w:kern w:val="0"/>
                <w:sz w:val="21"/>
                <w:szCs w:val="21"/>
              </w:rPr>
            </w:pPr>
            <w:r>
              <w:rPr>
                <w:rFonts w:hint="eastAsia" w:ascii="仿宋" w:hAnsi="仿宋" w:cs="宋体"/>
                <w:kern w:val="0"/>
                <w:sz w:val="21"/>
                <w:szCs w:val="21"/>
              </w:rPr>
              <w:t>序号</w:t>
            </w:r>
          </w:p>
        </w:tc>
        <w:tc>
          <w:tcPr>
            <w:tcW w:w="514" w:type="pct"/>
            <w:shd w:val="clear" w:color="auto" w:fill="auto"/>
            <w:vAlign w:val="center"/>
          </w:tcPr>
          <w:p>
            <w:pPr>
              <w:widowControl/>
              <w:adjustRightInd/>
              <w:snapToGrid/>
              <w:spacing w:line="240" w:lineRule="auto"/>
              <w:ind w:firstLine="0" w:firstLineChars="0"/>
              <w:jc w:val="center"/>
              <w:rPr>
                <w:rFonts w:ascii="仿宋" w:hAnsi="仿宋" w:cs="宋体"/>
                <w:kern w:val="0"/>
                <w:sz w:val="21"/>
                <w:szCs w:val="21"/>
              </w:rPr>
            </w:pPr>
            <w:r>
              <w:rPr>
                <w:rFonts w:hint="eastAsia" w:ascii="仿宋" w:hAnsi="仿宋" w:cs="宋体"/>
                <w:kern w:val="0"/>
                <w:sz w:val="21"/>
                <w:szCs w:val="21"/>
              </w:rPr>
              <w:t>姓名</w:t>
            </w:r>
          </w:p>
        </w:tc>
        <w:tc>
          <w:tcPr>
            <w:tcW w:w="512" w:type="pct"/>
            <w:shd w:val="clear" w:color="auto" w:fill="auto"/>
            <w:vAlign w:val="center"/>
          </w:tcPr>
          <w:p>
            <w:pPr>
              <w:widowControl/>
              <w:adjustRightInd/>
              <w:snapToGrid/>
              <w:spacing w:line="240" w:lineRule="auto"/>
              <w:ind w:firstLine="0" w:firstLineChars="0"/>
              <w:jc w:val="center"/>
              <w:rPr>
                <w:rFonts w:ascii="仿宋" w:hAnsi="仿宋" w:cs="宋体"/>
                <w:kern w:val="0"/>
                <w:sz w:val="21"/>
                <w:szCs w:val="21"/>
              </w:rPr>
            </w:pPr>
            <w:r>
              <w:rPr>
                <w:rFonts w:hint="eastAsia" w:ascii="仿宋" w:hAnsi="仿宋" w:cs="宋体"/>
                <w:kern w:val="0"/>
                <w:sz w:val="21"/>
                <w:szCs w:val="21"/>
              </w:rPr>
              <w:t>性别</w:t>
            </w:r>
          </w:p>
        </w:tc>
        <w:tc>
          <w:tcPr>
            <w:tcW w:w="769" w:type="pct"/>
            <w:shd w:val="clear" w:color="auto" w:fill="auto"/>
            <w:vAlign w:val="center"/>
          </w:tcPr>
          <w:p>
            <w:pPr>
              <w:widowControl/>
              <w:adjustRightInd/>
              <w:snapToGrid/>
              <w:spacing w:line="240" w:lineRule="auto"/>
              <w:ind w:firstLine="0" w:firstLineChars="0"/>
              <w:jc w:val="center"/>
              <w:rPr>
                <w:rFonts w:ascii="仿宋" w:hAnsi="仿宋" w:cs="宋体"/>
                <w:kern w:val="0"/>
                <w:sz w:val="21"/>
                <w:szCs w:val="21"/>
              </w:rPr>
            </w:pPr>
            <w:r>
              <w:rPr>
                <w:rFonts w:hint="eastAsia" w:ascii="仿宋" w:hAnsi="仿宋" w:cs="宋体"/>
                <w:kern w:val="0"/>
                <w:sz w:val="21"/>
                <w:szCs w:val="21"/>
              </w:rPr>
              <w:t>年龄范围</w:t>
            </w:r>
          </w:p>
        </w:tc>
        <w:tc>
          <w:tcPr>
            <w:tcW w:w="683" w:type="pct"/>
            <w:shd w:val="clear" w:color="auto" w:fill="auto"/>
            <w:vAlign w:val="center"/>
          </w:tcPr>
          <w:p>
            <w:pPr>
              <w:widowControl/>
              <w:adjustRightInd/>
              <w:snapToGrid/>
              <w:spacing w:line="240" w:lineRule="auto"/>
              <w:ind w:firstLine="0" w:firstLineChars="0"/>
              <w:jc w:val="center"/>
              <w:rPr>
                <w:rFonts w:ascii="仿宋" w:hAnsi="仿宋" w:cs="宋体"/>
                <w:kern w:val="0"/>
                <w:sz w:val="21"/>
                <w:szCs w:val="21"/>
              </w:rPr>
            </w:pPr>
            <w:r>
              <w:rPr>
                <w:rFonts w:hint="eastAsia" w:ascii="仿宋" w:hAnsi="仿宋" w:cs="宋体"/>
                <w:kern w:val="0"/>
                <w:sz w:val="21"/>
                <w:szCs w:val="21"/>
              </w:rPr>
              <w:t>评估赋分</w:t>
            </w:r>
          </w:p>
        </w:tc>
        <w:tc>
          <w:tcPr>
            <w:tcW w:w="683" w:type="pct"/>
            <w:shd w:val="clear" w:color="auto" w:fill="auto"/>
            <w:vAlign w:val="center"/>
          </w:tcPr>
          <w:p>
            <w:pPr>
              <w:spacing w:line="240" w:lineRule="auto"/>
              <w:ind w:firstLine="0" w:firstLineChars="0"/>
              <w:jc w:val="center"/>
              <w:rPr>
                <w:rFonts w:eastAsia="等线" w:cs="Times New Roman"/>
                <w:kern w:val="0"/>
                <w:sz w:val="21"/>
                <w:szCs w:val="21"/>
              </w:rPr>
            </w:pPr>
            <w:r>
              <w:rPr>
                <w:rFonts w:hint="eastAsia" w:ascii="仿宋" w:hAnsi="仿宋" w:cs="宋体"/>
                <w:kern w:val="0"/>
                <w:sz w:val="21"/>
                <w:szCs w:val="21"/>
              </w:rPr>
              <w:t>调查乡镇</w:t>
            </w:r>
          </w:p>
        </w:tc>
        <w:tc>
          <w:tcPr>
            <w:tcW w:w="1415" w:type="pct"/>
            <w:shd w:val="clear" w:color="auto" w:fill="auto"/>
            <w:vAlign w:val="center"/>
          </w:tcPr>
          <w:p>
            <w:pPr>
              <w:widowControl/>
              <w:adjustRightInd/>
              <w:snapToGrid/>
              <w:spacing w:line="240" w:lineRule="auto"/>
              <w:ind w:firstLine="0" w:firstLineChars="0"/>
              <w:jc w:val="center"/>
              <w:rPr>
                <w:rFonts w:ascii="仿宋" w:hAnsi="仿宋" w:cs="宋体"/>
                <w:kern w:val="0"/>
                <w:sz w:val="21"/>
                <w:szCs w:val="21"/>
              </w:rPr>
            </w:pPr>
            <w:r>
              <w:rPr>
                <w:rFonts w:hint="eastAsia" w:ascii="仿宋" w:hAnsi="仿宋" w:cs="宋体"/>
                <w:kern w:val="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24" w:type="pct"/>
            <w:shd w:val="clear" w:color="auto" w:fill="auto"/>
            <w:vAlign w:val="center"/>
          </w:tcPr>
          <w:p>
            <w:pPr>
              <w:widowControl/>
              <w:adjustRightInd/>
              <w:snapToGrid/>
              <w:spacing w:line="240" w:lineRule="auto"/>
              <w:ind w:firstLine="0" w:firstLineChars="0"/>
              <w:jc w:val="center"/>
              <w:rPr>
                <w:rFonts w:eastAsia="等线" w:cs="Times New Roman"/>
                <w:kern w:val="0"/>
                <w:sz w:val="21"/>
                <w:szCs w:val="21"/>
              </w:rPr>
            </w:pPr>
            <w:r>
              <w:rPr>
                <w:rFonts w:eastAsia="等线" w:cs="Times New Roman"/>
                <w:kern w:val="0"/>
                <w:sz w:val="21"/>
                <w:szCs w:val="21"/>
              </w:rPr>
              <w:t>1</w:t>
            </w:r>
          </w:p>
        </w:tc>
        <w:tc>
          <w:tcPr>
            <w:tcW w:w="514" w:type="pct"/>
            <w:shd w:val="clear" w:color="auto" w:fill="auto"/>
            <w:vAlign w:val="center"/>
          </w:tcPr>
          <w:p>
            <w:pPr>
              <w:widowControl/>
              <w:adjustRightInd/>
              <w:snapToGrid/>
              <w:spacing w:line="240" w:lineRule="auto"/>
              <w:ind w:firstLine="0" w:firstLineChars="0"/>
              <w:jc w:val="center"/>
              <w:rPr>
                <w:rFonts w:ascii="仿宋" w:hAnsi="仿宋" w:cs="宋体"/>
                <w:kern w:val="0"/>
                <w:sz w:val="21"/>
                <w:szCs w:val="21"/>
              </w:rPr>
            </w:pPr>
            <w:r>
              <w:rPr>
                <w:rFonts w:hint="eastAsia" w:ascii="仿宋" w:hAnsi="仿宋" w:cs="宋体"/>
                <w:kern w:val="0"/>
                <w:sz w:val="21"/>
                <w:szCs w:val="21"/>
              </w:rPr>
              <w:t>付翔永</w:t>
            </w:r>
          </w:p>
        </w:tc>
        <w:tc>
          <w:tcPr>
            <w:tcW w:w="512" w:type="pct"/>
            <w:shd w:val="clear" w:color="auto" w:fill="auto"/>
            <w:vAlign w:val="center"/>
          </w:tcPr>
          <w:p>
            <w:pPr>
              <w:widowControl/>
              <w:adjustRightInd/>
              <w:snapToGrid/>
              <w:spacing w:line="240" w:lineRule="auto"/>
              <w:ind w:firstLine="0" w:firstLineChars="0"/>
              <w:jc w:val="center"/>
              <w:rPr>
                <w:rFonts w:ascii="仿宋" w:hAnsi="仿宋" w:cs="宋体"/>
                <w:kern w:val="0"/>
                <w:sz w:val="21"/>
                <w:szCs w:val="21"/>
              </w:rPr>
            </w:pPr>
            <w:r>
              <w:rPr>
                <w:rFonts w:hint="eastAsia" w:ascii="仿宋" w:hAnsi="仿宋" w:cs="宋体"/>
                <w:kern w:val="0"/>
                <w:sz w:val="21"/>
                <w:szCs w:val="21"/>
              </w:rPr>
              <w:t>男</w:t>
            </w:r>
          </w:p>
        </w:tc>
        <w:tc>
          <w:tcPr>
            <w:tcW w:w="769" w:type="pct"/>
            <w:shd w:val="clear" w:color="auto" w:fill="auto"/>
            <w:vAlign w:val="center"/>
          </w:tcPr>
          <w:p>
            <w:pPr>
              <w:widowControl/>
              <w:adjustRightInd/>
              <w:snapToGrid/>
              <w:spacing w:line="240" w:lineRule="auto"/>
              <w:ind w:firstLine="0" w:firstLineChars="0"/>
              <w:jc w:val="center"/>
              <w:rPr>
                <w:rFonts w:eastAsia="等线" w:cs="Times New Roman"/>
                <w:kern w:val="0"/>
                <w:sz w:val="21"/>
                <w:szCs w:val="21"/>
              </w:rPr>
            </w:pPr>
            <w:r>
              <w:rPr>
                <w:rFonts w:eastAsia="等线" w:cs="Times New Roman"/>
                <w:kern w:val="0"/>
                <w:sz w:val="21"/>
                <w:szCs w:val="21"/>
              </w:rPr>
              <w:t>15</w:t>
            </w:r>
            <w:r>
              <w:rPr>
                <w:rFonts w:hint="eastAsia" w:ascii="仿宋" w:hAnsi="仿宋" w:cs="Times New Roman"/>
                <w:kern w:val="0"/>
                <w:sz w:val="21"/>
                <w:szCs w:val="21"/>
              </w:rPr>
              <w:t>～</w:t>
            </w:r>
            <w:r>
              <w:rPr>
                <w:rFonts w:eastAsia="等线" w:cs="Times New Roman"/>
                <w:kern w:val="0"/>
                <w:sz w:val="21"/>
                <w:szCs w:val="21"/>
              </w:rPr>
              <w:t>30</w:t>
            </w:r>
          </w:p>
        </w:tc>
        <w:tc>
          <w:tcPr>
            <w:tcW w:w="683" w:type="pct"/>
            <w:shd w:val="clear" w:color="auto" w:fill="auto"/>
            <w:vAlign w:val="center"/>
          </w:tcPr>
          <w:p>
            <w:pPr>
              <w:widowControl/>
              <w:adjustRightInd/>
              <w:snapToGrid/>
              <w:spacing w:line="240" w:lineRule="auto"/>
              <w:ind w:firstLine="0" w:firstLineChars="0"/>
              <w:jc w:val="center"/>
              <w:rPr>
                <w:rFonts w:eastAsia="等线" w:cs="Times New Roman"/>
                <w:kern w:val="0"/>
                <w:sz w:val="21"/>
                <w:szCs w:val="21"/>
              </w:rPr>
            </w:pPr>
            <w:r>
              <w:rPr>
                <w:rFonts w:eastAsia="等线" w:cs="Times New Roman"/>
                <w:sz w:val="21"/>
                <w:szCs w:val="21"/>
              </w:rPr>
              <w:t>60</w:t>
            </w:r>
          </w:p>
        </w:tc>
        <w:tc>
          <w:tcPr>
            <w:tcW w:w="683" w:type="pct"/>
            <w:shd w:val="clear" w:color="auto" w:fill="auto"/>
            <w:vAlign w:val="center"/>
          </w:tcPr>
          <w:p>
            <w:pPr>
              <w:widowControl/>
              <w:adjustRightInd/>
              <w:snapToGrid/>
              <w:spacing w:line="240" w:lineRule="auto"/>
              <w:ind w:firstLine="0" w:firstLineChars="0"/>
              <w:jc w:val="center"/>
              <w:rPr>
                <w:rFonts w:ascii="仿宋" w:hAnsi="仿宋" w:cs="宋体"/>
                <w:kern w:val="0"/>
                <w:sz w:val="21"/>
                <w:szCs w:val="21"/>
              </w:rPr>
            </w:pPr>
            <w:r>
              <w:rPr>
                <w:rFonts w:hint="eastAsia" w:ascii="仿宋" w:hAnsi="仿宋" w:cs="宋体"/>
                <w:kern w:val="0"/>
                <w:sz w:val="21"/>
                <w:szCs w:val="21"/>
              </w:rPr>
              <w:t>国华镇</w:t>
            </w:r>
          </w:p>
        </w:tc>
        <w:tc>
          <w:tcPr>
            <w:tcW w:w="1415" w:type="pct"/>
            <w:shd w:val="clear" w:color="auto" w:fill="auto"/>
            <w:vAlign w:val="center"/>
          </w:tcPr>
          <w:p>
            <w:pPr>
              <w:widowControl/>
              <w:adjustRightInd/>
              <w:snapToGrid/>
              <w:spacing w:line="240" w:lineRule="auto"/>
              <w:ind w:firstLine="0" w:firstLineChars="0"/>
              <w:jc w:val="center"/>
              <w:rPr>
                <w:rFonts w:ascii="仿宋" w:hAnsi="仿宋" w:cs="宋体"/>
                <w:kern w:val="0"/>
                <w:sz w:val="21"/>
                <w:szCs w:val="21"/>
              </w:rPr>
            </w:pPr>
            <w:r>
              <w:rPr>
                <w:rFonts w:hint="eastAsia" w:ascii="仿宋" w:hAnsi="仿宋" w:cs="宋体"/>
                <w:kern w:val="0"/>
                <w:sz w:val="21"/>
                <w:szCs w:val="21"/>
              </w:rPr>
              <w:t>沿河居民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24" w:type="pct"/>
            <w:shd w:val="clear" w:color="auto" w:fill="auto"/>
            <w:vAlign w:val="center"/>
          </w:tcPr>
          <w:p>
            <w:pPr>
              <w:widowControl/>
              <w:adjustRightInd/>
              <w:snapToGrid/>
              <w:spacing w:line="240" w:lineRule="auto"/>
              <w:ind w:firstLine="0" w:firstLineChars="0"/>
              <w:jc w:val="center"/>
              <w:rPr>
                <w:rFonts w:eastAsia="等线" w:cs="Times New Roman"/>
                <w:kern w:val="0"/>
                <w:sz w:val="21"/>
                <w:szCs w:val="21"/>
              </w:rPr>
            </w:pPr>
            <w:r>
              <w:rPr>
                <w:rFonts w:eastAsia="等线" w:cs="Times New Roman"/>
                <w:kern w:val="0"/>
                <w:sz w:val="21"/>
                <w:szCs w:val="21"/>
              </w:rPr>
              <w:t>2</w:t>
            </w:r>
          </w:p>
        </w:tc>
        <w:tc>
          <w:tcPr>
            <w:tcW w:w="514" w:type="pct"/>
            <w:shd w:val="clear" w:color="auto" w:fill="auto"/>
            <w:vAlign w:val="center"/>
          </w:tcPr>
          <w:p>
            <w:pPr>
              <w:widowControl/>
              <w:adjustRightInd/>
              <w:snapToGrid/>
              <w:spacing w:line="240" w:lineRule="auto"/>
              <w:ind w:firstLine="0" w:firstLineChars="0"/>
              <w:jc w:val="center"/>
              <w:rPr>
                <w:rFonts w:eastAsia="等线" w:cs="Times New Roman"/>
                <w:kern w:val="0"/>
                <w:sz w:val="21"/>
                <w:szCs w:val="21"/>
              </w:rPr>
            </w:pPr>
          </w:p>
        </w:tc>
        <w:tc>
          <w:tcPr>
            <w:tcW w:w="512" w:type="pct"/>
            <w:shd w:val="clear" w:color="auto" w:fill="auto"/>
            <w:vAlign w:val="center"/>
          </w:tcPr>
          <w:p>
            <w:pPr>
              <w:widowControl/>
              <w:adjustRightInd/>
              <w:snapToGrid/>
              <w:spacing w:line="240" w:lineRule="auto"/>
              <w:ind w:firstLine="0" w:firstLineChars="0"/>
              <w:jc w:val="center"/>
              <w:rPr>
                <w:rFonts w:ascii="仿宋" w:hAnsi="仿宋" w:cs="宋体"/>
                <w:kern w:val="0"/>
                <w:sz w:val="21"/>
                <w:szCs w:val="21"/>
              </w:rPr>
            </w:pPr>
            <w:r>
              <w:rPr>
                <w:rFonts w:hint="eastAsia" w:ascii="仿宋" w:hAnsi="仿宋" w:cs="宋体"/>
                <w:kern w:val="0"/>
                <w:sz w:val="21"/>
                <w:szCs w:val="21"/>
              </w:rPr>
              <w:t>男</w:t>
            </w:r>
          </w:p>
        </w:tc>
        <w:tc>
          <w:tcPr>
            <w:tcW w:w="769" w:type="pct"/>
            <w:shd w:val="clear" w:color="auto" w:fill="auto"/>
            <w:vAlign w:val="center"/>
          </w:tcPr>
          <w:p>
            <w:pPr>
              <w:widowControl/>
              <w:adjustRightInd/>
              <w:snapToGrid/>
              <w:spacing w:line="240" w:lineRule="auto"/>
              <w:ind w:firstLine="0" w:firstLineChars="0"/>
              <w:jc w:val="center"/>
              <w:rPr>
                <w:rFonts w:eastAsia="等线" w:cs="Times New Roman"/>
                <w:kern w:val="0"/>
                <w:sz w:val="21"/>
                <w:szCs w:val="21"/>
              </w:rPr>
            </w:pPr>
            <w:r>
              <w:rPr>
                <w:rFonts w:eastAsia="等线" w:cs="Times New Roman"/>
                <w:kern w:val="0"/>
                <w:sz w:val="21"/>
                <w:szCs w:val="21"/>
              </w:rPr>
              <w:t>15</w:t>
            </w:r>
            <w:r>
              <w:rPr>
                <w:rFonts w:hint="eastAsia" w:ascii="仿宋" w:hAnsi="仿宋" w:cs="Times New Roman"/>
                <w:kern w:val="0"/>
                <w:sz w:val="21"/>
                <w:szCs w:val="21"/>
              </w:rPr>
              <w:t>～</w:t>
            </w:r>
            <w:r>
              <w:rPr>
                <w:rFonts w:eastAsia="等线" w:cs="Times New Roman"/>
                <w:kern w:val="0"/>
                <w:sz w:val="21"/>
                <w:szCs w:val="21"/>
              </w:rPr>
              <w:t>30</w:t>
            </w:r>
          </w:p>
        </w:tc>
        <w:tc>
          <w:tcPr>
            <w:tcW w:w="683" w:type="pct"/>
            <w:shd w:val="clear" w:color="auto" w:fill="auto"/>
            <w:vAlign w:val="center"/>
          </w:tcPr>
          <w:p>
            <w:pPr>
              <w:widowControl/>
              <w:adjustRightInd/>
              <w:snapToGrid/>
              <w:spacing w:line="240" w:lineRule="auto"/>
              <w:ind w:firstLine="0" w:firstLineChars="0"/>
              <w:jc w:val="center"/>
              <w:rPr>
                <w:rFonts w:eastAsia="等线" w:cs="Times New Roman"/>
                <w:kern w:val="0"/>
                <w:sz w:val="21"/>
                <w:szCs w:val="21"/>
              </w:rPr>
            </w:pPr>
            <w:r>
              <w:rPr>
                <w:rFonts w:eastAsia="等线" w:cs="Times New Roman"/>
                <w:sz w:val="21"/>
                <w:szCs w:val="21"/>
              </w:rPr>
              <w:t>80</w:t>
            </w:r>
          </w:p>
        </w:tc>
        <w:tc>
          <w:tcPr>
            <w:tcW w:w="683" w:type="pct"/>
            <w:shd w:val="clear" w:color="auto" w:fill="auto"/>
            <w:vAlign w:val="center"/>
          </w:tcPr>
          <w:p>
            <w:pPr>
              <w:widowControl/>
              <w:adjustRightInd/>
              <w:snapToGrid/>
              <w:spacing w:line="240" w:lineRule="auto"/>
              <w:ind w:firstLine="0" w:firstLineChars="0"/>
              <w:jc w:val="center"/>
              <w:rPr>
                <w:rFonts w:ascii="仿宋" w:hAnsi="仿宋" w:cs="宋体"/>
                <w:kern w:val="0"/>
                <w:sz w:val="21"/>
                <w:szCs w:val="21"/>
              </w:rPr>
            </w:pPr>
            <w:r>
              <w:rPr>
                <w:rFonts w:hint="eastAsia" w:ascii="仿宋" w:hAnsi="仿宋" w:cs="宋体"/>
                <w:kern w:val="0"/>
                <w:sz w:val="21"/>
                <w:szCs w:val="21"/>
              </w:rPr>
              <w:t>国华镇</w:t>
            </w:r>
          </w:p>
        </w:tc>
        <w:tc>
          <w:tcPr>
            <w:tcW w:w="1415" w:type="pct"/>
            <w:shd w:val="clear" w:color="auto" w:fill="auto"/>
            <w:vAlign w:val="center"/>
          </w:tcPr>
          <w:p>
            <w:pPr>
              <w:widowControl/>
              <w:adjustRightInd/>
              <w:snapToGrid/>
              <w:spacing w:line="240" w:lineRule="auto"/>
              <w:ind w:firstLine="0" w:firstLineChars="0"/>
              <w:jc w:val="center"/>
              <w:rPr>
                <w:rFonts w:ascii="仿宋" w:hAnsi="仿宋" w:cs="宋体"/>
                <w:kern w:val="0"/>
                <w:sz w:val="21"/>
                <w:szCs w:val="21"/>
              </w:rPr>
            </w:pPr>
            <w:r>
              <w:rPr>
                <w:rFonts w:hint="eastAsia" w:ascii="仿宋" w:hAnsi="仿宋" w:cs="宋体"/>
                <w:kern w:val="0"/>
                <w:sz w:val="21"/>
                <w:szCs w:val="21"/>
              </w:rPr>
              <w:t>沿河居民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24" w:type="pct"/>
            <w:shd w:val="clear" w:color="auto" w:fill="auto"/>
            <w:vAlign w:val="center"/>
          </w:tcPr>
          <w:p>
            <w:pPr>
              <w:widowControl/>
              <w:adjustRightInd/>
              <w:snapToGrid/>
              <w:spacing w:line="240" w:lineRule="auto"/>
              <w:ind w:firstLine="0" w:firstLineChars="0"/>
              <w:jc w:val="center"/>
              <w:rPr>
                <w:rFonts w:eastAsia="等线" w:cs="Times New Roman"/>
                <w:kern w:val="0"/>
                <w:sz w:val="21"/>
                <w:szCs w:val="21"/>
              </w:rPr>
            </w:pPr>
            <w:r>
              <w:rPr>
                <w:rFonts w:eastAsia="等线" w:cs="Times New Roman"/>
                <w:kern w:val="0"/>
                <w:sz w:val="21"/>
                <w:szCs w:val="21"/>
              </w:rPr>
              <w:t>3</w:t>
            </w:r>
          </w:p>
        </w:tc>
        <w:tc>
          <w:tcPr>
            <w:tcW w:w="514" w:type="pct"/>
            <w:shd w:val="clear" w:color="auto" w:fill="auto"/>
            <w:vAlign w:val="center"/>
          </w:tcPr>
          <w:p>
            <w:pPr>
              <w:widowControl/>
              <w:adjustRightInd/>
              <w:snapToGrid/>
              <w:spacing w:line="240" w:lineRule="auto"/>
              <w:ind w:firstLine="0" w:firstLineChars="0"/>
              <w:jc w:val="center"/>
              <w:rPr>
                <w:rFonts w:eastAsia="等线" w:cs="Times New Roman"/>
                <w:kern w:val="0"/>
                <w:sz w:val="21"/>
                <w:szCs w:val="21"/>
              </w:rPr>
            </w:pPr>
          </w:p>
        </w:tc>
        <w:tc>
          <w:tcPr>
            <w:tcW w:w="512" w:type="pct"/>
            <w:shd w:val="clear" w:color="auto" w:fill="auto"/>
            <w:vAlign w:val="center"/>
          </w:tcPr>
          <w:p>
            <w:pPr>
              <w:widowControl/>
              <w:adjustRightInd/>
              <w:snapToGrid/>
              <w:spacing w:line="240" w:lineRule="auto"/>
              <w:ind w:firstLine="0" w:firstLineChars="0"/>
              <w:jc w:val="center"/>
              <w:rPr>
                <w:rFonts w:ascii="仿宋" w:hAnsi="仿宋" w:cs="宋体"/>
                <w:kern w:val="0"/>
                <w:sz w:val="21"/>
                <w:szCs w:val="21"/>
              </w:rPr>
            </w:pPr>
            <w:r>
              <w:rPr>
                <w:rFonts w:hint="eastAsia" w:ascii="仿宋" w:hAnsi="仿宋" w:cs="宋体"/>
                <w:kern w:val="0"/>
                <w:sz w:val="21"/>
                <w:szCs w:val="21"/>
              </w:rPr>
              <w:t>男</w:t>
            </w:r>
          </w:p>
        </w:tc>
        <w:tc>
          <w:tcPr>
            <w:tcW w:w="769" w:type="pct"/>
            <w:shd w:val="clear" w:color="auto" w:fill="auto"/>
            <w:vAlign w:val="center"/>
          </w:tcPr>
          <w:p>
            <w:pPr>
              <w:widowControl/>
              <w:adjustRightInd/>
              <w:snapToGrid/>
              <w:spacing w:line="240" w:lineRule="auto"/>
              <w:ind w:firstLine="0" w:firstLineChars="0"/>
              <w:jc w:val="center"/>
              <w:rPr>
                <w:rFonts w:eastAsia="等线" w:cs="Times New Roman"/>
                <w:kern w:val="0"/>
                <w:sz w:val="21"/>
                <w:szCs w:val="21"/>
              </w:rPr>
            </w:pPr>
            <w:r>
              <w:rPr>
                <w:rFonts w:eastAsia="等线" w:cs="Times New Roman"/>
                <w:kern w:val="0"/>
                <w:sz w:val="21"/>
                <w:szCs w:val="21"/>
              </w:rPr>
              <w:t>50</w:t>
            </w:r>
            <w:r>
              <w:rPr>
                <w:rFonts w:hint="eastAsia" w:ascii="仿宋" w:hAnsi="仿宋" w:cs="Times New Roman"/>
                <w:kern w:val="0"/>
                <w:sz w:val="21"/>
                <w:szCs w:val="21"/>
              </w:rPr>
              <w:t>以上</w:t>
            </w:r>
          </w:p>
        </w:tc>
        <w:tc>
          <w:tcPr>
            <w:tcW w:w="683" w:type="pct"/>
            <w:shd w:val="clear" w:color="auto" w:fill="auto"/>
            <w:vAlign w:val="center"/>
          </w:tcPr>
          <w:p>
            <w:pPr>
              <w:widowControl/>
              <w:adjustRightInd/>
              <w:snapToGrid/>
              <w:spacing w:line="240" w:lineRule="auto"/>
              <w:ind w:firstLine="0" w:firstLineChars="0"/>
              <w:jc w:val="center"/>
              <w:rPr>
                <w:rFonts w:eastAsia="等线" w:cs="Times New Roman"/>
                <w:kern w:val="0"/>
                <w:sz w:val="21"/>
                <w:szCs w:val="21"/>
              </w:rPr>
            </w:pPr>
            <w:r>
              <w:rPr>
                <w:rFonts w:eastAsia="等线" w:cs="Times New Roman"/>
                <w:sz w:val="21"/>
                <w:szCs w:val="21"/>
              </w:rPr>
              <w:t>80</w:t>
            </w:r>
          </w:p>
        </w:tc>
        <w:tc>
          <w:tcPr>
            <w:tcW w:w="683" w:type="pct"/>
            <w:shd w:val="clear" w:color="auto" w:fill="auto"/>
            <w:vAlign w:val="center"/>
          </w:tcPr>
          <w:p>
            <w:pPr>
              <w:widowControl/>
              <w:adjustRightInd/>
              <w:snapToGrid/>
              <w:spacing w:line="240" w:lineRule="auto"/>
              <w:ind w:firstLine="0" w:firstLineChars="0"/>
              <w:jc w:val="center"/>
              <w:rPr>
                <w:rFonts w:ascii="仿宋" w:hAnsi="仿宋" w:cs="宋体"/>
                <w:kern w:val="0"/>
                <w:sz w:val="21"/>
                <w:szCs w:val="21"/>
              </w:rPr>
            </w:pPr>
            <w:r>
              <w:rPr>
                <w:rFonts w:hint="eastAsia" w:ascii="仿宋" w:hAnsi="仿宋" w:cs="宋体"/>
                <w:kern w:val="0"/>
                <w:sz w:val="21"/>
                <w:szCs w:val="21"/>
              </w:rPr>
              <w:t>国华镇</w:t>
            </w:r>
          </w:p>
        </w:tc>
        <w:tc>
          <w:tcPr>
            <w:tcW w:w="1415" w:type="pct"/>
            <w:shd w:val="clear" w:color="auto" w:fill="auto"/>
            <w:vAlign w:val="center"/>
          </w:tcPr>
          <w:p>
            <w:pPr>
              <w:widowControl/>
              <w:adjustRightInd/>
              <w:snapToGrid/>
              <w:spacing w:line="240" w:lineRule="auto"/>
              <w:ind w:firstLine="0" w:firstLineChars="0"/>
              <w:jc w:val="center"/>
              <w:rPr>
                <w:rFonts w:ascii="仿宋" w:hAnsi="仿宋" w:cs="宋体"/>
                <w:kern w:val="0"/>
                <w:sz w:val="21"/>
                <w:szCs w:val="21"/>
              </w:rPr>
            </w:pPr>
            <w:r>
              <w:rPr>
                <w:rFonts w:hint="eastAsia" w:ascii="仿宋" w:hAnsi="仿宋" w:cs="宋体"/>
                <w:kern w:val="0"/>
                <w:sz w:val="21"/>
                <w:szCs w:val="21"/>
              </w:rPr>
              <w:t>沿河居民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24" w:type="pct"/>
            <w:shd w:val="clear" w:color="auto" w:fill="auto"/>
            <w:vAlign w:val="center"/>
          </w:tcPr>
          <w:p>
            <w:pPr>
              <w:widowControl/>
              <w:adjustRightInd/>
              <w:snapToGrid/>
              <w:spacing w:line="240" w:lineRule="auto"/>
              <w:ind w:firstLine="0" w:firstLineChars="0"/>
              <w:jc w:val="center"/>
              <w:rPr>
                <w:rFonts w:eastAsia="等线" w:cs="Times New Roman"/>
                <w:kern w:val="0"/>
                <w:sz w:val="21"/>
                <w:szCs w:val="21"/>
              </w:rPr>
            </w:pPr>
            <w:r>
              <w:rPr>
                <w:rFonts w:eastAsia="等线" w:cs="Times New Roman"/>
                <w:kern w:val="0"/>
                <w:sz w:val="21"/>
                <w:szCs w:val="21"/>
              </w:rPr>
              <w:t>4</w:t>
            </w:r>
          </w:p>
        </w:tc>
        <w:tc>
          <w:tcPr>
            <w:tcW w:w="514" w:type="pct"/>
            <w:shd w:val="clear" w:color="auto" w:fill="auto"/>
            <w:vAlign w:val="center"/>
          </w:tcPr>
          <w:p>
            <w:pPr>
              <w:widowControl/>
              <w:adjustRightInd/>
              <w:snapToGrid/>
              <w:spacing w:line="240" w:lineRule="auto"/>
              <w:ind w:firstLine="0" w:firstLineChars="0"/>
              <w:jc w:val="center"/>
              <w:rPr>
                <w:rFonts w:eastAsia="等线" w:cs="Times New Roman"/>
                <w:kern w:val="0"/>
                <w:sz w:val="21"/>
                <w:szCs w:val="21"/>
              </w:rPr>
            </w:pPr>
          </w:p>
        </w:tc>
        <w:tc>
          <w:tcPr>
            <w:tcW w:w="512" w:type="pct"/>
            <w:shd w:val="clear" w:color="auto" w:fill="auto"/>
            <w:vAlign w:val="center"/>
          </w:tcPr>
          <w:p>
            <w:pPr>
              <w:widowControl/>
              <w:adjustRightInd/>
              <w:snapToGrid/>
              <w:spacing w:line="240" w:lineRule="auto"/>
              <w:ind w:firstLine="0" w:firstLineChars="0"/>
              <w:jc w:val="center"/>
              <w:rPr>
                <w:rFonts w:ascii="仿宋" w:hAnsi="仿宋" w:cs="宋体"/>
                <w:kern w:val="0"/>
                <w:sz w:val="21"/>
                <w:szCs w:val="21"/>
              </w:rPr>
            </w:pPr>
            <w:r>
              <w:rPr>
                <w:rFonts w:hint="eastAsia" w:ascii="仿宋" w:hAnsi="仿宋" w:cs="宋体"/>
                <w:kern w:val="0"/>
                <w:sz w:val="21"/>
                <w:szCs w:val="21"/>
              </w:rPr>
              <w:t>男</w:t>
            </w:r>
          </w:p>
        </w:tc>
        <w:tc>
          <w:tcPr>
            <w:tcW w:w="769" w:type="pct"/>
            <w:shd w:val="clear" w:color="auto" w:fill="auto"/>
            <w:vAlign w:val="center"/>
          </w:tcPr>
          <w:p>
            <w:pPr>
              <w:widowControl/>
              <w:adjustRightInd/>
              <w:snapToGrid/>
              <w:spacing w:line="240" w:lineRule="auto"/>
              <w:ind w:firstLine="0" w:firstLineChars="0"/>
              <w:jc w:val="center"/>
              <w:rPr>
                <w:rFonts w:eastAsia="等线" w:cs="Times New Roman"/>
                <w:kern w:val="0"/>
                <w:sz w:val="21"/>
                <w:szCs w:val="21"/>
              </w:rPr>
            </w:pPr>
            <w:r>
              <w:rPr>
                <w:rFonts w:eastAsia="等线" w:cs="Times New Roman"/>
                <w:kern w:val="0"/>
                <w:sz w:val="21"/>
                <w:szCs w:val="21"/>
              </w:rPr>
              <w:t>50</w:t>
            </w:r>
            <w:r>
              <w:rPr>
                <w:rFonts w:hint="eastAsia" w:ascii="仿宋" w:hAnsi="仿宋" w:cs="Times New Roman"/>
                <w:kern w:val="0"/>
                <w:sz w:val="21"/>
                <w:szCs w:val="21"/>
              </w:rPr>
              <w:t>以上</w:t>
            </w:r>
          </w:p>
        </w:tc>
        <w:tc>
          <w:tcPr>
            <w:tcW w:w="683" w:type="pct"/>
            <w:shd w:val="clear" w:color="auto" w:fill="auto"/>
            <w:vAlign w:val="center"/>
          </w:tcPr>
          <w:p>
            <w:pPr>
              <w:widowControl/>
              <w:adjustRightInd/>
              <w:snapToGrid/>
              <w:spacing w:line="240" w:lineRule="auto"/>
              <w:ind w:firstLine="0" w:firstLineChars="0"/>
              <w:jc w:val="center"/>
              <w:rPr>
                <w:rFonts w:eastAsia="等线" w:cs="Times New Roman"/>
                <w:kern w:val="0"/>
                <w:sz w:val="21"/>
                <w:szCs w:val="21"/>
              </w:rPr>
            </w:pPr>
            <w:r>
              <w:rPr>
                <w:rFonts w:eastAsia="等线" w:cs="Times New Roman"/>
                <w:sz w:val="21"/>
                <w:szCs w:val="21"/>
              </w:rPr>
              <w:t>60</w:t>
            </w:r>
          </w:p>
        </w:tc>
        <w:tc>
          <w:tcPr>
            <w:tcW w:w="683" w:type="pct"/>
            <w:shd w:val="clear" w:color="auto" w:fill="auto"/>
            <w:vAlign w:val="center"/>
          </w:tcPr>
          <w:p>
            <w:pPr>
              <w:widowControl/>
              <w:adjustRightInd/>
              <w:snapToGrid/>
              <w:spacing w:line="240" w:lineRule="auto"/>
              <w:ind w:firstLine="0" w:firstLineChars="0"/>
              <w:jc w:val="center"/>
              <w:rPr>
                <w:rFonts w:ascii="仿宋" w:hAnsi="仿宋" w:cs="宋体"/>
                <w:kern w:val="0"/>
                <w:sz w:val="21"/>
                <w:szCs w:val="21"/>
              </w:rPr>
            </w:pPr>
            <w:r>
              <w:rPr>
                <w:rFonts w:hint="eastAsia" w:ascii="仿宋" w:hAnsi="仿宋" w:cs="宋体"/>
                <w:kern w:val="0"/>
                <w:sz w:val="21"/>
                <w:szCs w:val="21"/>
              </w:rPr>
              <w:t>国华镇</w:t>
            </w:r>
          </w:p>
        </w:tc>
        <w:tc>
          <w:tcPr>
            <w:tcW w:w="1415" w:type="pct"/>
            <w:shd w:val="clear" w:color="auto" w:fill="auto"/>
            <w:vAlign w:val="center"/>
          </w:tcPr>
          <w:p>
            <w:pPr>
              <w:widowControl/>
              <w:adjustRightInd/>
              <w:snapToGrid/>
              <w:spacing w:line="240" w:lineRule="auto"/>
              <w:ind w:firstLine="0" w:firstLineChars="0"/>
              <w:jc w:val="center"/>
              <w:rPr>
                <w:rFonts w:ascii="仿宋" w:hAnsi="仿宋" w:cs="宋体"/>
                <w:kern w:val="0"/>
                <w:sz w:val="21"/>
                <w:szCs w:val="21"/>
              </w:rPr>
            </w:pPr>
            <w:r>
              <w:rPr>
                <w:rFonts w:hint="eastAsia" w:ascii="仿宋" w:hAnsi="仿宋" w:cs="宋体"/>
                <w:kern w:val="0"/>
                <w:sz w:val="21"/>
                <w:szCs w:val="21"/>
              </w:rPr>
              <w:t>沿河居民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24" w:type="pct"/>
            <w:shd w:val="clear" w:color="auto" w:fill="auto"/>
            <w:vAlign w:val="center"/>
          </w:tcPr>
          <w:p>
            <w:pPr>
              <w:widowControl/>
              <w:adjustRightInd/>
              <w:snapToGrid/>
              <w:spacing w:line="240" w:lineRule="auto"/>
              <w:ind w:firstLine="0" w:firstLineChars="0"/>
              <w:jc w:val="center"/>
              <w:rPr>
                <w:rFonts w:eastAsia="等线" w:cs="Times New Roman"/>
                <w:kern w:val="0"/>
                <w:sz w:val="21"/>
                <w:szCs w:val="21"/>
              </w:rPr>
            </w:pPr>
            <w:r>
              <w:rPr>
                <w:rFonts w:eastAsia="等线" w:cs="Times New Roman"/>
                <w:kern w:val="0"/>
                <w:sz w:val="21"/>
                <w:szCs w:val="21"/>
              </w:rPr>
              <w:t>5</w:t>
            </w:r>
          </w:p>
        </w:tc>
        <w:tc>
          <w:tcPr>
            <w:tcW w:w="514" w:type="pct"/>
            <w:shd w:val="clear" w:color="auto" w:fill="auto"/>
            <w:vAlign w:val="center"/>
          </w:tcPr>
          <w:p>
            <w:pPr>
              <w:widowControl/>
              <w:adjustRightInd/>
              <w:snapToGrid/>
              <w:spacing w:line="240" w:lineRule="auto"/>
              <w:ind w:firstLine="0" w:firstLineChars="0"/>
              <w:jc w:val="center"/>
              <w:rPr>
                <w:rFonts w:eastAsia="等线" w:cs="Times New Roman"/>
                <w:kern w:val="0"/>
                <w:sz w:val="21"/>
                <w:szCs w:val="21"/>
              </w:rPr>
            </w:pPr>
          </w:p>
        </w:tc>
        <w:tc>
          <w:tcPr>
            <w:tcW w:w="512" w:type="pct"/>
            <w:shd w:val="clear" w:color="auto" w:fill="auto"/>
            <w:vAlign w:val="center"/>
          </w:tcPr>
          <w:p>
            <w:pPr>
              <w:widowControl/>
              <w:adjustRightInd/>
              <w:snapToGrid/>
              <w:spacing w:line="240" w:lineRule="auto"/>
              <w:ind w:firstLine="0" w:firstLineChars="0"/>
              <w:jc w:val="center"/>
              <w:rPr>
                <w:rFonts w:ascii="仿宋" w:hAnsi="仿宋" w:cs="宋体"/>
                <w:kern w:val="0"/>
                <w:sz w:val="21"/>
                <w:szCs w:val="21"/>
              </w:rPr>
            </w:pPr>
            <w:r>
              <w:rPr>
                <w:rFonts w:hint="eastAsia" w:ascii="仿宋" w:hAnsi="仿宋" w:cs="宋体"/>
                <w:kern w:val="0"/>
                <w:sz w:val="21"/>
                <w:szCs w:val="21"/>
              </w:rPr>
              <w:t>男</w:t>
            </w:r>
          </w:p>
        </w:tc>
        <w:tc>
          <w:tcPr>
            <w:tcW w:w="769" w:type="pct"/>
            <w:shd w:val="clear" w:color="auto" w:fill="auto"/>
            <w:vAlign w:val="center"/>
          </w:tcPr>
          <w:p>
            <w:pPr>
              <w:widowControl/>
              <w:adjustRightInd/>
              <w:snapToGrid/>
              <w:spacing w:line="240" w:lineRule="auto"/>
              <w:ind w:firstLine="0" w:firstLineChars="0"/>
              <w:jc w:val="center"/>
              <w:rPr>
                <w:rFonts w:eastAsia="等线" w:cs="Times New Roman"/>
                <w:kern w:val="0"/>
                <w:sz w:val="21"/>
                <w:szCs w:val="21"/>
              </w:rPr>
            </w:pPr>
            <w:r>
              <w:rPr>
                <w:rFonts w:eastAsia="等线" w:cs="Times New Roman"/>
                <w:kern w:val="0"/>
                <w:sz w:val="21"/>
                <w:szCs w:val="21"/>
              </w:rPr>
              <w:t>50</w:t>
            </w:r>
            <w:r>
              <w:rPr>
                <w:rFonts w:hint="eastAsia" w:ascii="仿宋" w:hAnsi="仿宋" w:cs="Times New Roman"/>
                <w:kern w:val="0"/>
                <w:sz w:val="21"/>
                <w:szCs w:val="21"/>
              </w:rPr>
              <w:t>以上</w:t>
            </w:r>
          </w:p>
        </w:tc>
        <w:tc>
          <w:tcPr>
            <w:tcW w:w="683" w:type="pct"/>
            <w:shd w:val="clear" w:color="auto" w:fill="auto"/>
            <w:vAlign w:val="center"/>
          </w:tcPr>
          <w:p>
            <w:pPr>
              <w:widowControl/>
              <w:adjustRightInd/>
              <w:snapToGrid/>
              <w:spacing w:line="240" w:lineRule="auto"/>
              <w:ind w:firstLine="0" w:firstLineChars="0"/>
              <w:jc w:val="center"/>
              <w:rPr>
                <w:rFonts w:eastAsia="等线" w:cs="Times New Roman"/>
                <w:kern w:val="0"/>
                <w:sz w:val="21"/>
                <w:szCs w:val="21"/>
              </w:rPr>
            </w:pPr>
            <w:r>
              <w:rPr>
                <w:rFonts w:eastAsia="等线" w:cs="Times New Roman"/>
                <w:sz w:val="21"/>
                <w:szCs w:val="21"/>
              </w:rPr>
              <w:t>80</w:t>
            </w:r>
          </w:p>
        </w:tc>
        <w:tc>
          <w:tcPr>
            <w:tcW w:w="683" w:type="pct"/>
            <w:shd w:val="clear" w:color="auto" w:fill="auto"/>
            <w:vAlign w:val="center"/>
          </w:tcPr>
          <w:p>
            <w:pPr>
              <w:widowControl/>
              <w:adjustRightInd/>
              <w:snapToGrid/>
              <w:spacing w:line="240" w:lineRule="auto"/>
              <w:ind w:firstLine="0" w:firstLineChars="0"/>
              <w:jc w:val="center"/>
              <w:rPr>
                <w:rFonts w:ascii="仿宋" w:hAnsi="仿宋" w:cs="宋体"/>
                <w:kern w:val="0"/>
                <w:sz w:val="21"/>
                <w:szCs w:val="21"/>
              </w:rPr>
            </w:pPr>
            <w:r>
              <w:rPr>
                <w:rFonts w:hint="eastAsia" w:ascii="仿宋" w:hAnsi="仿宋" w:cs="宋体"/>
                <w:kern w:val="0"/>
                <w:sz w:val="21"/>
                <w:szCs w:val="21"/>
              </w:rPr>
              <w:t>国华镇</w:t>
            </w:r>
          </w:p>
        </w:tc>
        <w:tc>
          <w:tcPr>
            <w:tcW w:w="1415" w:type="pct"/>
            <w:shd w:val="clear" w:color="auto" w:fill="auto"/>
            <w:vAlign w:val="center"/>
          </w:tcPr>
          <w:p>
            <w:pPr>
              <w:widowControl/>
              <w:adjustRightInd/>
              <w:snapToGrid/>
              <w:spacing w:line="240" w:lineRule="auto"/>
              <w:ind w:firstLine="0" w:firstLineChars="0"/>
              <w:jc w:val="center"/>
              <w:rPr>
                <w:rFonts w:ascii="仿宋" w:hAnsi="仿宋" w:cs="宋体"/>
                <w:kern w:val="0"/>
                <w:sz w:val="21"/>
                <w:szCs w:val="21"/>
              </w:rPr>
            </w:pPr>
            <w:r>
              <w:rPr>
                <w:rFonts w:hint="eastAsia" w:ascii="仿宋" w:hAnsi="仿宋" w:cs="宋体"/>
                <w:kern w:val="0"/>
                <w:sz w:val="21"/>
                <w:szCs w:val="21"/>
              </w:rPr>
              <w:t>沿河居民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424" w:type="pct"/>
            <w:shd w:val="clear" w:color="auto" w:fill="auto"/>
            <w:vAlign w:val="center"/>
          </w:tcPr>
          <w:p>
            <w:pPr>
              <w:widowControl/>
              <w:adjustRightInd/>
              <w:snapToGrid/>
              <w:spacing w:line="240" w:lineRule="auto"/>
              <w:ind w:firstLine="0" w:firstLineChars="0"/>
              <w:jc w:val="center"/>
              <w:rPr>
                <w:rFonts w:eastAsia="等线" w:cs="Times New Roman"/>
                <w:kern w:val="0"/>
                <w:sz w:val="21"/>
                <w:szCs w:val="21"/>
              </w:rPr>
            </w:pPr>
            <w:r>
              <w:rPr>
                <w:rFonts w:eastAsia="等线" w:cs="Times New Roman"/>
                <w:kern w:val="0"/>
                <w:sz w:val="21"/>
                <w:szCs w:val="21"/>
              </w:rPr>
              <w:t>6</w:t>
            </w:r>
          </w:p>
        </w:tc>
        <w:tc>
          <w:tcPr>
            <w:tcW w:w="514" w:type="pct"/>
            <w:shd w:val="clear" w:color="auto" w:fill="auto"/>
            <w:vAlign w:val="center"/>
          </w:tcPr>
          <w:p>
            <w:pPr>
              <w:widowControl/>
              <w:adjustRightInd/>
              <w:snapToGrid/>
              <w:spacing w:line="240" w:lineRule="auto"/>
              <w:ind w:firstLine="0" w:firstLineChars="0"/>
              <w:jc w:val="center"/>
              <w:rPr>
                <w:rFonts w:ascii="仿宋" w:hAnsi="仿宋" w:cs="宋体"/>
                <w:kern w:val="0"/>
                <w:sz w:val="21"/>
                <w:szCs w:val="21"/>
              </w:rPr>
            </w:pPr>
            <w:r>
              <w:rPr>
                <w:rFonts w:hint="eastAsia" w:ascii="仿宋" w:hAnsi="仿宋" w:cs="宋体"/>
                <w:kern w:val="0"/>
                <w:sz w:val="21"/>
                <w:szCs w:val="21"/>
              </w:rPr>
              <w:t>尹超</w:t>
            </w:r>
          </w:p>
        </w:tc>
        <w:tc>
          <w:tcPr>
            <w:tcW w:w="512" w:type="pct"/>
            <w:shd w:val="clear" w:color="auto" w:fill="auto"/>
            <w:vAlign w:val="center"/>
          </w:tcPr>
          <w:p>
            <w:pPr>
              <w:widowControl/>
              <w:adjustRightInd/>
              <w:snapToGrid/>
              <w:spacing w:line="240" w:lineRule="auto"/>
              <w:ind w:firstLine="0" w:firstLineChars="0"/>
              <w:jc w:val="center"/>
              <w:rPr>
                <w:rFonts w:ascii="仿宋" w:hAnsi="仿宋" w:cs="宋体"/>
                <w:kern w:val="0"/>
                <w:sz w:val="21"/>
                <w:szCs w:val="21"/>
              </w:rPr>
            </w:pPr>
            <w:r>
              <w:rPr>
                <w:rFonts w:hint="eastAsia" w:ascii="仿宋" w:hAnsi="仿宋" w:cs="宋体"/>
                <w:kern w:val="0"/>
                <w:sz w:val="21"/>
                <w:szCs w:val="21"/>
              </w:rPr>
              <w:t>男</w:t>
            </w:r>
          </w:p>
        </w:tc>
        <w:tc>
          <w:tcPr>
            <w:tcW w:w="769" w:type="pct"/>
            <w:shd w:val="clear" w:color="auto" w:fill="auto"/>
            <w:vAlign w:val="center"/>
          </w:tcPr>
          <w:p>
            <w:pPr>
              <w:widowControl/>
              <w:adjustRightInd/>
              <w:snapToGrid/>
              <w:spacing w:line="240" w:lineRule="auto"/>
              <w:ind w:firstLine="0" w:firstLineChars="0"/>
              <w:jc w:val="center"/>
              <w:rPr>
                <w:rFonts w:eastAsia="等线" w:cs="Times New Roman"/>
                <w:kern w:val="0"/>
                <w:sz w:val="21"/>
                <w:szCs w:val="21"/>
              </w:rPr>
            </w:pPr>
            <w:r>
              <w:rPr>
                <w:rFonts w:eastAsia="等线" w:cs="Times New Roman"/>
                <w:kern w:val="0"/>
                <w:sz w:val="21"/>
                <w:szCs w:val="21"/>
              </w:rPr>
              <w:t>15</w:t>
            </w:r>
            <w:r>
              <w:rPr>
                <w:rFonts w:hint="eastAsia" w:ascii="仿宋" w:hAnsi="仿宋" w:cs="Times New Roman"/>
                <w:kern w:val="0"/>
                <w:sz w:val="21"/>
                <w:szCs w:val="21"/>
              </w:rPr>
              <w:t>～</w:t>
            </w:r>
            <w:r>
              <w:rPr>
                <w:rFonts w:eastAsia="等线" w:cs="Times New Roman"/>
                <w:kern w:val="0"/>
                <w:sz w:val="21"/>
                <w:szCs w:val="21"/>
              </w:rPr>
              <w:t>30</w:t>
            </w:r>
          </w:p>
        </w:tc>
        <w:tc>
          <w:tcPr>
            <w:tcW w:w="683" w:type="pct"/>
            <w:shd w:val="clear" w:color="auto" w:fill="auto"/>
            <w:vAlign w:val="center"/>
          </w:tcPr>
          <w:p>
            <w:pPr>
              <w:widowControl/>
              <w:adjustRightInd/>
              <w:snapToGrid/>
              <w:spacing w:line="240" w:lineRule="auto"/>
              <w:ind w:firstLine="0" w:firstLineChars="0"/>
              <w:jc w:val="center"/>
              <w:rPr>
                <w:rFonts w:eastAsia="等线" w:cs="Times New Roman"/>
                <w:kern w:val="0"/>
                <w:sz w:val="21"/>
                <w:szCs w:val="21"/>
              </w:rPr>
            </w:pPr>
            <w:r>
              <w:rPr>
                <w:rFonts w:eastAsia="等线" w:cs="Times New Roman"/>
                <w:sz w:val="21"/>
                <w:szCs w:val="21"/>
              </w:rPr>
              <w:t>100</w:t>
            </w:r>
          </w:p>
        </w:tc>
        <w:tc>
          <w:tcPr>
            <w:tcW w:w="683" w:type="pct"/>
            <w:shd w:val="clear" w:color="auto" w:fill="auto"/>
            <w:vAlign w:val="center"/>
          </w:tcPr>
          <w:p>
            <w:pPr>
              <w:widowControl/>
              <w:adjustRightInd/>
              <w:snapToGrid/>
              <w:spacing w:line="240" w:lineRule="auto"/>
              <w:ind w:firstLine="0" w:firstLineChars="0"/>
              <w:jc w:val="center"/>
              <w:rPr>
                <w:rFonts w:ascii="仿宋" w:hAnsi="仿宋" w:cs="宋体"/>
                <w:kern w:val="0"/>
                <w:sz w:val="21"/>
                <w:szCs w:val="21"/>
              </w:rPr>
            </w:pPr>
            <w:r>
              <w:rPr>
                <w:rFonts w:hint="eastAsia" w:ascii="仿宋" w:hAnsi="仿宋" w:cs="宋体"/>
                <w:kern w:val="0"/>
                <w:sz w:val="21"/>
                <w:szCs w:val="21"/>
              </w:rPr>
              <w:t>国华镇</w:t>
            </w:r>
          </w:p>
        </w:tc>
        <w:tc>
          <w:tcPr>
            <w:tcW w:w="1415" w:type="pct"/>
            <w:shd w:val="clear" w:color="auto" w:fill="auto"/>
            <w:vAlign w:val="center"/>
          </w:tcPr>
          <w:p>
            <w:pPr>
              <w:widowControl/>
              <w:adjustRightInd/>
              <w:snapToGrid/>
              <w:spacing w:line="240" w:lineRule="auto"/>
              <w:ind w:firstLine="0" w:firstLineChars="0"/>
              <w:jc w:val="center"/>
              <w:rPr>
                <w:rFonts w:ascii="仿宋" w:hAnsi="仿宋" w:cs="宋体"/>
                <w:kern w:val="0"/>
                <w:sz w:val="21"/>
                <w:szCs w:val="21"/>
              </w:rPr>
            </w:pPr>
            <w:r>
              <w:rPr>
                <w:rFonts w:hint="eastAsia" w:ascii="仿宋" w:hAnsi="仿宋" w:cs="宋体"/>
                <w:kern w:val="0"/>
                <w:sz w:val="21"/>
                <w:szCs w:val="21"/>
              </w:rPr>
              <w:t>国华镇从事经营活动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24" w:type="pct"/>
            <w:shd w:val="clear" w:color="auto" w:fill="auto"/>
            <w:vAlign w:val="center"/>
          </w:tcPr>
          <w:p>
            <w:pPr>
              <w:widowControl/>
              <w:adjustRightInd/>
              <w:snapToGrid/>
              <w:spacing w:line="240" w:lineRule="auto"/>
              <w:ind w:firstLine="0" w:firstLineChars="0"/>
              <w:jc w:val="center"/>
              <w:rPr>
                <w:rFonts w:eastAsia="等线" w:cs="Times New Roman"/>
                <w:kern w:val="0"/>
                <w:sz w:val="21"/>
                <w:szCs w:val="21"/>
              </w:rPr>
            </w:pPr>
            <w:r>
              <w:rPr>
                <w:rFonts w:eastAsia="等线" w:cs="Times New Roman"/>
                <w:kern w:val="0"/>
                <w:sz w:val="21"/>
                <w:szCs w:val="21"/>
              </w:rPr>
              <w:t>7</w:t>
            </w:r>
          </w:p>
        </w:tc>
        <w:tc>
          <w:tcPr>
            <w:tcW w:w="514" w:type="pct"/>
            <w:shd w:val="clear" w:color="auto" w:fill="auto"/>
            <w:vAlign w:val="center"/>
          </w:tcPr>
          <w:p>
            <w:pPr>
              <w:widowControl/>
              <w:adjustRightInd/>
              <w:snapToGrid/>
              <w:spacing w:line="240" w:lineRule="auto"/>
              <w:ind w:firstLine="0" w:firstLineChars="0"/>
              <w:jc w:val="center"/>
              <w:rPr>
                <w:rFonts w:eastAsia="等线" w:cs="Times New Roman"/>
                <w:kern w:val="0"/>
                <w:sz w:val="21"/>
                <w:szCs w:val="21"/>
              </w:rPr>
            </w:pPr>
          </w:p>
        </w:tc>
        <w:tc>
          <w:tcPr>
            <w:tcW w:w="512" w:type="pct"/>
            <w:shd w:val="clear" w:color="auto" w:fill="auto"/>
            <w:vAlign w:val="center"/>
          </w:tcPr>
          <w:p>
            <w:pPr>
              <w:widowControl/>
              <w:adjustRightInd/>
              <w:snapToGrid/>
              <w:spacing w:line="240" w:lineRule="auto"/>
              <w:ind w:firstLine="0" w:firstLineChars="0"/>
              <w:jc w:val="center"/>
              <w:rPr>
                <w:rFonts w:ascii="仿宋" w:hAnsi="仿宋" w:cs="宋体"/>
                <w:kern w:val="0"/>
                <w:sz w:val="21"/>
                <w:szCs w:val="21"/>
              </w:rPr>
            </w:pPr>
            <w:r>
              <w:rPr>
                <w:rFonts w:hint="eastAsia" w:ascii="仿宋" w:hAnsi="仿宋" w:cs="宋体"/>
                <w:kern w:val="0"/>
                <w:sz w:val="21"/>
                <w:szCs w:val="21"/>
              </w:rPr>
              <w:t>男</w:t>
            </w:r>
          </w:p>
        </w:tc>
        <w:tc>
          <w:tcPr>
            <w:tcW w:w="769" w:type="pct"/>
            <w:shd w:val="clear" w:color="auto" w:fill="auto"/>
            <w:vAlign w:val="center"/>
          </w:tcPr>
          <w:p>
            <w:pPr>
              <w:widowControl/>
              <w:adjustRightInd/>
              <w:snapToGrid/>
              <w:spacing w:line="240" w:lineRule="auto"/>
              <w:ind w:firstLine="0" w:firstLineChars="0"/>
              <w:jc w:val="center"/>
              <w:rPr>
                <w:rFonts w:eastAsia="等线" w:cs="Times New Roman"/>
                <w:kern w:val="0"/>
                <w:sz w:val="21"/>
                <w:szCs w:val="21"/>
              </w:rPr>
            </w:pPr>
            <w:r>
              <w:rPr>
                <w:rFonts w:eastAsia="等线" w:cs="Times New Roman"/>
                <w:kern w:val="0"/>
                <w:sz w:val="21"/>
                <w:szCs w:val="21"/>
              </w:rPr>
              <w:t>30~50</w:t>
            </w:r>
          </w:p>
        </w:tc>
        <w:tc>
          <w:tcPr>
            <w:tcW w:w="683" w:type="pct"/>
            <w:shd w:val="clear" w:color="auto" w:fill="auto"/>
            <w:vAlign w:val="center"/>
          </w:tcPr>
          <w:p>
            <w:pPr>
              <w:widowControl/>
              <w:adjustRightInd/>
              <w:snapToGrid/>
              <w:spacing w:line="240" w:lineRule="auto"/>
              <w:ind w:firstLine="0" w:firstLineChars="0"/>
              <w:jc w:val="center"/>
              <w:rPr>
                <w:rFonts w:eastAsia="等线" w:cs="Times New Roman"/>
                <w:kern w:val="0"/>
                <w:sz w:val="21"/>
                <w:szCs w:val="21"/>
              </w:rPr>
            </w:pPr>
            <w:r>
              <w:rPr>
                <w:rFonts w:eastAsia="等线" w:cs="Times New Roman"/>
                <w:sz w:val="21"/>
                <w:szCs w:val="21"/>
              </w:rPr>
              <w:t>80</w:t>
            </w:r>
          </w:p>
        </w:tc>
        <w:tc>
          <w:tcPr>
            <w:tcW w:w="683" w:type="pct"/>
            <w:shd w:val="clear" w:color="auto" w:fill="auto"/>
            <w:vAlign w:val="center"/>
          </w:tcPr>
          <w:p>
            <w:pPr>
              <w:widowControl/>
              <w:adjustRightInd/>
              <w:snapToGrid/>
              <w:spacing w:line="240" w:lineRule="auto"/>
              <w:ind w:firstLine="0" w:firstLineChars="0"/>
              <w:jc w:val="center"/>
              <w:rPr>
                <w:rFonts w:ascii="仿宋" w:hAnsi="仿宋" w:cs="宋体"/>
                <w:kern w:val="0"/>
                <w:sz w:val="21"/>
                <w:szCs w:val="21"/>
              </w:rPr>
            </w:pPr>
            <w:r>
              <w:rPr>
                <w:rFonts w:hint="eastAsia" w:ascii="仿宋" w:hAnsi="仿宋" w:cs="宋体"/>
                <w:kern w:val="0"/>
                <w:sz w:val="21"/>
                <w:szCs w:val="21"/>
              </w:rPr>
              <w:t>国华镇</w:t>
            </w:r>
          </w:p>
        </w:tc>
        <w:tc>
          <w:tcPr>
            <w:tcW w:w="1415" w:type="pct"/>
            <w:shd w:val="clear" w:color="auto" w:fill="auto"/>
            <w:vAlign w:val="center"/>
          </w:tcPr>
          <w:p>
            <w:pPr>
              <w:widowControl/>
              <w:adjustRightInd/>
              <w:snapToGrid/>
              <w:spacing w:line="240" w:lineRule="auto"/>
              <w:ind w:firstLine="0" w:firstLineChars="0"/>
              <w:jc w:val="center"/>
              <w:rPr>
                <w:rFonts w:ascii="仿宋" w:hAnsi="仿宋" w:cs="宋体"/>
                <w:kern w:val="0"/>
                <w:sz w:val="21"/>
                <w:szCs w:val="21"/>
              </w:rPr>
            </w:pPr>
            <w:r>
              <w:rPr>
                <w:rFonts w:hint="eastAsia" w:ascii="仿宋" w:hAnsi="仿宋" w:cs="宋体"/>
                <w:kern w:val="0"/>
                <w:sz w:val="21"/>
                <w:szCs w:val="21"/>
              </w:rPr>
              <w:t>沿河居民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24" w:type="pct"/>
            <w:shd w:val="clear" w:color="auto" w:fill="auto"/>
            <w:vAlign w:val="center"/>
          </w:tcPr>
          <w:p>
            <w:pPr>
              <w:widowControl/>
              <w:adjustRightInd/>
              <w:snapToGrid/>
              <w:spacing w:line="240" w:lineRule="auto"/>
              <w:ind w:firstLine="0" w:firstLineChars="0"/>
              <w:jc w:val="center"/>
              <w:rPr>
                <w:rFonts w:eastAsia="等线" w:cs="Times New Roman"/>
                <w:kern w:val="0"/>
                <w:sz w:val="21"/>
                <w:szCs w:val="21"/>
              </w:rPr>
            </w:pPr>
            <w:r>
              <w:rPr>
                <w:rFonts w:eastAsia="等线" w:cs="Times New Roman"/>
                <w:kern w:val="0"/>
                <w:sz w:val="21"/>
                <w:szCs w:val="21"/>
              </w:rPr>
              <w:t>8</w:t>
            </w:r>
          </w:p>
        </w:tc>
        <w:tc>
          <w:tcPr>
            <w:tcW w:w="514" w:type="pct"/>
            <w:shd w:val="clear" w:color="auto" w:fill="auto"/>
            <w:vAlign w:val="center"/>
          </w:tcPr>
          <w:p>
            <w:pPr>
              <w:widowControl/>
              <w:adjustRightInd/>
              <w:snapToGrid/>
              <w:spacing w:line="240" w:lineRule="auto"/>
              <w:ind w:firstLine="0" w:firstLineChars="0"/>
              <w:jc w:val="center"/>
              <w:rPr>
                <w:rFonts w:eastAsia="等线" w:cs="Times New Roman"/>
                <w:kern w:val="0"/>
                <w:sz w:val="21"/>
                <w:szCs w:val="21"/>
              </w:rPr>
            </w:pPr>
          </w:p>
        </w:tc>
        <w:tc>
          <w:tcPr>
            <w:tcW w:w="512" w:type="pct"/>
            <w:shd w:val="clear" w:color="auto" w:fill="auto"/>
            <w:vAlign w:val="center"/>
          </w:tcPr>
          <w:p>
            <w:pPr>
              <w:widowControl/>
              <w:adjustRightInd/>
              <w:snapToGrid/>
              <w:spacing w:line="240" w:lineRule="auto"/>
              <w:ind w:firstLine="0" w:firstLineChars="0"/>
              <w:jc w:val="center"/>
              <w:rPr>
                <w:rFonts w:ascii="仿宋" w:hAnsi="仿宋" w:cs="宋体"/>
                <w:kern w:val="0"/>
                <w:sz w:val="21"/>
                <w:szCs w:val="21"/>
              </w:rPr>
            </w:pPr>
            <w:r>
              <w:rPr>
                <w:rFonts w:hint="eastAsia" w:ascii="仿宋" w:hAnsi="仿宋" w:cs="宋体"/>
                <w:kern w:val="0"/>
                <w:sz w:val="21"/>
                <w:szCs w:val="21"/>
              </w:rPr>
              <w:t>男</w:t>
            </w:r>
          </w:p>
        </w:tc>
        <w:tc>
          <w:tcPr>
            <w:tcW w:w="769" w:type="pct"/>
            <w:shd w:val="clear" w:color="auto" w:fill="auto"/>
            <w:vAlign w:val="center"/>
          </w:tcPr>
          <w:p>
            <w:pPr>
              <w:widowControl/>
              <w:adjustRightInd/>
              <w:snapToGrid/>
              <w:spacing w:line="240" w:lineRule="auto"/>
              <w:ind w:firstLine="0" w:firstLineChars="0"/>
              <w:jc w:val="center"/>
              <w:rPr>
                <w:rFonts w:eastAsia="等线" w:cs="Times New Roman"/>
                <w:kern w:val="0"/>
                <w:sz w:val="21"/>
                <w:szCs w:val="21"/>
              </w:rPr>
            </w:pPr>
            <w:r>
              <w:rPr>
                <w:rFonts w:eastAsia="等线" w:cs="Times New Roman"/>
                <w:kern w:val="0"/>
                <w:sz w:val="21"/>
                <w:szCs w:val="21"/>
              </w:rPr>
              <w:t>15</w:t>
            </w:r>
            <w:r>
              <w:rPr>
                <w:rFonts w:hint="eastAsia" w:ascii="仿宋" w:hAnsi="仿宋" w:cs="Times New Roman"/>
                <w:kern w:val="0"/>
                <w:sz w:val="21"/>
                <w:szCs w:val="21"/>
              </w:rPr>
              <w:t>～</w:t>
            </w:r>
            <w:r>
              <w:rPr>
                <w:rFonts w:eastAsia="等线" w:cs="Times New Roman"/>
                <w:kern w:val="0"/>
                <w:sz w:val="21"/>
                <w:szCs w:val="21"/>
              </w:rPr>
              <w:t>30</w:t>
            </w:r>
          </w:p>
        </w:tc>
        <w:tc>
          <w:tcPr>
            <w:tcW w:w="683" w:type="pct"/>
            <w:shd w:val="clear" w:color="auto" w:fill="auto"/>
            <w:vAlign w:val="center"/>
          </w:tcPr>
          <w:p>
            <w:pPr>
              <w:widowControl/>
              <w:adjustRightInd/>
              <w:snapToGrid/>
              <w:spacing w:line="240" w:lineRule="auto"/>
              <w:ind w:firstLine="0" w:firstLineChars="0"/>
              <w:jc w:val="center"/>
              <w:rPr>
                <w:rFonts w:eastAsia="等线" w:cs="Times New Roman"/>
                <w:kern w:val="0"/>
                <w:sz w:val="21"/>
                <w:szCs w:val="21"/>
              </w:rPr>
            </w:pPr>
            <w:r>
              <w:rPr>
                <w:rFonts w:eastAsia="等线" w:cs="Times New Roman"/>
                <w:sz w:val="21"/>
                <w:szCs w:val="21"/>
              </w:rPr>
              <w:t>60</w:t>
            </w:r>
          </w:p>
        </w:tc>
        <w:tc>
          <w:tcPr>
            <w:tcW w:w="683" w:type="pct"/>
            <w:shd w:val="clear" w:color="auto" w:fill="auto"/>
            <w:vAlign w:val="center"/>
          </w:tcPr>
          <w:p>
            <w:pPr>
              <w:widowControl/>
              <w:adjustRightInd/>
              <w:snapToGrid/>
              <w:spacing w:line="240" w:lineRule="auto"/>
              <w:ind w:firstLine="0" w:firstLineChars="0"/>
              <w:jc w:val="center"/>
              <w:rPr>
                <w:rFonts w:ascii="仿宋" w:hAnsi="仿宋" w:cs="宋体"/>
                <w:kern w:val="0"/>
                <w:sz w:val="21"/>
                <w:szCs w:val="21"/>
              </w:rPr>
            </w:pPr>
            <w:r>
              <w:rPr>
                <w:rFonts w:hint="eastAsia" w:ascii="仿宋" w:hAnsi="仿宋" w:cs="宋体"/>
                <w:kern w:val="0"/>
                <w:sz w:val="21"/>
                <w:szCs w:val="21"/>
              </w:rPr>
              <w:t>国华镇</w:t>
            </w:r>
          </w:p>
        </w:tc>
        <w:tc>
          <w:tcPr>
            <w:tcW w:w="1415" w:type="pct"/>
            <w:shd w:val="clear" w:color="auto" w:fill="auto"/>
            <w:vAlign w:val="center"/>
          </w:tcPr>
          <w:p>
            <w:pPr>
              <w:widowControl/>
              <w:adjustRightInd/>
              <w:snapToGrid/>
              <w:spacing w:line="240" w:lineRule="auto"/>
              <w:ind w:firstLine="0" w:firstLineChars="0"/>
              <w:jc w:val="center"/>
              <w:rPr>
                <w:rFonts w:ascii="仿宋" w:hAnsi="仿宋" w:cs="宋体"/>
                <w:kern w:val="0"/>
                <w:sz w:val="21"/>
                <w:szCs w:val="21"/>
              </w:rPr>
            </w:pPr>
            <w:r>
              <w:rPr>
                <w:rFonts w:hint="eastAsia" w:ascii="仿宋" w:hAnsi="仿宋" w:cs="宋体"/>
                <w:kern w:val="0"/>
                <w:sz w:val="21"/>
                <w:szCs w:val="21"/>
              </w:rPr>
              <w:t>沿河居民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24" w:type="pct"/>
            <w:shd w:val="clear" w:color="auto" w:fill="auto"/>
            <w:vAlign w:val="center"/>
          </w:tcPr>
          <w:p>
            <w:pPr>
              <w:widowControl/>
              <w:adjustRightInd/>
              <w:snapToGrid/>
              <w:spacing w:line="240" w:lineRule="auto"/>
              <w:ind w:firstLine="0" w:firstLineChars="0"/>
              <w:jc w:val="center"/>
              <w:rPr>
                <w:rFonts w:eastAsia="等线" w:cs="Times New Roman"/>
                <w:kern w:val="0"/>
                <w:sz w:val="21"/>
                <w:szCs w:val="21"/>
              </w:rPr>
            </w:pPr>
            <w:r>
              <w:rPr>
                <w:rFonts w:eastAsia="等线" w:cs="Times New Roman"/>
                <w:kern w:val="0"/>
                <w:sz w:val="21"/>
                <w:szCs w:val="21"/>
              </w:rPr>
              <w:t>9</w:t>
            </w:r>
          </w:p>
        </w:tc>
        <w:tc>
          <w:tcPr>
            <w:tcW w:w="514" w:type="pct"/>
            <w:shd w:val="clear" w:color="auto" w:fill="auto"/>
            <w:vAlign w:val="center"/>
          </w:tcPr>
          <w:p>
            <w:pPr>
              <w:widowControl/>
              <w:adjustRightInd/>
              <w:snapToGrid/>
              <w:spacing w:line="240" w:lineRule="auto"/>
              <w:ind w:firstLine="0" w:firstLineChars="0"/>
              <w:jc w:val="center"/>
              <w:rPr>
                <w:rFonts w:eastAsia="等线" w:cs="Times New Roman"/>
                <w:kern w:val="0"/>
                <w:sz w:val="21"/>
                <w:szCs w:val="21"/>
              </w:rPr>
            </w:pPr>
          </w:p>
        </w:tc>
        <w:tc>
          <w:tcPr>
            <w:tcW w:w="512" w:type="pct"/>
            <w:shd w:val="clear" w:color="auto" w:fill="auto"/>
            <w:vAlign w:val="center"/>
          </w:tcPr>
          <w:p>
            <w:pPr>
              <w:widowControl/>
              <w:adjustRightInd/>
              <w:snapToGrid/>
              <w:spacing w:line="240" w:lineRule="auto"/>
              <w:ind w:firstLine="0" w:firstLineChars="0"/>
              <w:jc w:val="center"/>
              <w:rPr>
                <w:rFonts w:ascii="仿宋" w:hAnsi="仿宋" w:cs="宋体"/>
                <w:kern w:val="0"/>
                <w:sz w:val="21"/>
                <w:szCs w:val="21"/>
              </w:rPr>
            </w:pPr>
            <w:r>
              <w:rPr>
                <w:rFonts w:hint="eastAsia" w:ascii="仿宋" w:hAnsi="仿宋" w:cs="宋体"/>
                <w:kern w:val="0"/>
                <w:sz w:val="21"/>
                <w:szCs w:val="21"/>
              </w:rPr>
              <w:t>女</w:t>
            </w:r>
          </w:p>
        </w:tc>
        <w:tc>
          <w:tcPr>
            <w:tcW w:w="769" w:type="pct"/>
            <w:shd w:val="clear" w:color="auto" w:fill="auto"/>
            <w:vAlign w:val="center"/>
          </w:tcPr>
          <w:p>
            <w:pPr>
              <w:widowControl/>
              <w:adjustRightInd/>
              <w:snapToGrid/>
              <w:spacing w:line="240" w:lineRule="auto"/>
              <w:ind w:firstLine="0" w:firstLineChars="0"/>
              <w:jc w:val="center"/>
              <w:rPr>
                <w:rFonts w:eastAsia="等线" w:cs="Times New Roman"/>
                <w:kern w:val="0"/>
                <w:sz w:val="21"/>
                <w:szCs w:val="21"/>
              </w:rPr>
            </w:pPr>
            <w:r>
              <w:rPr>
                <w:rFonts w:eastAsia="等线" w:cs="Times New Roman"/>
                <w:kern w:val="0"/>
                <w:sz w:val="21"/>
                <w:szCs w:val="21"/>
              </w:rPr>
              <w:t>15</w:t>
            </w:r>
            <w:r>
              <w:rPr>
                <w:rFonts w:hint="eastAsia" w:ascii="仿宋" w:hAnsi="仿宋" w:cs="Times New Roman"/>
                <w:kern w:val="0"/>
                <w:sz w:val="21"/>
                <w:szCs w:val="21"/>
              </w:rPr>
              <w:t>～</w:t>
            </w:r>
            <w:r>
              <w:rPr>
                <w:rFonts w:eastAsia="等线" w:cs="Times New Roman"/>
                <w:kern w:val="0"/>
                <w:sz w:val="21"/>
                <w:szCs w:val="21"/>
              </w:rPr>
              <w:t>30</w:t>
            </w:r>
          </w:p>
        </w:tc>
        <w:tc>
          <w:tcPr>
            <w:tcW w:w="683" w:type="pct"/>
            <w:shd w:val="clear" w:color="auto" w:fill="auto"/>
            <w:vAlign w:val="center"/>
          </w:tcPr>
          <w:p>
            <w:pPr>
              <w:widowControl/>
              <w:adjustRightInd/>
              <w:snapToGrid/>
              <w:spacing w:line="240" w:lineRule="auto"/>
              <w:ind w:firstLine="0" w:firstLineChars="0"/>
              <w:jc w:val="center"/>
              <w:rPr>
                <w:rFonts w:eastAsia="等线" w:cs="Times New Roman"/>
                <w:kern w:val="0"/>
                <w:sz w:val="21"/>
                <w:szCs w:val="21"/>
              </w:rPr>
            </w:pPr>
            <w:r>
              <w:rPr>
                <w:rFonts w:eastAsia="等线" w:cs="Times New Roman"/>
                <w:sz w:val="21"/>
                <w:szCs w:val="21"/>
              </w:rPr>
              <w:t>60</w:t>
            </w:r>
          </w:p>
        </w:tc>
        <w:tc>
          <w:tcPr>
            <w:tcW w:w="683" w:type="pct"/>
            <w:shd w:val="clear" w:color="auto" w:fill="auto"/>
            <w:vAlign w:val="center"/>
          </w:tcPr>
          <w:p>
            <w:pPr>
              <w:widowControl/>
              <w:adjustRightInd/>
              <w:snapToGrid/>
              <w:spacing w:line="240" w:lineRule="auto"/>
              <w:ind w:firstLine="0" w:firstLineChars="0"/>
              <w:jc w:val="center"/>
              <w:rPr>
                <w:rFonts w:ascii="仿宋" w:hAnsi="仿宋" w:cs="宋体"/>
                <w:kern w:val="0"/>
                <w:sz w:val="21"/>
                <w:szCs w:val="21"/>
              </w:rPr>
            </w:pPr>
            <w:r>
              <w:rPr>
                <w:rFonts w:hint="eastAsia" w:ascii="仿宋" w:hAnsi="仿宋" w:cs="宋体"/>
                <w:kern w:val="0"/>
                <w:sz w:val="21"/>
                <w:szCs w:val="21"/>
              </w:rPr>
              <w:t>国华镇</w:t>
            </w:r>
          </w:p>
        </w:tc>
        <w:tc>
          <w:tcPr>
            <w:tcW w:w="1415" w:type="pct"/>
            <w:shd w:val="clear" w:color="auto" w:fill="auto"/>
            <w:vAlign w:val="center"/>
          </w:tcPr>
          <w:p>
            <w:pPr>
              <w:widowControl/>
              <w:adjustRightInd/>
              <w:snapToGrid/>
              <w:spacing w:line="240" w:lineRule="auto"/>
              <w:ind w:firstLine="0" w:firstLineChars="0"/>
              <w:jc w:val="center"/>
              <w:rPr>
                <w:rFonts w:ascii="仿宋" w:hAnsi="仿宋" w:cs="宋体"/>
                <w:kern w:val="0"/>
                <w:sz w:val="21"/>
                <w:szCs w:val="21"/>
              </w:rPr>
            </w:pPr>
            <w:r>
              <w:rPr>
                <w:rFonts w:hint="eastAsia" w:ascii="仿宋" w:hAnsi="仿宋" w:cs="宋体"/>
                <w:kern w:val="0"/>
                <w:sz w:val="21"/>
                <w:szCs w:val="21"/>
              </w:rPr>
              <w:t>沿河居民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24" w:type="pct"/>
            <w:shd w:val="clear" w:color="auto" w:fill="auto"/>
            <w:vAlign w:val="center"/>
          </w:tcPr>
          <w:p>
            <w:pPr>
              <w:widowControl/>
              <w:adjustRightInd/>
              <w:snapToGrid/>
              <w:spacing w:line="240" w:lineRule="auto"/>
              <w:ind w:firstLine="0" w:firstLineChars="0"/>
              <w:jc w:val="center"/>
              <w:rPr>
                <w:rFonts w:eastAsia="等线" w:cs="Times New Roman"/>
                <w:kern w:val="0"/>
                <w:sz w:val="21"/>
                <w:szCs w:val="21"/>
              </w:rPr>
            </w:pPr>
            <w:r>
              <w:rPr>
                <w:rFonts w:eastAsia="等线" w:cs="Times New Roman"/>
                <w:kern w:val="0"/>
                <w:sz w:val="21"/>
                <w:szCs w:val="21"/>
              </w:rPr>
              <w:t>10</w:t>
            </w:r>
          </w:p>
        </w:tc>
        <w:tc>
          <w:tcPr>
            <w:tcW w:w="514" w:type="pct"/>
            <w:shd w:val="clear" w:color="auto" w:fill="auto"/>
            <w:vAlign w:val="center"/>
          </w:tcPr>
          <w:p>
            <w:pPr>
              <w:widowControl/>
              <w:adjustRightInd/>
              <w:snapToGrid/>
              <w:spacing w:line="240" w:lineRule="auto"/>
              <w:ind w:firstLine="0" w:firstLineChars="0"/>
              <w:jc w:val="center"/>
              <w:rPr>
                <w:rFonts w:eastAsia="等线" w:cs="Times New Roman"/>
                <w:kern w:val="0"/>
                <w:sz w:val="21"/>
                <w:szCs w:val="21"/>
              </w:rPr>
            </w:pPr>
          </w:p>
        </w:tc>
        <w:tc>
          <w:tcPr>
            <w:tcW w:w="512" w:type="pct"/>
            <w:shd w:val="clear" w:color="auto" w:fill="auto"/>
            <w:vAlign w:val="center"/>
          </w:tcPr>
          <w:p>
            <w:pPr>
              <w:widowControl/>
              <w:adjustRightInd/>
              <w:snapToGrid/>
              <w:spacing w:line="240" w:lineRule="auto"/>
              <w:ind w:firstLine="0" w:firstLineChars="0"/>
              <w:jc w:val="center"/>
              <w:rPr>
                <w:rFonts w:ascii="仿宋" w:hAnsi="仿宋" w:cs="宋体"/>
                <w:kern w:val="0"/>
                <w:sz w:val="21"/>
                <w:szCs w:val="21"/>
              </w:rPr>
            </w:pPr>
            <w:r>
              <w:rPr>
                <w:rFonts w:hint="eastAsia" w:ascii="仿宋" w:hAnsi="仿宋" w:cs="宋体"/>
                <w:kern w:val="0"/>
                <w:sz w:val="21"/>
                <w:szCs w:val="21"/>
              </w:rPr>
              <w:t>女</w:t>
            </w:r>
          </w:p>
        </w:tc>
        <w:tc>
          <w:tcPr>
            <w:tcW w:w="769" w:type="pct"/>
            <w:shd w:val="clear" w:color="auto" w:fill="auto"/>
            <w:vAlign w:val="center"/>
          </w:tcPr>
          <w:p>
            <w:pPr>
              <w:widowControl/>
              <w:adjustRightInd/>
              <w:snapToGrid/>
              <w:spacing w:line="240" w:lineRule="auto"/>
              <w:ind w:firstLine="0" w:firstLineChars="0"/>
              <w:jc w:val="center"/>
              <w:rPr>
                <w:rFonts w:eastAsia="等线" w:cs="Times New Roman"/>
                <w:kern w:val="0"/>
                <w:sz w:val="21"/>
                <w:szCs w:val="21"/>
              </w:rPr>
            </w:pPr>
            <w:r>
              <w:rPr>
                <w:rFonts w:eastAsia="等线" w:cs="Times New Roman"/>
                <w:kern w:val="0"/>
                <w:sz w:val="21"/>
                <w:szCs w:val="21"/>
              </w:rPr>
              <w:t>15</w:t>
            </w:r>
            <w:r>
              <w:rPr>
                <w:rFonts w:hint="eastAsia" w:ascii="仿宋" w:hAnsi="仿宋" w:cs="Times New Roman"/>
                <w:kern w:val="0"/>
                <w:sz w:val="21"/>
                <w:szCs w:val="21"/>
              </w:rPr>
              <w:t>～</w:t>
            </w:r>
            <w:r>
              <w:rPr>
                <w:rFonts w:eastAsia="等线" w:cs="Times New Roman"/>
                <w:kern w:val="0"/>
                <w:sz w:val="21"/>
                <w:szCs w:val="21"/>
              </w:rPr>
              <w:t>30</w:t>
            </w:r>
          </w:p>
        </w:tc>
        <w:tc>
          <w:tcPr>
            <w:tcW w:w="683" w:type="pct"/>
            <w:shd w:val="clear" w:color="auto" w:fill="auto"/>
            <w:vAlign w:val="center"/>
          </w:tcPr>
          <w:p>
            <w:pPr>
              <w:widowControl/>
              <w:adjustRightInd/>
              <w:snapToGrid/>
              <w:spacing w:line="240" w:lineRule="auto"/>
              <w:ind w:firstLine="0" w:firstLineChars="0"/>
              <w:jc w:val="center"/>
              <w:rPr>
                <w:rFonts w:eastAsia="等线" w:cs="Times New Roman"/>
                <w:kern w:val="0"/>
                <w:sz w:val="21"/>
                <w:szCs w:val="21"/>
              </w:rPr>
            </w:pPr>
            <w:r>
              <w:rPr>
                <w:rFonts w:eastAsia="等线" w:cs="Times New Roman"/>
                <w:sz w:val="21"/>
                <w:szCs w:val="21"/>
              </w:rPr>
              <w:t>80</w:t>
            </w:r>
          </w:p>
        </w:tc>
        <w:tc>
          <w:tcPr>
            <w:tcW w:w="683" w:type="pct"/>
            <w:shd w:val="clear" w:color="auto" w:fill="auto"/>
            <w:vAlign w:val="center"/>
          </w:tcPr>
          <w:p>
            <w:pPr>
              <w:widowControl/>
              <w:adjustRightInd/>
              <w:snapToGrid/>
              <w:spacing w:line="240" w:lineRule="auto"/>
              <w:ind w:firstLine="0" w:firstLineChars="0"/>
              <w:jc w:val="center"/>
              <w:rPr>
                <w:rFonts w:ascii="仿宋" w:hAnsi="仿宋" w:cs="宋体"/>
                <w:kern w:val="0"/>
                <w:sz w:val="21"/>
                <w:szCs w:val="21"/>
              </w:rPr>
            </w:pPr>
            <w:r>
              <w:rPr>
                <w:rFonts w:hint="eastAsia" w:ascii="仿宋" w:hAnsi="仿宋" w:cs="宋体"/>
                <w:kern w:val="0"/>
                <w:sz w:val="21"/>
                <w:szCs w:val="21"/>
              </w:rPr>
              <w:t>国华镇</w:t>
            </w:r>
          </w:p>
        </w:tc>
        <w:tc>
          <w:tcPr>
            <w:tcW w:w="1415" w:type="pct"/>
            <w:shd w:val="clear" w:color="auto" w:fill="auto"/>
            <w:vAlign w:val="center"/>
          </w:tcPr>
          <w:p>
            <w:pPr>
              <w:widowControl/>
              <w:adjustRightInd/>
              <w:snapToGrid/>
              <w:spacing w:line="240" w:lineRule="auto"/>
              <w:ind w:firstLine="0" w:firstLineChars="0"/>
              <w:jc w:val="center"/>
              <w:rPr>
                <w:rFonts w:ascii="仿宋" w:hAnsi="仿宋" w:cs="宋体"/>
                <w:kern w:val="0"/>
                <w:sz w:val="21"/>
                <w:szCs w:val="21"/>
              </w:rPr>
            </w:pPr>
            <w:r>
              <w:rPr>
                <w:rFonts w:hint="eastAsia" w:ascii="仿宋" w:hAnsi="仿宋" w:cs="宋体"/>
                <w:kern w:val="0"/>
                <w:sz w:val="21"/>
                <w:szCs w:val="21"/>
              </w:rPr>
              <w:t>沿河居民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24" w:type="pct"/>
            <w:shd w:val="clear" w:color="auto" w:fill="auto"/>
            <w:vAlign w:val="center"/>
          </w:tcPr>
          <w:p>
            <w:pPr>
              <w:widowControl/>
              <w:adjustRightInd/>
              <w:snapToGrid/>
              <w:spacing w:line="240" w:lineRule="auto"/>
              <w:ind w:firstLine="0" w:firstLineChars="0"/>
              <w:jc w:val="center"/>
              <w:rPr>
                <w:rFonts w:eastAsia="等线" w:cs="Times New Roman"/>
                <w:kern w:val="0"/>
                <w:sz w:val="21"/>
                <w:szCs w:val="21"/>
              </w:rPr>
            </w:pPr>
            <w:r>
              <w:rPr>
                <w:rFonts w:eastAsia="等线" w:cs="Times New Roman"/>
                <w:kern w:val="0"/>
                <w:sz w:val="21"/>
                <w:szCs w:val="21"/>
              </w:rPr>
              <w:t>11</w:t>
            </w:r>
          </w:p>
        </w:tc>
        <w:tc>
          <w:tcPr>
            <w:tcW w:w="514" w:type="pct"/>
            <w:shd w:val="clear" w:color="auto" w:fill="auto"/>
            <w:vAlign w:val="center"/>
          </w:tcPr>
          <w:p>
            <w:pPr>
              <w:widowControl/>
              <w:adjustRightInd/>
              <w:snapToGrid/>
              <w:spacing w:line="240" w:lineRule="auto"/>
              <w:ind w:firstLine="0" w:firstLineChars="0"/>
              <w:jc w:val="center"/>
              <w:rPr>
                <w:rFonts w:eastAsia="等线" w:cs="Times New Roman"/>
                <w:kern w:val="0"/>
                <w:sz w:val="21"/>
                <w:szCs w:val="21"/>
              </w:rPr>
            </w:pPr>
          </w:p>
        </w:tc>
        <w:tc>
          <w:tcPr>
            <w:tcW w:w="512" w:type="pct"/>
            <w:shd w:val="clear" w:color="auto" w:fill="auto"/>
            <w:vAlign w:val="center"/>
          </w:tcPr>
          <w:p>
            <w:pPr>
              <w:widowControl/>
              <w:adjustRightInd/>
              <w:snapToGrid/>
              <w:spacing w:line="240" w:lineRule="auto"/>
              <w:ind w:firstLine="0" w:firstLineChars="0"/>
              <w:jc w:val="center"/>
              <w:rPr>
                <w:rFonts w:ascii="仿宋" w:hAnsi="仿宋" w:cs="宋体"/>
                <w:kern w:val="0"/>
                <w:sz w:val="21"/>
                <w:szCs w:val="21"/>
              </w:rPr>
            </w:pPr>
            <w:r>
              <w:rPr>
                <w:rFonts w:hint="eastAsia" w:ascii="仿宋" w:hAnsi="仿宋" w:cs="宋体"/>
                <w:kern w:val="0"/>
                <w:sz w:val="21"/>
                <w:szCs w:val="21"/>
              </w:rPr>
              <w:t>男</w:t>
            </w:r>
          </w:p>
        </w:tc>
        <w:tc>
          <w:tcPr>
            <w:tcW w:w="769" w:type="pct"/>
            <w:shd w:val="clear" w:color="auto" w:fill="auto"/>
            <w:vAlign w:val="center"/>
          </w:tcPr>
          <w:p>
            <w:pPr>
              <w:widowControl/>
              <w:adjustRightInd/>
              <w:snapToGrid/>
              <w:spacing w:line="240" w:lineRule="auto"/>
              <w:ind w:firstLine="0" w:firstLineChars="0"/>
              <w:jc w:val="center"/>
              <w:rPr>
                <w:rFonts w:eastAsia="等线" w:cs="Times New Roman"/>
                <w:kern w:val="0"/>
                <w:sz w:val="21"/>
                <w:szCs w:val="21"/>
              </w:rPr>
            </w:pPr>
            <w:r>
              <w:rPr>
                <w:rFonts w:eastAsia="等线" w:cs="Times New Roman"/>
                <w:kern w:val="0"/>
                <w:sz w:val="21"/>
                <w:szCs w:val="21"/>
              </w:rPr>
              <w:t>30</w:t>
            </w:r>
            <w:r>
              <w:rPr>
                <w:rFonts w:hint="eastAsia" w:ascii="仿宋" w:hAnsi="仿宋" w:cs="Times New Roman"/>
                <w:kern w:val="0"/>
                <w:sz w:val="21"/>
                <w:szCs w:val="21"/>
              </w:rPr>
              <w:t>～</w:t>
            </w:r>
            <w:r>
              <w:rPr>
                <w:rFonts w:eastAsia="等线" w:cs="Times New Roman"/>
                <w:kern w:val="0"/>
                <w:sz w:val="21"/>
                <w:szCs w:val="21"/>
              </w:rPr>
              <w:t>50</w:t>
            </w:r>
          </w:p>
        </w:tc>
        <w:tc>
          <w:tcPr>
            <w:tcW w:w="683" w:type="pct"/>
            <w:shd w:val="clear" w:color="auto" w:fill="auto"/>
            <w:vAlign w:val="center"/>
          </w:tcPr>
          <w:p>
            <w:pPr>
              <w:widowControl/>
              <w:adjustRightInd/>
              <w:snapToGrid/>
              <w:spacing w:line="240" w:lineRule="auto"/>
              <w:ind w:firstLine="0" w:firstLineChars="0"/>
              <w:jc w:val="center"/>
              <w:rPr>
                <w:rFonts w:eastAsia="等线" w:cs="Times New Roman"/>
                <w:kern w:val="0"/>
                <w:sz w:val="21"/>
                <w:szCs w:val="21"/>
              </w:rPr>
            </w:pPr>
            <w:r>
              <w:rPr>
                <w:rFonts w:eastAsia="等线" w:cs="Times New Roman"/>
                <w:sz w:val="21"/>
                <w:szCs w:val="21"/>
              </w:rPr>
              <w:t>90</w:t>
            </w:r>
          </w:p>
        </w:tc>
        <w:tc>
          <w:tcPr>
            <w:tcW w:w="683" w:type="pct"/>
            <w:shd w:val="clear" w:color="auto" w:fill="auto"/>
            <w:vAlign w:val="center"/>
          </w:tcPr>
          <w:p>
            <w:pPr>
              <w:widowControl/>
              <w:adjustRightInd/>
              <w:snapToGrid/>
              <w:spacing w:line="240" w:lineRule="auto"/>
              <w:ind w:firstLine="0" w:firstLineChars="0"/>
              <w:jc w:val="center"/>
              <w:rPr>
                <w:rFonts w:ascii="仿宋" w:hAnsi="仿宋" w:cs="宋体"/>
                <w:kern w:val="0"/>
                <w:sz w:val="21"/>
                <w:szCs w:val="21"/>
              </w:rPr>
            </w:pPr>
            <w:r>
              <w:rPr>
                <w:rFonts w:hint="eastAsia" w:ascii="仿宋" w:hAnsi="仿宋" w:cs="宋体"/>
                <w:kern w:val="0"/>
                <w:sz w:val="21"/>
                <w:szCs w:val="21"/>
              </w:rPr>
              <w:t>盐河镇</w:t>
            </w:r>
          </w:p>
        </w:tc>
        <w:tc>
          <w:tcPr>
            <w:tcW w:w="1415" w:type="pct"/>
            <w:shd w:val="clear" w:color="auto" w:fill="auto"/>
            <w:vAlign w:val="center"/>
          </w:tcPr>
          <w:p>
            <w:pPr>
              <w:widowControl/>
              <w:adjustRightInd/>
              <w:snapToGrid/>
              <w:spacing w:line="240" w:lineRule="auto"/>
              <w:ind w:firstLine="0" w:firstLineChars="0"/>
              <w:jc w:val="center"/>
              <w:rPr>
                <w:rFonts w:ascii="仿宋" w:hAnsi="仿宋" w:cs="宋体"/>
                <w:kern w:val="0"/>
                <w:sz w:val="21"/>
                <w:szCs w:val="21"/>
              </w:rPr>
            </w:pPr>
            <w:r>
              <w:rPr>
                <w:rFonts w:hint="eastAsia" w:ascii="仿宋" w:hAnsi="仿宋" w:cs="宋体"/>
                <w:kern w:val="0"/>
                <w:sz w:val="21"/>
                <w:szCs w:val="21"/>
              </w:rPr>
              <w:t>沿河居民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24" w:type="pct"/>
            <w:shd w:val="clear" w:color="auto" w:fill="auto"/>
            <w:vAlign w:val="center"/>
          </w:tcPr>
          <w:p>
            <w:pPr>
              <w:widowControl/>
              <w:adjustRightInd/>
              <w:snapToGrid/>
              <w:spacing w:line="240" w:lineRule="auto"/>
              <w:ind w:firstLine="0" w:firstLineChars="0"/>
              <w:jc w:val="center"/>
              <w:rPr>
                <w:rFonts w:eastAsia="等线" w:cs="Times New Roman"/>
                <w:kern w:val="0"/>
                <w:sz w:val="21"/>
                <w:szCs w:val="21"/>
              </w:rPr>
            </w:pPr>
            <w:r>
              <w:rPr>
                <w:rFonts w:eastAsia="等线" w:cs="Times New Roman"/>
                <w:kern w:val="0"/>
                <w:sz w:val="21"/>
                <w:szCs w:val="21"/>
              </w:rPr>
              <w:t>12</w:t>
            </w:r>
          </w:p>
        </w:tc>
        <w:tc>
          <w:tcPr>
            <w:tcW w:w="514" w:type="pct"/>
            <w:shd w:val="clear" w:color="auto" w:fill="auto"/>
            <w:vAlign w:val="center"/>
          </w:tcPr>
          <w:p>
            <w:pPr>
              <w:widowControl/>
              <w:adjustRightInd/>
              <w:snapToGrid/>
              <w:spacing w:line="240" w:lineRule="auto"/>
              <w:ind w:firstLine="0" w:firstLineChars="0"/>
              <w:jc w:val="center"/>
              <w:rPr>
                <w:rFonts w:eastAsia="等线" w:cs="Times New Roman"/>
                <w:kern w:val="0"/>
                <w:sz w:val="21"/>
                <w:szCs w:val="21"/>
              </w:rPr>
            </w:pPr>
          </w:p>
        </w:tc>
        <w:tc>
          <w:tcPr>
            <w:tcW w:w="512" w:type="pct"/>
            <w:shd w:val="clear" w:color="auto" w:fill="auto"/>
            <w:vAlign w:val="center"/>
          </w:tcPr>
          <w:p>
            <w:pPr>
              <w:widowControl/>
              <w:adjustRightInd/>
              <w:snapToGrid/>
              <w:spacing w:line="240" w:lineRule="auto"/>
              <w:ind w:firstLine="0" w:firstLineChars="0"/>
              <w:jc w:val="center"/>
              <w:rPr>
                <w:rFonts w:ascii="仿宋" w:hAnsi="仿宋" w:cs="宋体"/>
                <w:kern w:val="0"/>
                <w:sz w:val="21"/>
                <w:szCs w:val="21"/>
              </w:rPr>
            </w:pPr>
            <w:r>
              <w:rPr>
                <w:rFonts w:hint="eastAsia" w:ascii="仿宋" w:hAnsi="仿宋" w:cs="宋体"/>
                <w:kern w:val="0"/>
                <w:sz w:val="21"/>
                <w:szCs w:val="21"/>
              </w:rPr>
              <w:t>男</w:t>
            </w:r>
          </w:p>
        </w:tc>
        <w:tc>
          <w:tcPr>
            <w:tcW w:w="769" w:type="pct"/>
            <w:shd w:val="clear" w:color="auto" w:fill="auto"/>
            <w:vAlign w:val="center"/>
          </w:tcPr>
          <w:p>
            <w:pPr>
              <w:widowControl/>
              <w:adjustRightInd/>
              <w:snapToGrid/>
              <w:spacing w:line="240" w:lineRule="auto"/>
              <w:ind w:firstLine="0" w:firstLineChars="0"/>
              <w:jc w:val="center"/>
              <w:rPr>
                <w:rFonts w:eastAsia="等线" w:cs="Times New Roman"/>
                <w:kern w:val="0"/>
                <w:sz w:val="21"/>
                <w:szCs w:val="21"/>
              </w:rPr>
            </w:pPr>
            <w:r>
              <w:rPr>
                <w:rFonts w:eastAsia="等线" w:cs="Times New Roman"/>
                <w:kern w:val="0"/>
                <w:sz w:val="21"/>
                <w:szCs w:val="21"/>
              </w:rPr>
              <w:t>50</w:t>
            </w:r>
            <w:r>
              <w:rPr>
                <w:rFonts w:hint="eastAsia" w:ascii="仿宋" w:hAnsi="仿宋" w:cs="Times New Roman"/>
                <w:kern w:val="0"/>
                <w:sz w:val="21"/>
                <w:szCs w:val="21"/>
              </w:rPr>
              <w:t>以上</w:t>
            </w:r>
          </w:p>
        </w:tc>
        <w:tc>
          <w:tcPr>
            <w:tcW w:w="683" w:type="pct"/>
            <w:shd w:val="clear" w:color="auto" w:fill="auto"/>
            <w:vAlign w:val="center"/>
          </w:tcPr>
          <w:p>
            <w:pPr>
              <w:widowControl/>
              <w:adjustRightInd/>
              <w:snapToGrid/>
              <w:spacing w:line="240" w:lineRule="auto"/>
              <w:ind w:firstLine="0" w:firstLineChars="0"/>
              <w:jc w:val="center"/>
              <w:rPr>
                <w:rFonts w:eastAsia="等线" w:cs="Times New Roman"/>
                <w:kern w:val="0"/>
                <w:sz w:val="21"/>
                <w:szCs w:val="21"/>
              </w:rPr>
            </w:pPr>
            <w:r>
              <w:rPr>
                <w:rFonts w:eastAsia="等线" w:cs="Times New Roman"/>
                <w:sz w:val="21"/>
                <w:szCs w:val="21"/>
              </w:rPr>
              <w:t>90</w:t>
            </w:r>
          </w:p>
        </w:tc>
        <w:tc>
          <w:tcPr>
            <w:tcW w:w="683" w:type="pct"/>
            <w:shd w:val="clear" w:color="auto" w:fill="auto"/>
            <w:vAlign w:val="center"/>
          </w:tcPr>
          <w:p>
            <w:pPr>
              <w:widowControl/>
              <w:adjustRightInd/>
              <w:snapToGrid/>
              <w:spacing w:line="240" w:lineRule="auto"/>
              <w:ind w:firstLine="0" w:firstLineChars="0"/>
              <w:jc w:val="center"/>
              <w:rPr>
                <w:rFonts w:ascii="仿宋" w:hAnsi="仿宋" w:cs="宋体"/>
                <w:kern w:val="0"/>
                <w:sz w:val="21"/>
                <w:szCs w:val="21"/>
              </w:rPr>
            </w:pPr>
            <w:r>
              <w:rPr>
                <w:rFonts w:hint="eastAsia" w:ascii="仿宋" w:hAnsi="仿宋" w:cs="宋体"/>
                <w:kern w:val="0"/>
                <w:sz w:val="21"/>
                <w:szCs w:val="21"/>
              </w:rPr>
              <w:t>盐河镇</w:t>
            </w:r>
          </w:p>
        </w:tc>
        <w:tc>
          <w:tcPr>
            <w:tcW w:w="1415" w:type="pct"/>
            <w:shd w:val="clear" w:color="auto" w:fill="auto"/>
            <w:vAlign w:val="center"/>
          </w:tcPr>
          <w:p>
            <w:pPr>
              <w:widowControl/>
              <w:adjustRightInd/>
              <w:snapToGrid/>
              <w:spacing w:line="240" w:lineRule="auto"/>
              <w:ind w:firstLine="0" w:firstLineChars="0"/>
              <w:jc w:val="center"/>
              <w:rPr>
                <w:rFonts w:ascii="仿宋" w:hAnsi="仿宋" w:cs="宋体"/>
                <w:kern w:val="0"/>
                <w:sz w:val="21"/>
                <w:szCs w:val="21"/>
              </w:rPr>
            </w:pPr>
            <w:r>
              <w:rPr>
                <w:rFonts w:hint="eastAsia" w:ascii="仿宋" w:hAnsi="仿宋" w:cs="宋体"/>
                <w:kern w:val="0"/>
                <w:sz w:val="21"/>
                <w:szCs w:val="21"/>
              </w:rPr>
              <w:t>沿河居民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24" w:type="pct"/>
            <w:shd w:val="clear" w:color="auto" w:fill="auto"/>
            <w:vAlign w:val="center"/>
          </w:tcPr>
          <w:p>
            <w:pPr>
              <w:widowControl/>
              <w:adjustRightInd/>
              <w:snapToGrid/>
              <w:spacing w:line="240" w:lineRule="auto"/>
              <w:ind w:firstLine="0" w:firstLineChars="0"/>
              <w:jc w:val="center"/>
              <w:rPr>
                <w:rFonts w:eastAsia="等线" w:cs="Times New Roman"/>
                <w:kern w:val="0"/>
                <w:sz w:val="21"/>
                <w:szCs w:val="21"/>
              </w:rPr>
            </w:pPr>
            <w:r>
              <w:rPr>
                <w:rFonts w:eastAsia="等线" w:cs="Times New Roman"/>
                <w:kern w:val="0"/>
                <w:sz w:val="21"/>
                <w:szCs w:val="21"/>
              </w:rPr>
              <w:t>13</w:t>
            </w:r>
          </w:p>
        </w:tc>
        <w:tc>
          <w:tcPr>
            <w:tcW w:w="514" w:type="pct"/>
            <w:shd w:val="clear" w:color="auto" w:fill="auto"/>
            <w:vAlign w:val="center"/>
          </w:tcPr>
          <w:p>
            <w:pPr>
              <w:widowControl/>
              <w:adjustRightInd/>
              <w:snapToGrid/>
              <w:spacing w:line="240" w:lineRule="auto"/>
              <w:ind w:firstLine="0" w:firstLineChars="0"/>
              <w:jc w:val="center"/>
              <w:rPr>
                <w:rFonts w:eastAsia="等线" w:cs="Times New Roman"/>
                <w:kern w:val="0"/>
                <w:sz w:val="21"/>
                <w:szCs w:val="21"/>
              </w:rPr>
            </w:pPr>
          </w:p>
        </w:tc>
        <w:tc>
          <w:tcPr>
            <w:tcW w:w="512" w:type="pct"/>
            <w:shd w:val="clear" w:color="auto" w:fill="auto"/>
            <w:vAlign w:val="center"/>
          </w:tcPr>
          <w:p>
            <w:pPr>
              <w:widowControl/>
              <w:adjustRightInd/>
              <w:snapToGrid/>
              <w:spacing w:line="240" w:lineRule="auto"/>
              <w:ind w:firstLine="0" w:firstLineChars="0"/>
              <w:jc w:val="center"/>
              <w:rPr>
                <w:rFonts w:ascii="仿宋" w:hAnsi="仿宋" w:cs="宋体"/>
                <w:kern w:val="0"/>
                <w:sz w:val="21"/>
                <w:szCs w:val="21"/>
              </w:rPr>
            </w:pPr>
            <w:r>
              <w:rPr>
                <w:rFonts w:hint="eastAsia" w:ascii="仿宋" w:hAnsi="仿宋" w:cs="宋体"/>
                <w:kern w:val="0"/>
                <w:sz w:val="21"/>
                <w:szCs w:val="21"/>
              </w:rPr>
              <w:t>女</w:t>
            </w:r>
          </w:p>
        </w:tc>
        <w:tc>
          <w:tcPr>
            <w:tcW w:w="769" w:type="pct"/>
            <w:shd w:val="clear" w:color="auto" w:fill="auto"/>
            <w:vAlign w:val="center"/>
          </w:tcPr>
          <w:p>
            <w:pPr>
              <w:widowControl/>
              <w:adjustRightInd/>
              <w:snapToGrid/>
              <w:spacing w:line="240" w:lineRule="auto"/>
              <w:ind w:firstLine="0" w:firstLineChars="0"/>
              <w:jc w:val="center"/>
              <w:rPr>
                <w:rFonts w:eastAsia="等线" w:cs="Times New Roman"/>
                <w:kern w:val="0"/>
                <w:sz w:val="21"/>
                <w:szCs w:val="21"/>
              </w:rPr>
            </w:pPr>
            <w:r>
              <w:rPr>
                <w:rFonts w:eastAsia="等线" w:cs="Times New Roman"/>
                <w:kern w:val="0"/>
                <w:sz w:val="21"/>
                <w:szCs w:val="21"/>
              </w:rPr>
              <w:t>30</w:t>
            </w:r>
            <w:r>
              <w:rPr>
                <w:rFonts w:hint="eastAsia" w:ascii="仿宋" w:hAnsi="仿宋" w:cs="Times New Roman"/>
                <w:kern w:val="0"/>
                <w:sz w:val="21"/>
                <w:szCs w:val="21"/>
              </w:rPr>
              <w:t>～</w:t>
            </w:r>
            <w:r>
              <w:rPr>
                <w:rFonts w:eastAsia="等线" w:cs="Times New Roman"/>
                <w:kern w:val="0"/>
                <w:sz w:val="21"/>
                <w:szCs w:val="21"/>
              </w:rPr>
              <w:t>50</w:t>
            </w:r>
          </w:p>
        </w:tc>
        <w:tc>
          <w:tcPr>
            <w:tcW w:w="683" w:type="pct"/>
            <w:shd w:val="clear" w:color="auto" w:fill="auto"/>
            <w:vAlign w:val="center"/>
          </w:tcPr>
          <w:p>
            <w:pPr>
              <w:widowControl/>
              <w:adjustRightInd/>
              <w:snapToGrid/>
              <w:spacing w:line="240" w:lineRule="auto"/>
              <w:ind w:firstLine="0" w:firstLineChars="0"/>
              <w:jc w:val="center"/>
              <w:rPr>
                <w:rFonts w:eastAsia="等线" w:cs="Times New Roman"/>
                <w:kern w:val="0"/>
                <w:sz w:val="21"/>
                <w:szCs w:val="21"/>
              </w:rPr>
            </w:pPr>
            <w:r>
              <w:rPr>
                <w:rFonts w:eastAsia="等线" w:cs="Times New Roman"/>
                <w:sz w:val="21"/>
                <w:szCs w:val="21"/>
              </w:rPr>
              <w:t>90</w:t>
            </w:r>
          </w:p>
        </w:tc>
        <w:tc>
          <w:tcPr>
            <w:tcW w:w="683" w:type="pct"/>
            <w:shd w:val="clear" w:color="auto" w:fill="auto"/>
            <w:vAlign w:val="center"/>
          </w:tcPr>
          <w:p>
            <w:pPr>
              <w:widowControl/>
              <w:adjustRightInd/>
              <w:snapToGrid/>
              <w:spacing w:line="240" w:lineRule="auto"/>
              <w:ind w:firstLine="0" w:firstLineChars="0"/>
              <w:jc w:val="center"/>
              <w:rPr>
                <w:rFonts w:ascii="仿宋" w:hAnsi="仿宋" w:cs="宋体"/>
                <w:kern w:val="0"/>
                <w:sz w:val="21"/>
                <w:szCs w:val="21"/>
              </w:rPr>
            </w:pPr>
            <w:r>
              <w:rPr>
                <w:rFonts w:hint="eastAsia" w:ascii="仿宋" w:hAnsi="仿宋" w:cs="宋体"/>
                <w:kern w:val="0"/>
                <w:sz w:val="21"/>
                <w:szCs w:val="21"/>
              </w:rPr>
              <w:t>盐河镇</w:t>
            </w:r>
          </w:p>
        </w:tc>
        <w:tc>
          <w:tcPr>
            <w:tcW w:w="1415" w:type="pct"/>
            <w:shd w:val="clear" w:color="auto" w:fill="auto"/>
            <w:vAlign w:val="center"/>
          </w:tcPr>
          <w:p>
            <w:pPr>
              <w:widowControl/>
              <w:adjustRightInd/>
              <w:snapToGrid/>
              <w:spacing w:line="240" w:lineRule="auto"/>
              <w:ind w:firstLine="0" w:firstLineChars="0"/>
              <w:jc w:val="center"/>
              <w:rPr>
                <w:rFonts w:ascii="仿宋" w:hAnsi="仿宋" w:cs="宋体"/>
                <w:kern w:val="0"/>
                <w:sz w:val="21"/>
                <w:szCs w:val="21"/>
              </w:rPr>
            </w:pPr>
            <w:r>
              <w:rPr>
                <w:rFonts w:hint="eastAsia" w:ascii="仿宋" w:hAnsi="仿宋" w:cs="宋体"/>
                <w:kern w:val="0"/>
                <w:sz w:val="21"/>
                <w:szCs w:val="21"/>
              </w:rPr>
              <w:t>沿河居民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24" w:type="pct"/>
            <w:shd w:val="clear" w:color="auto" w:fill="auto"/>
            <w:vAlign w:val="center"/>
          </w:tcPr>
          <w:p>
            <w:pPr>
              <w:widowControl/>
              <w:adjustRightInd/>
              <w:snapToGrid/>
              <w:spacing w:line="240" w:lineRule="auto"/>
              <w:ind w:firstLine="0" w:firstLineChars="0"/>
              <w:jc w:val="center"/>
              <w:rPr>
                <w:rFonts w:eastAsia="等线" w:cs="Times New Roman"/>
                <w:kern w:val="0"/>
                <w:sz w:val="21"/>
                <w:szCs w:val="21"/>
              </w:rPr>
            </w:pPr>
            <w:r>
              <w:rPr>
                <w:rFonts w:eastAsia="等线" w:cs="Times New Roman"/>
                <w:kern w:val="0"/>
                <w:sz w:val="21"/>
                <w:szCs w:val="21"/>
              </w:rPr>
              <w:t>14</w:t>
            </w:r>
          </w:p>
        </w:tc>
        <w:tc>
          <w:tcPr>
            <w:tcW w:w="514" w:type="pct"/>
            <w:shd w:val="clear" w:color="auto" w:fill="auto"/>
            <w:vAlign w:val="center"/>
          </w:tcPr>
          <w:p>
            <w:pPr>
              <w:widowControl/>
              <w:adjustRightInd/>
              <w:snapToGrid/>
              <w:spacing w:line="240" w:lineRule="auto"/>
              <w:ind w:firstLine="0" w:firstLineChars="0"/>
              <w:jc w:val="center"/>
              <w:rPr>
                <w:rFonts w:eastAsia="等线" w:cs="Times New Roman"/>
                <w:kern w:val="0"/>
                <w:sz w:val="21"/>
                <w:szCs w:val="21"/>
              </w:rPr>
            </w:pPr>
          </w:p>
        </w:tc>
        <w:tc>
          <w:tcPr>
            <w:tcW w:w="512" w:type="pct"/>
            <w:shd w:val="clear" w:color="auto" w:fill="auto"/>
            <w:vAlign w:val="center"/>
          </w:tcPr>
          <w:p>
            <w:pPr>
              <w:widowControl/>
              <w:adjustRightInd/>
              <w:snapToGrid/>
              <w:spacing w:line="240" w:lineRule="auto"/>
              <w:ind w:firstLine="0" w:firstLineChars="0"/>
              <w:jc w:val="center"/>
              <w:rPr>
                <w:rFonts w:ascii="仿宋" w:hAnsi="仿宋" w:cs="宋体"/>
                <w:kern w:val="0"/>
                <w:sz w:val="21"/>
                <w:szCs w:val="21"/>
              </w:rPr>
            </w:pPr>
            <w:r>
              <w:rPr>
                <w:rFonts w:hint="eastAsia" w:ascii="仿宋" w:hAnsi="仿宋" w:cs="宋体"/>
                <w:kern w:val="0"/>
                <w:sz w:val="21"/>
                <w:szCs w:val="21"/>
              </w:rPr>
              <w:t>女</w:t>
            </w:r>
          </w:p>
        </w:tc>
        <w:tc>
          <w:tcPr>
            <w:tcW w:w="769" w:type="pct"/>
            <w:shd w:val="clear" w:color="auto" w:fill="auto"/>
            <w:vAlign w:val="center"/>
          </w:tcPr>
          <w:p>
            <w:pPr>
              <w:widowControl/>
              <w:adjustRightInd/>
              <w:snapToGrid/>
              <w:spacing w:line="240" w:lineRule="auto"/>
              <w:ind w:firstLine="0" w:firstLineChars="0"/>
              <w:jc w:val="center"/>
              <w:rPr>
                <w:rFonts w:eastAsia="等线" w:cs="Times New Roman"/>
                <w:kern w:val="0"/>
                <w:sz w:val="21"/>
                <w:szCs w:val="21"/>
              </w:rPr>
            </w:pPr>
            <w:r>
              <w:rPr>
                <w:rFonts w:eastAsia="等线" w:cs="Times New Roman"/>
                <w:kern w:val="0"/>
                <w:sz w:val="21"/>
                <w:szCs w:val="21"/>
              </w:rPr>
              <w:t>15</w:t>
            </w:r>
            <w:r>
              <w:rPr>
                <w:rFonts w:hint="eastAsia" w:ascii="仿宋" w:hAnsi="仿宋" w:cs="Times New Roman"/>
                <w:kern w:val="0"/>
                <w:sz w:val="21"/>
                <w:szCs w:val="21"/>
              </w:rPr>
              <w:t>～</w:t>
            </w:r>
            <w:r>
              <w:rPr>
                <w:rFonts w:eastAsia="等线" w:cs="Times New Roman"/>
                <w:kern w:val="0"/>
                <w:sz w:val="21"/>
                <w:szCs w:val="21"/>
              </w:rPr>
              <w:t>30</w:t>
            </w:r>
          </w:p>
        </w:tc>
        <w:tc>
          <w:tcPr>
            <w:tcW w:w="683" w:type="pct"/>
            <w:shd w:val="clear" w:color="auto" w:fill="auto"/>
            <w:vAlign w:val="center"/>
          </w:tcPr>
          <w:p>
            <w:pPr>
              <w:widowControl/>
              <w:adjustRightInd/>
              <w:snapToGrid/>
              <w:spacing w:line="240" w:lineRule="auto"/>
              <w:ind w:firstLine="0" w:firstLineChars="0"/>
              <w:jc w:val="center"/>
              <w:rPr>
                <w:rFonts w:eastAsia="等线" w:cs="Times New Roman"/>
                <w:kern w:val="0"/>
                <w:sz w:val="21"/>
                <w:szCs w:val="21"/>
              </w:rPr>
            </w:pPr>
            <w:r>
              <w:rPr>
                <w:rFonts w:eastAsia="等线" w:cs="Times New Roman"/>
                <w:sz w:val="21"/>
                <w:szCs w:val="21"/>
              </w:rPr>
              <w:t>70</w:t>
            </w:r>
          </w:p>
        </w:tc>
        <w:tc>
          <w:tcPr>
            <w:tcW w:w="683" w:type="pct"/>
            <w:shd w:val="clear" w:color="auto" w:fill="auto"/>
            <w:vAlign w:val="center"/>
          </w:tcPr>
          <w:p>
            <w:pPr>
              <w:widowControl/>
              <w:adjustRightInd/>
              <w:snapToGrid/>
              <w:spacing w:line="240" w:lineRule="auto"/>
              <w:ind w:firstLine="0" w:firstLineChars="0"/>
              <w:jc w:val="center"/>
              <w:rPr>
                <w:rFonts w:ascii="仿宋" w:hAnsi="仿宋" w:cs="宋体"/>
                <w:kern w:val="0"/>
                <w:sz w:val="21"/>
                <w:szCs w:val="21"/>
              </w:rPr>
            </w:pPr>
            <w:r>
              <w:rPr>
                <w:rFonts w:hint="eastAsia" w:ascii="仿宋" w:hAnsi="仿宋" w:cs="宋体"/>
                <w:kern w:val="0"/>
                <w:sz w:val="21"/>
                <w:szCs w:val="21"/>
              </w:rPr>
              <w:t>国华镇</w:t>
            </w:r>
          </w:p>
        </w:tc>
        <w:tc>
          <w:tcPr>
            <w:tcW w:w="1415" w:type="pct"/>
            <w:shd w:val="clear" w:color="auto" w:fill="auto"/>
            <w:vAlign w:val="center"/>
          </w:tcPr>
          <w:p>
            <w:pPr>
              <w:widowControl/>
              <w:adjustRightInd/>
              <w:snapToGrid/>
              <w:spacing w:line="240" w:lineRule="auto"/>
              <w:ind w:firstLine="0" w:firstLineChars="0"/>
              <w:jc w:val="center"/>
              <w:rPr>
                <w:rFonts w:ascii="仿宋" w:hAnsi="仿宋" w:cs="宋体"/>
                <w:kern w:val="0"/>
                <w:sz w:val="21"/>
                <w:szCs w:val="21"/>
              </w:rPr>
            </w:pPr>
            <w:r>
              <w:rPr>
                <w:rFonts w:hint="eastAsia" w:ascii="仿宋" w:hAnsi="仿宋" w:cs="宋体"/>
                <w:kern w:val="0"/>
                <w:sz w:val="21"/>
                <w:szCs w:val="21"/>
              </w:rPr>
              <w:t>沿河居民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24" w:type="pct"/>
            <w:shd w:val="clear" w:color="auto" w:fill="auto"/>
            <w:vAlign w:val="center"/>
          </w:tcPr>
          <w:p>
            <w:pPr>
              <w:widowControl/>
              <w:adjustRightInd/>
              <w:snapToGrid/>
              <w:spacing w:line="240" w:lineRule="auto"/>
              <w:ind w:firstLine="0" w:firstLineChars="0"/>
              <w:jc w:val="center"/>
              <w:rPr>
                <w:rFonts w:eastAsia="等线" w:cs="Times New Roman"/>
                <w:kern w:val="0"/>
                <w:sz w:val="21"/>
                <w:szCs w:val="21"/>
              </w:rPr>
            </w:pPr>
            <w:r>
              <w:rPr>
                <w:rFonts w:eastAsia="等线" w:cs="Times New Roman"/>
                <w:kern w:val="0"/>
                <w:sz w:val="21"/>
                <w:szCs w:val="21"/>
              </w:rPr>
              <w:t>15</w:t>
            </w:r>
          </w:p>
        </w:tc>
        <w:tc>
          <w:tcPr>
            <w:tcW w:w="514" w:type="pct"/>
            <w:shd w:val="clear" w:color="auto" w:fill="auto"/>
            <w:vAlign w:val="center"/>
          </w:tcPr>
          <w:p>
            <w:pPr>
              <w:widowControl/>
              <w:adjustRightInd/>
              <w:snapToGrid/>
              <w:spacing w:line="240" w:lineRule="auto"/>
              <w:ind w:firstLine="0" w:firstLineChars="0"/>
              <w:jc w:val="center"/>
              <w:rPr>
                <w:rFonts w:eastAsia="等线" w:cs="Times New Roman"/>
                <w:kern w:val="0"/>
                <w:sz w:val="21"/>
                <w:szCs w:val="21"/>
              </w:rPr>
            </w:pPr>
          </w:p>
        </w:tc>
        <w:tc>
          <w:tcPr>
            <w:tcW w:w="512" w:type="pct"/>
            <w:shd w:val="clear" w:color="auto" w:fill="auto"/>
            <w:vAlign w:val="center"/>
          </w:tcPr>
          <w:p>
            <w:pPr>
              <w:widowControl/>
              <w:adjustRightInd/>
              <w:snapToGrid/>
              <w:spacing w:line="240" w:lineRule="auto"/>
              <w:ind w:firstLine="0" w:firstLineChars="0"/>
              <w:jc w:val="center"/>
              <w:rPr>
                <w:rFonts w:ascii="仿宋" w:hAnsi="仿宋" w:cs="宋体"/>
                <w:kern w:val="0"/>
                <w:sz w:val="21"/>
                <w:szCs w:val="21"/>
              </w:rPr>
            </w:pPr>
            <w:r>
              <w:rPr>
                <w:rFonts w:hint="eastAsia" w:ascii="仿宋" w:hAnsi="仿宋" w:cs="宋体"/>
                <w:kern w:val="0"/>
                <w:sz w:val="21"/>
                <w:szCs w:val="21"/>
              </w:rPr>
              <w:t>女</w:t>
            </w:r>
          </w:p>
        </w:tc>
        <w:tc>
          <w:tcPr>
            <w:tcW w:w="769" w:type="pct"/>
            <w:shd w:val="clear" w:color="auto" w:fill="auto"/>
            <w:vAlign w:val="center"/>
          </w:tcPr>
          <w:p>
            <w:pPr>
              <w:widowControl/>
              <w:adjustRightInd/>
              <w:snapToGrid/>
              <w:spacing w:line="240" w:lineRule="auto"/>
              <w:ind w:firstLine="0" w:firstLineChars="0"/>
              <w:jc w:val="center"/>
              <w:rPr>
                <w:rFonts w:eastAsia="等线" w:cs="Times New Roman"/>
                <w:kern w:val="0"/>
                <w:sz w:val="21"/>
                <w:szCs w:val="21"/>
              </w:rPr>
            </w:pPr>
            <w:r>
              <w:rPr>
                <w:rFonts w:eastAsia="等线" w:cs="Times New Roman"/>
                <w:kern w:val="0"/>
                <w:sz w:val="21"/>
                <w:szCs w:val="21"/>
              </w:rPr>
              <w:t>30</w:t>
            </w:r>
            <w:r>
              <w:rPr>
                <w:rFonts w:hint="eastAsia" w:ascii="仿宋" w:hAnsi="仿宋" w:cs="Times New Roman"/>
                <w:kern w:val="0"/>
                <w:sz w:val="21"/>
                <w:szCs w:val="21"/>
              </w:rPr>
              <w:t>～</w:t>
            </w:r>
            <w:r>
              <w:rPr>
                <w:rFonts w:eastAsia="等线" w:cs="Times New Roman"/>
                <w:kern w:val="0"/>
                <w:sz w:val="21"/>
                <w:szCs w:val="21"/>
              </w:rPr>
              <w:t>50</w:t>
            </w:r>
          </w:p>
        </w:tc>
        <w:tc>
          <w:tcPr>
            <w:tcW w:w="683" w:type="pct"/>
            <w:shd w:val="clear" w:color="auto" w:fill="auto"/>
            <w:vAlign w:val="center"/>
          </w:tcPr>
          <w:p>
            <w:pPr>
              <w:widowControl/>
              <w:adjustRightInd/>
              <w:snapToGrid/>
              <w:spacing w:line="240" w:lineRule="auto"/>
              <w:ind w:firstLine="0" w:firstLineChars="0"/>
              <w:jc w:val="center"/>
              <w:rPr>
                <w:rFonts w:eastAsia="等线" w:cs="Times New Roman"/>
                <w:kern w:val="0"/>
                <w:sz w:val="21"/>
                <w:szCs w:val="21"/>
              </w:rPr>
            </w:pPr>
            <w:r>
              <w:rPr>
                <w:rFonts w:eastAsia="等线" w:cs="Times New Roman"/>
                <w:sz w:val="21"/>
                <w:szCs w:val="21"/>
              </w:rPr>
              <w:t>80</w:t>
            </w:r>
          </w:p>
        </w:tc>
        <w:tc>
          <w:tcPr>
            <w:tcW w:w="683" w:type="pct"/>
            <w:shd w:val="clear" w:color="auto" w:fill="auto"/>
            <w:vAlign w:val="center"/>
          </w:tcPr>
          <w:p>
            <w:pPr>
              <w:widowControl/>
              <w:adjustRightInd/>
              <w:snapToGrid/>
              <w:spacing w:line="240" w:lineRule="auto"/>
              <w:ind w:firstLine="0" w:firstLineChars="0"/>
              <w:jc w:val="center"/>
              <w:rPr>
                <w:rFonts w:ascii="仿宋" w:hAnsi="仿宋" w:cs="宋体"/>
                <w:kern w:val="0"/>
                <w:sz w:val="21"/>
                <w:szCs w:val="21"/>
              </w:rPr>
            </w:pPr>
            <w:r>
              <w:rPr>
                <w:rFonts w:hint="eastAsia" w:ascii="仿宋" w:hAnsi="仿宋" w:cs="宋体"/>
                <w:kern w:val="0"/>
                <w:sz w:val="21"/>
                <w:szCs w:val="21"/>
              </w:rPr>
              <w:t>国华镇</w:t>
            </w:r>
          </w:p>
        </w:tc>
        <w:tc>
          <w:tcPr>
            <w:tcW w:w="1415" w:type="pct"/>
            <w:shd w:val="clear" w:color="auto" w:fill="auto"/>
            <w:vAlign w:val="center"/>
          </w:tcPr>
          <w:p>
            <w:pPr>
              <w:widowControl/>
              <w:adjustRightInd/>
              <w:snapToGrid/>
              <w:spacing w:line="240" w:lineRule="auto"/>
              <w:ind w:firstLine="0" w:firstLineChars="0"/>
              <w:jc w:val="center"/>
              <w:rPr>
                <w:rFonts w:ascii="仿宋" w:hAnsi="仿宋" w:cs="宋体"/>
                <w:kern w:val="0"/>
                <w:sz w:val="21"/>
                <w:szCs w:val="21"/>
              </w:rPr>
            </w:pPr>
            <w:r>
              <w:rPr>
                <w:rFonts w:hint="eastAsia" w:ascii="仿宋" w:hAnsi="仿宋" w:cs="宋体"/>
                <w:kern w:val="0"/>
                <w:sz w:val="21"/>
                <w:szCs w:val="21"/>
              </w:rPr>
              <w:t>沿河居民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24" w:type="pct"/>
            <w:shd w:val="clear" w:color="auto" w:fill="auto"/>
            <w:vAlign w:val="center"/>
          </w:tcPr>
          <w:p>
            <w:pPr>
              <w:widowControl/>
              <w:adjustRightInd/>
              <w:snapToGrid/>
              <w:spacing w:line="240" w:lineRule="auto"/>
              <w:ind w:firstLine="0" w:firstLineChars="0"/>
              <w:jc w:val="center"/>
              <w:rPr>
                <w:rFonts w:eastAsia="等线" w:cs="Times New Roman"/>
                <w:kern w:val="0"/>
                <w:sz w:val="21"/>
                <w:szCs w:val="21"/>
              </w:rPr>
            </w:pPr>
            <w:r>
              <w:rPr>
                <w:rFonts w:eastAsia="等线" w:cs="Times New Roman"/>
                <w:kern w:val="0"/>
                <w:sz w:val="21"/>
                <w:szCs w:val="21"/>
              </w:rPr>
              <w:t>16</w:t>
            </w:r>
          </w:p>
        </w:tc>
        <w:tc>
          <w:tcPr>
            <w:tcW w:w="514" w:type="pct"/>
            <w:shd w:val="clear" w:color="auto" w:fill="auto"/>
            <w:vAlign w:val="center"/>
          </w:tcPr>
          <w:p>
            <w:pPr>
              <w:widowControl/>
              <w:adjustRightInd/>
              <w:snapToGrid/>
              <w:spacing w:line="240" w:lineRule="auto"/>
              <w:ind w:firstLine="0" w:firstLineChars="0"/>
              <w:jc w:val="center"/>
              <w:rPr>
                <w:rFonts w:eastAsia="等线" w:cs="Times New Roman"/>
                <w:kern w:val="0"/>
                <w:sz w:val="21"/>
                <w:szCs w:val="21"/>
              </w:rPr>
            </w:pPr>
          </w:p>
        </w:tc>
        <w:tc>
          <w:tcPr>
            <w:tcW w:w="512" w:type="pct"/>
            <w:shd w:val="clear" w:color="auto" w:fill="auto"/>
            <w:vAlign w:val="center"/>
          </w:tcPr>
          <w:p>
            <w:pPr>
              <w:widowControl/>
              <w:adjustRightInd/>
              <w:snapToGrid/>
              <w:spacing w:line="240" w:lineRule="auto"/>
              <w:ind w:firstLine="0" w:firstLineChars="0"/>
              <w:jc w:val="center"/>
              <w:rPr>
                <w:rFonts w:ascii="仿宋" w:hAnsi="仿宋" w:cs="宋体"/>
                <w:kern w:val="0"/>
                <w:sz w:val="21"/>
                <w:szCs w:val="21"/>
              </w:rPr>
            </w:pPr>
            <w:r>
              <w:rPr>
                <w:rFonts w:hint="eastAsia" w:ascii="仿宋" w:hAnsi="仿宋" w:cs="宋体"/>
                <w:kern w:val="0"/>
                <w:sz w:val="21"/>
                <w:szCs w:val="21"/>
              </w:rPr>
              <w:t>男</w:t>
            </w:r>
          </w:p>
        </w:tc>
        <w:tc>
          <w:tcPr>
            <w:tcW w:w="769" w:type="pct"/>
            <w:shd w:val="clear" w:color="auto" w:fill="auto"/>
            <w:vAlign w:val="center"/>
          </w:tcPr>
          <w:p>
            <w:pPr>
              <w:widowControl/>
              <w:adjustRightInd/>
              <w:snapToGrid/>
              <w:spacing w:line="240" w:lineRule="auto"/>
              <w:ind w:firstLine="0" w:firstLineChars="0"/>
              <w:jc w:val="center"/>
              <w:rPr>
                <w:rFonts w:eastAsia="等线" w:cs="Times New Roman"/>
                <w:kern w:val="0"/>
                <w:sz w:val="21"/>
                <w:szCs w:val="21"/>
              </w:rPr>
            </w:pPr>
            <w:r>
              <w:rPr>
                <w:rFonts w:eastAsia="等线" w:cs="Times New Roman"/>
                <w:kern w:val="0"/>
                <w:sz w:val="21"/>
                <w:szCs w:val="21"/>
              </w:rPr>
              <w:t>15</w:t>
            </w:r>
            <w:r>
              <w:rPr>
                <w:rFonts w:hint="eastAsia" w:ascii="仿宋" w:hAnsi="仿宋" w:cs="Times New Roman"/>
                <w:kern w:val="0"/>
                <w:sz w:val="21"/>
                <w:szCs w:val="21"/>
              </w:rPr>
              <w:t>～</w:t>
            </w:r>
            <w:r>
              <w:rPr>
                <w:rFonts w:eastAsia="等线" w:cs="Times New Roman"/>
                <w:kern w:val="0"/>
                <w:sz w:val="21"/>
                <w:szCs w:val="21"/>
              </w:rPr>
              <w:t>30</w:t>
            </w:r>
          </w:p>
        </w:tc>
        <w:tc>
          <w:tcPr>
            <w:tcW w:w="683" w:type="pct"/>
            <w:shd w:val="clear" w:color="auto" w:fill="auto"/>
            <w:vAlign w:val="center"/>
          </w:tcPr>
          <w:p>
            <w:pPr>
              <w:widowControl/>
              <w:adjustRightInd/>
              <w:snapToGrid/>
              <w:spacing w:line="240" w:lineRule="auto"/>
              <w:ind w:firstLine="0" w:firstLineChars="0"/>
              <w:jc w:val="center"/>
              <w:rPr>
                <w:rFonts w:eastAsia="等线" w:cs="Times New Roman"/>
                <w:kern w:val="0"/>
                <w:sz w:val="21"/>
                <w:szCs w:val="21"/>
              </w:rPr>
            </w:pPr>
            <w:r>
              <w:rPr>
                <w:rFonts w:eastAsia="等线" w:cs="Times New Roman"/>
                <w:sz w:val="21"/>
                <w:szCs w:val="21"/>
              </w:rPr>
              <w:t>80</w:t>
            </w:r>
          </w:p>
        </w:tc>
        <w:tc>
          <w:tcPr>
            <w:tcW w:w="683" w:type="pct"/>
            <w:shd w:val="clear" w:color="auto" w:fill="auto"/>
            <w:vAlign w:val="center"/>
          </w:tcPr>
          <w:p>
            <w:pPr>
              <w:widowControl/>
              <w:adjustRightInd/>
              <w:snapToGrid/>
              <w:spacing w:line="240" w:lineRule="auto"/>
              <w:ind w:firstLine="0" w:firstLineChars="0"/>
              <w:jc w:val="center"/>
              <w:rPr>
                <w:rFonts w:ascii="仿宋" w:hAnsi="仿宋" w:cs="宋体"/>
                <w:kern w:val="0"/>
                <w:sz w:val="21"/>
                <w:szCs w:val="21"/>
              </w:rPr>
            </w:pPr>
            <w:r>
              <w:rPr>
                <w:rFonts w:hint="eastAsia" w:ascii="仿宋" w:hAnsi="仿宋" w:cs="宋体"/>
                <w:kern w:val="0"/>
                <w:sz w:val="21"/>
                <w:szCs w:val="21"/>
              </w:rPr>
              <w:t>盐河镇</w:t>
            </w:r>
          </w:p>
        </w:tc>
        <w:tc>
          <w:tcPr>
            <w:tcW w:w="1415" w:type="pct"/>
            <w:shd w:val="clear" w:color="auto" w:fill="auto"/>
            <w:vAlign w:val="center"/>
          </w:tcPr>
          <w:p>
            <w:pPr>
              <w:widowControl/>
              <w:adjustRightInd/>
              <w:snapToGrid/>
              <w:spacing w:line="240" w:lineRule="auto"/>
              <w:ind w:firstLine="0" w:firstLineChars="0"/>
              <w:jc w:val="center"/>
              <w:rPr>
                <w:rFonts w:ascii="仿宋" w:hAnsi="仿宋" w:cs="宋体"/>
                <w:kern w:val="0"/>
                <w:sz w:val="21"/>
                <w:szCs w:val="21"/>
              </w:rPr>
            </w:pPr>
            <w:r>
              <w:rPr>
                <w:rFonts w:hint="eastAsia" w:ascii="仿宋" w:hAnsi="仿宋" w:cs="宋体"/>
                <w:kern w:val="0"/>
                <w:sz w:val="21"/>
                <w:szCs w:val="21"/>
              </w:rPr>
              <w:t>沿河居民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24" w:type="pct"/>
            <w:shd w:val="clear" w:color="auto" w:fill="auto"/>
            <w:vAlign w:val="center"/>
          </w:tcPr>
          <w:p>
            <w:pPr>
              <w:widowControl/>
              <w:adjustRightInd/>
              <w:snapToGrid/>
              <w:spacing w:line="240" w:lineRule="auto"/>
              <w:ind w:firstLine="0" w:firstLineChars="0"/>
              <w:jc w:val="center"/>
              <w:rPr>
                <w:rFonts w:eastAsia="等线" w:cs="Times New Roman"/>
                <w:kern w:val="0"/>
                <w:sz w:val="21"/>
                <w:szCs w:val="21"/>
              </w:rPr>
            </w:pPr>
            <w:r>
              <w:rPr>
                <w:rFonts w:eastAsia="等线" w:cs="Times New Roman"/>
                <w:kern w:val="0"/>
                <w:sz w:val="21"/>
                <w:szCs w:val="21"/>
              </w:rPr>
              <w:t>17</w:t>
            </w:r>
          </w:p>
        </w:tc>
        <w:tc>
          <w:tcPr>
            <w:tcW w:w="514" w:type="pct"/>
            <w:shd w:val="clear" w:color="auto" w:fill="auto"/>
            <w:vAlign w:val="center"/>
          </w:tcPr>
          <w:p>
            <w:pPr>
              <w:widowControl/>
              <w:adjustRightInd/>
              <w:snapToGrid/>
              <w:spacing w:line="240" w:lineRule="auto"/>
              <w:ind w:firstLine="0" w:firstLineChars="0"/>
              <w:jc w:val="center"/>
              <w:rPr>
                <w:rFonts w:ascii="仿宋" w:hAnsi="仿宋" w:cs="宋体"/>
                <w:kern w:val="0"/>
                <w:sz w:val="21"/>
                <w:szCs w:val="21"/>
              </w:rPr>
            </w:pPr>
            <w:r>
              <w:rPr>
                <w:rFonts w:hint="eastAsia" w:ascii="仿宋" w:hAnsi="仿宋" w:cs="宋体"/>
                <w:kern w:val="0"/>
                <w:sz w:val="21"/>
                <w:szCs w:val="21"/>
              </w:rPr>
              <w:t>潘清龙</w:t>
            </w:r>
          </w:p>
        </w:tc>
        <w:tc>
          <w:tcPr>
            <w:tcW w:w="512" w:type="pct"/>
            <w:shd w:val="clear" w:color="auto" w:fill="auto"/>
            <w:vAlign w:val="center"/>
          </w:tcPr>
          <w:p>
            <w:pPr>
              <w:widowControl/>
              <w:adjustRightInd/>
              <w:snapToGrid/>
              <w:spacing w:line="240" w:lineRule="auto"/>
              <w:ind w:firstLine="0" w:firstLineChars="0"/>
              <w:jc w:val="center"/>
              <w:rPr>
                <w:rFonts w:ascii="仿宋" w:hAnsi="仿宋" w:cs="宋体"/>
                <w:kern w:val="0"/>
                <w:sz w:val="21"/>
                <w:szCs w:val="21"/>
              </w:rPr>
            </w:pPr>
            <w:r>
              <w:rPr>
                <w:rFonts w:hint="eastAsia" w:ascii="仿宋" w:hAnsi="仿宋" w:cs="宋体"/>
                <w:kern w:val="0"/>
                <w:sz w:val="21"/>
                <w:szCs w:val="21"/>
              </w:rPr>
              <w:t>男</w:t>
            </w:r>
          </w:p>
        </w:tc>
        <w:tc>
          <w:tcPr>
            <w:tcW w:w="769" w:type="pct"/>
            <w:shd w:val="clear" w:color="auto" w:fill="auto"/>
            <w:vAlign w:val="center"/>
          </w:tcPr>
          <w:p>
            <w:pPr>
              <w:widowControl/>
              <w:adjustRightInd/>
              <w:snapToGrid/>
              <w:spacing w:line="240" w:lineRule="auto"/>
              <w:ind w:firstLine="0" w:firstLineChars="0"/>
              <w:jc w:val="center"/>
              <w:rPr>
                <w:rFonts w:eastAsia="等线" w:cs="Times New Roman"/>
                <w:kern w:val="0"/>
                <w:sz w:val="21"/>
                <w:szCs w:val="21"/>
              </w:rPr>
            </w:pPr>
            <w:r>
              <w:rPr>
                <w:rFonts w:eastAsia="等线" w:cs="Times New Roman"/>
                <w:kern w:val="0"/>
                <w:sz w:val="21"/>
                <w:szCs w:val="21"/>
              </w:rPr>
              <w:t>15</w:t>
            </w:r>
            <w:r>
              <w:rPr>
                <w:rFonts w:hint="eastAsia" w:ascii="仿宋" w:hAnsi="仿宋" w:cs="Times New Roman"/>
                <w:kern w:val="0"/>
                <w:sz w:val="21"/>
                <w:szCs w:val="21"/>
              </w:rPr>
              <w:t>～</w:t>
            </w:r>
            <w:r>
              <w:rPr>
                <w:rFonts w:eastAsia="等线" w:cs="Times New Roman"/>
                <w:kern w:val="0"/>
                <w:sz w:val="21"/>
                <w:szCs w:val="21"/>
              </w:rPr>
              <w:t>30</w:t>
            </w:r>
          </w:p>
        </w:tc>
        <w:tc>
          <w:tcPr>
            <w:tcW w:w="683" w:type="pct"/>
            <w:shd w:val="clear" w:color="auto" w:fill="auto"/>
            <w:vAlign w:val="center"/>
          </w:tcPr>
          <w:p>
            <w:pPr>
              <w:widowControl/>
              <w:adjustRightInd/>
              <w:snapToGrid/>
              <w:spacing w:line="240" w:lineRule="auto"/>
              <w:ind w:firstLine="0" w:firstLineChars="0"/>
              <w:jc w:val="center"/>
              <w:rPr>
                <w:rFonts w:eastAsia="等线" w:cs="Times New Roman"/>
                <w:kern w:val="0"/>
                <w:sz w:val="21"/>
                <w:szCs w:val="21"/>
              </w:rPr>
            </w:pPr>
            <w:r>
              <w:rPr>
                <w:rFonts w:eastAsia="等线" w:cs="Times New Roman"/>
                <w:sz w:val="21"/>
                <w:szCs w:val="21"/>
              </w:rPr>
              <w:t>90</w:t>
            </w:r>
          </w:p>
        </w:tc>
        <w:tc>
          <w:tcPr>
            <w:tcW w:w="683" w:type="pct"/>
            <w:shd w:val="clear" w:color="auto" w:fill="auto"/>
            <w:vAlign w:val="center"/>
          </w:tcPr>
          <w:p>
            <w:pPr>
              <w:widowControl/>
              <w:adjustRightInd/>
              <w:snapToGrid/>
              <w:spacing w:line="240" w:lineRule="auto"/>
              <w:ind w:firstLine="0" w:firstLineChars="0"/>
              <w:jc w:val="center"/>
              <w:rPr>
                <w:rFonts w:ascii="仿宋" w:hAnsi="仿宋" w:cs="宋体"/>
                <w:kern w:val="0"/>
                <w:sz w:val="21"/>
                <w:szCs w:val="21"/>
              </w:rPr>
            </w:pPr>
            <w:r>
              <w:rPr>
                <w:rFonts w:hint="eastAsia" w:ascii="仿宋" w:hAnsi="仿宋" w:cs="宋体"/>
                <w:kern w:val="0"/>
                <w:sz w:val="21"/>
                <w:szCs w:val="21"/>
              </w:rPr>
              <w:t>国华镇</w:t>
            </w:r>
          </w:p>
        </w:tc>
        <w:tc>
          <w:tcPr>
            <w:tcW w:w="1415" w:type="pct"/>
            <w:shd w:val="clear" w:color="auto" w:fill="auto"/>
            <w:vAlign w:val="center"/>
          </w:tcPr>
          <w:p>
            <w:pPr>
              <w:widowControl/>
              <w:adjustRightInd/>
              <w:snapToGrid/>
              <w:spacing w:line="240" w:lineRule="auto"/>
              <w:ind w:firstLine="0" w:firstLineChars="0"/>
              <w:jc w:val="center"/>
              <w:rPr>
                <w:rFonts w:ascii="仿宋" w:hAnsi="仿宋" w:cs="宋体"/>
                <w:kern w:val="0"/>
                <w:sz w:val="21"/>
                <w:szCs w:val="21"/>
              </w:rPr>
            </w:pPr>
            <w:r>
              <w:rPr>
                <w:rFonts w:hint="eastAsia" w:ascii="仿宋" w:hAnsi="仿宋" w:cs="宋体"/>
                <w:kern w:val="0"/>
                <w:sz w:val="21"/>
                <w:szCs w:val="21"/>
              </w:rPr>
              <w:t>河湖周边从事生产活动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424" w:type="pct"/>
            <w:shd w:val="clear" w:color="auto" w:fill="auto"/>
            <w:vAlign w:val="center"/>
          </w:tcPr>
          <w:p>
            <w:pPr>
              <w:widowControl/>
              <w:adjustRightInd/>
              <w:snapToGrid/>
              <w:spacing w:line="240" w:lineRule="auto"/>
              <w:ind w:firstLine="0" w:firstLineChars="0"/>
              <w:jc w:val="center"/>
              <w:rPr>
                <w:rFonts w:eastAsia="等线" w:cs="Times New Roman"/>
                <w:kern w:val="0"/>
                <w:sz w:val="21"/>
                <w:szCs w:val="21"/>
              </w:rPr>
            </w:pPr>
            <w:r>
              <w:rPr>
                <w:rFonts w:eastAsia="等线" w:cs="Times New Roman"/>
                <w:kern w:val="0"/>
                <w:sz w:val="21"/>
                <w:szCs w:val="21"/>
              </w:rPr>
              <w:t>18</w:t>
            </w:r>
          </w:p>
        </w:tc>
        <w:tc>
          <w:tcPr>
            <w:tcW w:w="514" w:type="pct"/>
            <w:shd w:val="clear" w:color="auto" w:fill="auto"/>
            <w:vAlign w:val="center"/>
          </w:tcPr>
          <w:p>
            <w:pPr>
              <w:widowControl/>
              <w:adjustRightInd/>
              <w:snapToGrid/>
              <w:spacing w:line="240" w:lineRule="auto"/>
              <w:ind w:firstLine="0" w:firstLineChars="0"/>
              <w:jc w:val="center"/>
              <w:rPr>
                <w:rFonts w:eastAsia="等线" w:cs="Times New Roman"/>
                <w:kern w:val="0"/>
                <w:sz w:val="21"/>
                <w:szCs w:val="21"/>
              </w:rPr>
            </w:pPr>
          </w:p>
        </w:tc>
        <w:tc>
          <w:tcPr>
            <w:tcW w:w="512" w:type="pct"/>
            <w:shd w:val="clear" w:color="auto" w:fill="auto"/>
            <w:vAlign w:val="center"/>
          </w:tcPr>
          <w:p>
            <w:pPr>
              <w:widowControl/>
              <w:adjustRightInd/>
              <w:snapToGrid/>
              <w:spacing w:line="240" w:lineRule="auto"/>
              <w:ind w:firstLine="0" w:firstLineChars="0"/>
              <w:jc w:val="center"/>
              <w:rPr>
                <w:rFonts w:ascii="仿宋" w:hAnsi="仿宋" w:cs="宋体"/>
                <w:kern w:val="0"/>
                <w:sz w:val="21"/>
                <w:szCs w:val="21"/>
              </w:rPr>
            </w:pPr>
            <w:r>
              <w:rPr>
                <w:rFonts w:hint="eastAsia" w:ascii="仿宋" w:hAnsi="仿宋" w:cs="宋体"/>
                <w:kern w:val="0"/>
                <w:sz w:val="21"/>
                <w:szCs w:val="21"/>
              </w:rPr>
              <w:t>男</w:t>
            </w:r>
          </w:p>
        </w:tc>
        <w:tc>
          <w:tcPr>
            <w:tcW w:w="769" w:type="pct"/>
            <w:shd w:val="clear" w:color="auto" w:fill="auto"/>
            <w:vAlign w:val="center"/>
          </w:tcPr>
          <w:p>
            <w:pPr>
              <w:widowControl/>
              <w:adjustRightInd/>
              <w:snapToGrid/>
              <w:spacing w:line="240" w:lineRule="auto"/>
              <w:ind w:firstLine="0" w:firstLineChars="0"/>
              <w:jc w:val="center"/>
              <w:rPr>
                <w:rFonts w:eastAsia="等线" w:cs="Times New Roman"/>
                <w:kern w:val="0"/>
                <w:sz w:val="21"/>
                <w:szCs w:val="21"/>
              </w:rPr>
            </w:pPr>
            <w:r>
              <w:rPr>
                <w:rFonts w:eastAsia="等线" w:cs="Times New Roman"/>
                <w:kern w:val="0"/>
                <w:sz w:val="21"/>
                <w:szCs w:val="21"/>
              </w:rPr>
              <w:t>30</w:t>
            </w:r>
            <w:r>
              <w:rPr>
                <w:rFonts w:hint="eastAsia" w:ascii="仿宋" w:hAnsi="仿宋" w:cs="Times New Roman"/>
                <w:kern w:val="0"/>
                <w:sz w:val="21"/>
                <w:szCs w:val="21"/>
              </w:rPr>
              <w:t>～</w:t>
            </w:r>
            <w:r>
              <w:rPr>
                <w:rFonts w:eastAsia="等线" w:cs="Times New Roman"/>
                <w:kern w:val="0"/>
                <w:sz w:val="21"/>
                <w:szCs w:val="21"/>
              </w:rPr>
              <w:t>50</w:t>
            </w:r>
          </w:p>
        </w:tc>
        <w:tc>
          <w:tcPr>
            <w:tcW w:w="683" w:type="pct"/>
            <w:shd w:val="clear" w:color="auto" w:fill="auto"/>
            <w:vAlign w:val="center"/>
          </w:tcPr>
          <w:p>
            <w:pPr>
              <w:widowControl/>
              <w:adjustRightInd/>
              <w:snapToGrid/>
              <w:spacing w:line="240" w:lineRule="auto"/>
              <w:ind w:firstLine="0" w:firstLineChars="0"/>
              <w:jc w:val="center"/>
              <w:rPr>
                <w:rFonts w:eastAsia="等线" w:cs="Times New Roman"/>
                <w:kern w:val="0"/>
                <w:sz w:val="21"/>
                <w:szCs w:val="21"/>
              </w:rPr>
            </w:pPr>
            <w:r>
              <w:rPr>
                <w:rFonts w:eastAsia="等线" w:cs="Times New Roman"/>
                <w:sz w:val="21"/>
                <w:szCs w:val="21"/>
              </w:rPr>
              <w:t>90</w:t>
            </w:r>
          </w:p>
        </w:tc>
        <w:tc>
          <w:tcPr>
            <w:tcW w:w="683" w:type="pct"/>
            <w:shd w:val="clear" w:color="auto" w:fill="auto"/>
            <w:vAlign w:val="center"/>
          </w:tcPr>
          <w:p>
            <w:pPr>
              <w:widowControl/>
              <w:adjustRightInd/>
              <w:snapToGrid/>
              <w:spacing w:line="240" w:lineRule="auto"/>
              <w:ind w:firstLine="0" w:firstLineChars="0"/>
              <w:jc w:val="center"/>
              <w:rPr>
                <w:rFonts w:ascii="仿宋" w:hAnsi="仿宋" w:cs="宋体"/>
                <w:kern w:val="0"/>
                <w:sz w:val="21"/>
                <w:szCs w:val="21"/>
              </w:rPr>
            </w:pPr>
            <w:r>
              <w:rPr>
                <w:rFonts w:hint="eastAsia" w:ascii="仿宋" w:hAnsi="仿宋" w:cs="宋体"/>
                <w:kern w:val="0"/>
                <w:sz w:val="21"/>
                <w:szCs w:val="21"/>
              </w:rPr>
              <w:t>盐河镇</w:t>
            </w:r>
          </w:p>
        </w:tc>
        <w:tc>
          <w:tcPr>
            <w:tcW w:w="1415" w:type="pct"/>
            <w:shd w:val="clear" w:color="auto" w:fill="auto"/>
            <w:vAlign w:val="center"/>
          </w:tcPr>
          <w:p>
            <w:pPr>
              <w:widowControl/>
              <w:adjustRightInd/>
              <w:snapToGrid/>
              <w:spacing w:line="240" w:lineRule="auto"/>
              <w:ind w:firstLine="0" w:firstLineChars="0"/>
              <w:jc w:val="center"/>
              <w:rPr>
                <w:rFonts w:ascii="仿宋" w:hAnsi="仿宋" w:cs="宋体"/>
                <w:kern w:val="0"/>
                <w:sz w:val="21"/>
                <w:szCs w:val="21"/>
              </w:rPr>
            </w:pPr>
            <w:r>
              <w:rPr>
                <w:rFonts w:hint="eastAsia" w:ascii="仿宋" w:hAnsi="仿宋" w:cs="宋体"/>
                <w:kern w:val="0"/>
                <w:sz w:val="21"/>
                <w:szCs w:val="21"/>
              </w:rPr>
              <w:t>沿河居民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24" w:type="pct"/>
            <w:shd w:val="clear" w:color="auto" w:fill="auto"/>
            <w:vAlign w:val="center"/>
          </w:tcPr>
          <w:p>
            <w:pPr>
              <w:widowControl/>
              <w:adjustRightInd/>
              <w:snapToGrid/>
              <w:spacing w:line="240" w:lineRule="auto"/>
              <w:ind w:firstLine="0" w:firstLineChars="0"/>
              <w:jc w:val="center"/>
              <w:rPr>
                <w:rFonts w:eastAsia="等线" w:cs="Times New Roman"/>
                <w:kern w:val="0"/>
                <w:sz w:val="21"/>
                <w:szCs w:val="21"/>
              </w:rPr>
            </w:pPr>
            <w:r>
              <w:rPr>
                <w:rFonts w:eastAsia="等线" w:cs="Times New Roman"/>
                <w:kern w:val="0"/>
                <w:sz w:val="21"/>
                <w:szCs w:val="21"/>
              </w:rPr>
              <w:t>19</w:t>
            </w:r>
          </w:p>
        </w:tc>
        <w:tc>
          <w:tcPr>
            <w:tcW w:w="514" w:type="pct"/>
            <w:shd w:val="clear" w:color="auto" w:fill="auto"/>
            <w:vAlign w:val="center"/>
          </w:tcPr>
          <w:p>
            <w:pPr>
              <w:widowControl/>
              <w:adjustRightInd/>
              <w:snapToGrid/>
              <w:spacing w:line="240" w:lineRule="auto"/>
              <w:ind w:firstLine="0" w:firstLineChars="0"/>
              <w:jc w:val="center"/>
              <w:rPr>
                <w:rFonts w:eastAsia="等线" w:cs="Times New Roman"/>
                <w:kern w:val="0"/>
                <w:sz w:val="21"/>
                <w:szCs w:val="21"/>
              </w:rPr>
            </w:pPr>
          </w:p>
        </w:tc>
        <w:tc>
          <w:tcPr>
            <w:tcW w:w="512" w:type="pct"/>
            <w:shd w:val="clear" w:color="auto" w:fill="auto"/>
            <w:vAlign w:val="center"/>
          </w:tcPr>
          <w:p>
            <w:pPr>
              <w:widowControl/>
              <w:adjustRightInd/>
              <w:snapToGrid/>
              <w:spacing w:line="240" w:lineRule="auto"/>
              <w:ind w:firstLine="0" w:firstLineChars="0"/>
              <w:jc w:val="center"/>
              <w:rPr>
                <w:rFonts w:ascii="仿宋" w:hAnsi="仿宋" w:cs="宋体"/>
                <w:kern w:val="0"/>
                <w:sz w:val="21"/>
                <w:szCs w:val="21"/>
              </w:rPr>
            </w:pPr>
            <w:r>
              <w:rPr>
                <w:rFonts w:hint="eastAsia" w:ascii="仿宋" w:hAnsi="仿宋" w:cs="宋体"/>
                <w:kern w:val="0"/>
                <w:sz w:val="21"/>
                <w:szCs w:val="21"/>
              </w:rPr>
              <w:t>男</w:t>
            </w:r>
          </w:p>
        </w:tc>
        <w:tc>
          <w:tcPr>
            <w:tcW w:w="769" w:type="pct"/>
            <w:shd w:val="clear" w:color="auto" w:fill="auto"/>
            <w:vAlign w:val="center"/>
          </w:tcPr>
          <w:p>
            <w:pPr>
              <w:widowControl/>
              <w:adjustRightInd/>
              <w:snapToGrid/>
              <w:spacing w:line="240" w:lineRule="auto"/>
              <w:ind w:firstLine="0" w:firstLineChars="0"/>
              <w:jc w:val="center"/>
              <w:rPr>
                <w:rFonts w:eastAsia="等线" w:cs="Times New Roman"/>
                <w:kern w:val="0"/>
                <w:sz w:val="21"/>
                <w:szCs w:val="21"/>
              </w:rPr>
            </w:pPr>
            <w:r>
              <w:rPr>
                <w:rFonts w:eastAsia="等线" w:cs="Times New Roman"/>
                <w:kern w:val="0"/>
                <w:sz w:val="21"/>
                <w:szCs w:val="21"/>
              </w:rPr>
              <w:t>15</w:t>
            </w:r>
            <w:r>
              <w:rPr>
                <w:rFonts w:hint="eastAsia" w:ascii="仿宋" w:hAnsi="仿宋" w:cs="Times New Roman"/>
                <w:kern w:val="0"/>
                <w:sz w:val="21"/>
                <w:szCs w:val="21"/>
              </w:rPr>
              <w:t>～</w:t>
            </w:r>
            <w:r>
              <w:rPr>
                <w:rFonts w:eastAsia="等线" w:cs="Times New Roman"/>
                <w:kern w:val="0"/>
                <w:sz w:val="21"/>
                <w:szCs w:val="21"/>
              </w:rPr>
              <w:t>30</w:t>
            </w:r>
          </w:p>
        </w:tc>
        <w:tc>
          <w:tcPr>
            <w:tcW w:w="683" w:type="pct"/>
            <w:shd w:val="clear" w:color="auto" w:fill="auto"/>
            <w:vAlign w:val="center"/>
          </w:tcPr>
          <w:p>
            <w:pPr>
              <w:widowControl/>
              <w:adjustRightInd/>
              <w:snapToGrid/>
              <w:spacing w:line="240" w:lineRule="auto"/>
              <w:ind w:firstLine="0" w:firstLineChars="0"/>
              <w:jc w:val="center"/>
              <w:rPr>
                <w:rFonts w:eastAsia="等线" w:cs="Times New Roman"/>
                <w:kern w:val="0"/>
                <w:sz w:val="21"/>
                <w:szCs w:val="21"/>
              </w:rPr>
            </w:pPr>
            <w:r>
              <w:rPr>
                <w:rFonts w:eastAsia="等线" w:cs="Times New Roman"/>
                <w:sz w:val="21"/>
                <w:szCs w:val="21"/>
              </w:rPr>
              <w:t>90</w:t>
            </w:r>
          </w:p>
        </w:tc>
        <w:tc>
          <w:tcPr>
            <w:tcW w:w="683" w:type="pct"/>
            <w:shd w:val="clear" w:color="auto" w:fill="auto"/>
            <w:vAlign w:val="center"/>
          </w:tcPr>
          <w:p>
            <w:pPr>
              <w:widowControl/>
              <w:adjustRightInd/>
              <w:snapToGrid/>
              <w:spacing w:line="240" w:lineRule="auto"/>
              <w:ind w:firstLine="0" w:firstLineChars="0"/>
              <w:jc w:val="center"/>
              <w:rPr>
                <w:rFonts w:ascii="仿宋" w:hAnsi="仿宋" w:cs="宋体"/>
                <w:kern w:val="0"/>
                <w:sz w:val="21"/>
                <w:szCs w:val="21"/>
              </w:rPr>
            </w:pPr>
            <w:r>
              <w:rPr>
                <w:rFonts w:hint="eastAsia" w:ascii="仿宋" w:hAnsi="仿宋" w:cs="宋体"/>
                <w:kern w:val="0"/>
                <w:sz w:val="21"/>
                <w:szCs w:val="21"/>
              </w:rPr>
              <w:t>盐河镇</w:t>
            </w:r>
          </w:p>
        </w:tc>
        <w:tc>
          <w:tcPr>
            <w:tcW w:w="1415" w:type="pct"/>
            <w:shd w:val="clear" w:color="auto" w:fill="auto"/>
            <w:vAlign w:val="center"/>
          </w:tcPr>
          <w:p>
            <w:pPr>
              <w:widowControl/>
              <w:adjustRightInd/>
              <w:snapToGrid/>
              <w:spacing w:line="240" w:lineRule="auto"/>
              <w:ind w:firstLine="0" w:firstLineChars="0"/>
              <w:jc w:val="center"/>
              <w:rPr>
                <w:rFonts w:ascii="仿宋" w:hAnsi="仿宋" w:cs="宋体"/>
                <w:kern w:val="0"/>
                <w:sz w:val="21"/>
                <w:szCs w:val="21"/>
              </w:rPr>
            </w:pPr>
            <w:r>
              <w:rPr>
                <w:rFonts w:hint="eastAsia" w:ascii="仿宋" w:hAnsi="仿宋" w:cs="宋体"/>
                <w:kern w:val="0"/>
                <w:sz w:val="21"/>
                <w:szCs w:val="21"/>
              </w:rPr>
              <w:t>沿河居民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24" w:type="pct"/>
            <w:shd w:val="clear" w:color="auto" w:fill="auto"/>
            <w:vAlign w:val="center"/>
          </w:tcPr>
          <w:p>
            <w:pPr>
              <w:widowControl/>
              <w:adjustRightInd/>
              <w:snapToGrid/>
              <w:spacing w:line="240" w:lineRule="auto"/>
              <w:ind w:firstLine="0" w:firstLineChars="0"/>
              <w:jc w:val="center"/>
              <w:rPr>
                <w:rFonts w:eastAsia="等线" w:cs="Times New Roman"/>
                <w:kern w:val="0"/>
                <w:sz w:val="21"/>
                <w:szCs w:val="21"/>
              </w:rPr>
            </w:pPr>
            <w:r>
              <w:rPr>
                <w:rFonts w:eastAsia="等线" w:cs="Times New Roman"/>
                <w:kern w:val="0"/>
                <w:sz w:val="21"/>
                <w:szCs w:val="21"/>
              </w:rPr>
              <w:t>20</w:t>
            </w:r>
          </w:p>
        </w:tc>
        <w:tc>
          <w:tcPr>
            <w:tcW w:w="514" w:type="pct"/>
            <w:shd w:val="clear" w:color="auto" w:fill="auto"/>
            <w:vAlign w:val="center"/>
          </w:tcPr>
          <w:p>
            <w:pPr>
              <w:widowControl/>
              <w:adjustRightInd/>
              <w:snapToGrid/>
              <w:spacing w:line="240" w:lineRule="auto"/>
              <w:ind w:firstLine="0" w:firstLineChars="0"/>
              <w:jc w:val="center"/>
              <w:rPr>
                <w:rFonts w:eastAsia="等线" w:cs="Times New Roman"/>
                <w:kern w:val="0"/>
                <w:sz w:val="21"/>
                <w:szCs w:val="21"/>
              </w:rPr>
            </w:pPr>
          </w:p>
        </w:tc>
        <w:tc>
          <w:tcPr>
            <w:tcW w:w="512" w:type="pct"/>
            <w:shd w:val="clear" w:color="auto" w:fill="auto"/>
            <w:vAlign w:val="center"/>
          </w:tcPr>
          <w:p>
            <w:pPr>
              <w:widowControl/>
              <w:adjustRightInd/>
              <w:snapToGrid/>
              <w:spacing w:line="240" w:lineRule="auto"/>
              <w:ind w:firstLine="0" w:firstLineChars="0"/>
              <w:jc w:val="center"/>
              <w:rPr>
                <w:rFonts w:ascii="仿宋" w:hAnsi="仿宋" w:cs="宋体"/>
                <w:kern w:val="0"/>
                <w:sz w:val="21"/>
                <w:szCs w:val="21"/>
              </w:rPr>
            </w:pPr>
            <w:r>
              <w:rPr>
                <w:rFonts w:hint="eastAsia" w:ascii="仿宋" w:hAnsi="仿宋" w:cs="宋体"/>
                <w:kern w:val="0"/>
                <w:sz w:val="21"/>
                <w:szCs w:val="21"/>
              </w:rPr>
              <w:t>男</w:t>
            </w:r>
          </w:p>
        </w:tc>
        <w:tc>
          <w:tcPr>
            <w:tcW w:w="769" w:type="pct"/>
            <w:shd w:val="clear" w:color="auto" w:fill="auto"/>
            <w:vAlign w:val="center"/>
          </w:tcPr>
          <w:p>
            <w:pPr>
              <w:widowControl/>
              <w:adjustRightInd/>
              <w:snapToGrid/>
              <w:spacing w:line="240" w:lineRule="auto"/>
              <w:ind w:firstLine="0" w:firstLineChars="0"/>
              <w:jc w:val="center"/>
              <w:rPr>
                <w:rFonts w:eastAsia="等线" w:cs="Times New Roman"/>
                <w:kern w:val="0"/>
                <w:sz w:val="21"/>
                <w:szCs w:val="21"/>
              </w:rPr>
            </w:pPr>
            <w:r>
              <w:rPr>
                <w:rFonts w:eastAsia="等线" w:cs="Times New Roman"/>
                <w:kern w:val="0"/>
                <w:sz w:val="21"/>
                <w:szCs w:val="21"/>
              </w:rPr>
              <w:t>15</w:t>
            </w:r>
            <w:r>
              <w:rPr>
                <w:rFonts w:hint="eastAsia" w:ascii="仿宋" w:hAnsi="仿宋" w:cs="Times New Roman"/>
                <w:kern w:val="0"/>
                <w:sz w:val="21"/>
                <w:szCs w:val="21"/>
              </w:rPr>
              <w:t>～</w:t>
            </w:r>
            <w:r>
              <w:rPr>
                <w:rFonts w:eastAsia="等线" w:cs="Times New Roman"/>
                <w:kern w:val="0"/>
                <w:sz w:val="21"/>
                <w:szCs w:val="21"/>
              </w:rPr>
              <w:t>30</w:t>
            </w:r>
          </w:p>
        </w:tc>
        <w:tc>
          <w:tcPr>
            <w:tcW w:w="683" w:type="pct"/>
            <w:shd w:val="clear" w:color="auto" w:fill="auto"/>
            <w:vAlign w:val="center"/>
          </w:tcPr>
          <w:p>
            <w:pPr>
              <w:widowControl/>
              <w:adjustRightInd/>
              <w:snapToGrid/>
              <w:spacing w:line="240" w:lineRule="auto"/>
              <w:ind w:firstLine="0" w:firstLineChars="0"/>
              <w:jc w:val="center"/>
              <w:rPr>
                <w:rFonts w:eastAsia="等线" w:cs="Times New Roman"/>
                <w:kern w:val="0"/>
                <w:sz w:val="21"/>
                <w:szCs w:val="21"/>
              </w:rPr>
            </w:pPr>
            <w:r>
              <w:rPr>
                <w:rFonts w:eastAsia="等线" w:cs="Times New Roman"/>
                <w:sz w:val="21"/>
                <w:szCs w:val="21"/>
              </w:rPr>
              <w:t>90</w:t>
            </w:r>
          </w:p>
        </w:tc>
        <w:tc>
          <w:tcPr>
            <w:tcW w:w="683" w:type="pct"/>
            <w:shd w:val="clear" w:color="auto" w:fill="auto"/>
            <w:vAlign w:val="center"/>
          </w:tcPr>
          <w:p>
            <w:pPr>
              <w:widowControl/>
              <w:adjustRightInd/>
              <w:snapToGrid/>
              <w:spacing w:line="240" w:lineRule="auto"/>
              <w:ind w:firstLine="0" w:firstLineChars="0"/>
              <w:jc w:val="center"/>
              <w:rPr>
                <w:rFonts w:ascii="仿宋" w:hAnsi="仿宋" w:cs="宋体"/>
                <w:kern w:val="0"/>
                <w:sz w:val="21"/>
                <w:szCs w:val="21"/>
              </w:rPr>
            </w:pPr>
            <w:r>
              <w:rPr>
                <w:rFonts w:hint="eastAsia" w:ascii="仿宋" w:hAnsi="仿宋" w:cs="宋体"/>
                <w:kern w:val="0"/>
                <w:sz w:val="21"/>
                <w:szCs w:val="21"/>
              </w:rPr>
              <w:t>盐河镇</w:t>
            </w:r>
          </w:p>
        </w:tc>
        <w:tc>
          <w:tcPr>
            <w:tcW w:w="1415" w:type="pct"/>
            <w:shd w:val="clear" w:color="auto" w:fill="auto"/>
            <w:vAlign w:val="center"/>
          </w:tcPr>
          <w:p>
            <w:pPr>
              <w:widowControl/>
              <w:adjustRightInd/>
              <w:snapToGrid/>
              <w:spacing w:line="240" w:lineRule="auto"/>
              <w:ind w:firstLine="0" w:firstLineChars="0"/>
              <w:jc w:val="center"/>
              <w:rPr>
                <w:rFonts w:ascii="仿宋" w:hAnsi="仿宋" w:cs="宋体"/>
                <w:kern w:val="0"/>
                <w:sz w:val="21"/>
                <w:szCs w:val="21"/>
              </w:rPr>
            </w:pPr>
            <w:r>
              <w:rPr>
                <w:rFonts w:hint="eastAsia" w:ascii="仿宋" w:hAnsi="仿宋" w:cs="宋体"/>
                <w:kern w:val="0"/>
                <w:sz w:val="21"/>
                <w:szCs w:val="21"/>
              </w:rPr>
              <w:t>沿河居民</w:t>
            </w:r>
          </w:p>
        </w:tc>
      </w:tr>
    </w:tbl>
    <w:p>
      <w:pPr>
        <w:ind w:firstLine="480"/>
      </w:pPr>
    </w:p>
    <w:p>
      <w:pPr>
        <w:ind w:firstLine="482"/>
        <w:rPr>
          <w:b/>
        </w:rPr>
      </w:pPr>
      <w:r>
        <w:rPr>
          <w:rFonts w:hint="eastAsia"/>
          <w:b/>
        </w:rPr>
        <w:t>2、防洪指标</w:t>
      </w:r>
    </w:p>
    <w:p>
      <w:pPr>
        <w:ind w:firstLine="480"/>
      </w:pPr>
      <w:r>
        <w:rPr>
          <w:rFonts w:hint="eastAsia"/>
        </w:rPr>
        <w:t>防洪工程达标率为河流已建堤防达到防洪标准的长度站该河流堤防总长度的比例。</w:t>
      </w:r>
    </w:p>
    <w:p>
      <w:pPr>
        <w:ind w:firstLine="480"/>
      </w:pPr>
      <w:r>
        <w:rPr>
          <w:rFonts w:hint="eastAsia"/>
        </w:rPr>
        <w:t>经本次实地调查，盐井河现已建成堤防工程一段，为四川省旺苍县盐井河国华镇防洪治理工程，该工程综合治理河长1</w:t>
      </w:r>
      <w:r>
        <w:t>.8</w:t>
      </w:r>
      <w:r>
        <w:rPr>
          <w:rFonts w:hint="eastAsia"/>
        </w:rPr>
        <w:t>km，起点位于国华镇险岩子，终点位于国华镇李子坝，全部为新建堤防。新建堤防全长2315.72m，其中盐井河干流1870.65m，红岩沟支流445.07m。盐井河干流堤防位于右岸，堤型为斜坡式复合生态堤防，支流红岩沟堤防位于左、右两岸，全长445.07m，其中左岸197.71m，右岸247.35m，两岸均为仰斜式堤型。主要保护国华镇场镇居民及部分农田，保护农田300余亩、保护场镇居民8000余人。保护区内还有多家企事业单位、场镇机关及商铺。堤防现状图见</w:t>
      </w:r>
      <w:r>
        <w:fldChar w:fldCharType="begin"/>
      </w:r>
      <w:r>
        <w:instrText xml:space="preserve"> REF _Ref80718718 \h  \* MERGEFORMAT </w:instrText>
      </w:r>
      <w:r>
        <w:fldChar w:fldCharType="separate"/>
      </w:r>
      <w:r>
        <w:rPr>
          <w:rFonts w:hint="eastAsia"/>
        </w:rPr>
        <w:t>图</w:t>
      </w:r>
      <w:r>
        <w:t>5.1</w:t>
      </w:r>
      <w:r>
        <w:noBreakHyphen/>
      </w:r>
      <w:r>
        <w:t>7</w:t>
      </w:r>
      <w:r>
        <w:fldChar w:fldCharType="end"/>
      </w:r>
      <w:r>
        <w:rPr>
          <w:rFonts w:hint="eastAsia"/>
        </w:rPr>
        <w:t>~</w:t>
      </w:r>
      <w:r>
        <w:fldChar w:fldCharType="begin"/>
      </w:r>
      <w:r>
        <w:instrText xml:space="preserve"> </w:instrText>
      </w:r>
      <w:r>
        <w:rPr>
          <w:rFonts w:hint="eastAsia"/>
        </w:rPr>
        <w:instrText xml:space="preserve">REF _Ref80718771 \h</w:instrText>
      </w:r>
      <w:r>
        <w:instrText xml:space="preserve"> </w:instrText>
      </w:r>
      <w:r>
        <w:fldChar w:fldCharType="separate"/>
      </w:r>
      <w:r>
        <w:rPr>
          <w:rFonts w:hint="eastAsia"/>
        </w:rPr>
        <w:t>图</w:t>
      </w:r>
      <w:r>
        <w:t>5.1</w:t>
      </w:r>
      <w:r>
        <w:noBreakHyphen/>
      </w:r>
      <w:r>
        <w:t>9</w:t>
      </w:r>
      <w:r>
        <w:fldChar w:fldCharType="end"/>
      </w:r>
      <w:r>
        <w:rPr>
          <w:rFonts w:hint="eastAsia"/>
        </w:rPr>
        <w:t>，已建堤防调查情况表见附表3。</w:t>
      </w:r>
    </w:p>
    <w:p>
      <w:pPr>
        <w:ind w:firstLine="0" w:firstLineChars="0"/>
        <w:jc w:val="center"/>
      </w:pPr>
      <w:r>
        <w:drawing>
          <wp:inline distT="0" distB="0" distL="0" distR="0">
            <wp:extent cx="3787140" cy="3253740"/>
            <wp:effectExtent l="0" t="0" r="381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3828216" cy="3289252"/>
                    </a:xfrm>
                    <a:prstGeom prst="rect">
                      <a:avLst/>
                    </a:prstGeom>
                    <a:noFill/>
                    <a:ln>
                      <a:noFill/>
                    </a:ln>
                  </pic:spPr>
                </pic:pic>
              </a:graphicData>
            </a:graphic>
          </wp:inline>
        </w:drawing>
      </w:r>
    </w:p>
    <w:p>
      <w:pPr>
        <w:ind w:firstLine="0" w:firstLineChars="0"/>
        <w:jc w:val="center"/>
        <w:rPr>
          <w:b/>
        </w:rPr>
      </w:pPr>
      <w:bookmarkStart w:id="177" w:name="_Ref80718718"/>
      <w:bookmarkStart w:id="178" w:name="_Ref80718713"/>
      <w:r>
        <w:rPr>
          <w:rFonts w:hint="eastAsia"/>
          <w:b/>
        </w:rPr>
        <w:t>图</w:t>
      </w:r>
      <w:r>
        <w:rPr>
          <w:b/>
        </w:rPr>
        <w:fldChar w:fldCharType="begin"/>
      </w:r>
      <w:r>
        <w:rPr>
          <w:b/>
        </w:rPr>
        <w:instrText xml:space="preserve"> </w:instrText>
      </w:r>
      <w:r>
        <w:rPr>
          <w:rFonts w:hint="eastAsia"/>
          <w:b/>
        </w:rPr>
        <w:instrText xml:space="preserve">STYLEREF 2 \s</w:instrText>
      </w:r>
      <w:r>
        <w:rPr>
          <w:b/>
        </w:rPr>
        <w:instrText xml:space="preserve"> </w:instrText>
      </w:r>
      <w:r>
        <w:rPr>
          <w:b/>
        </w:rPr>
        <w:fldChar w:fldCharType="separate"/>
      </w:r>
      <w:r>
        <w:rPr>
          <w:b/>
        </w:rPr>
        <w:t>5.1</w:t>
      </w:r>
      <w:r>
        <w:rPr>
          <w:b/>
        </w:rPr>
        <w:fldChar w:fldCharType="end"/>
      </w:r>
      <w:r>
        <w:rPr>
          <w:b/>
        </w:rPr>
        <w:noBreakHyphen/>
      </w:r>
      <w:r>
        <w:rPr>
          <w:b/>
        </w:rPr>
        <w:fldChar w:fldCharType="begin"/>
      </w:r>
      <w:r>
        <w:rPr>
          <w:b/>
        </w:rPr>
        <w:instrText xml:space="preserve"> </w:instrText>
      </w:r>
      <w:r>
        <w:rPr>
          <w:rFonts w:hint="eastAsia"/>
          <w:b/>
        </w:rPr>
        <w:instrText xml:space="preserve">SEQ 图 \* ARABIC \s 2</w:instrText>
      </w:r>
      <w:r>
        <w:rPr>
          <w:b/>
        </w:rPr>
        <w:instrText xml:space="preserve"> </w:instrText>
      </w:r>
      <w:r>
        <w:rPr>
          <w:b/>
        </w:rPr>
        <w:fldChar w:fldCharType="separate"/>
      </w:r>
      <w:r>
        <w:rPr>
          <w:b/>
        </w:rPr>
        <w:t>7</w:t>
      </w:r>
      <w:r>
        <w:rPr>
          <w:b/>
        </w:rPr>
        <w:fldChar w:fldCharType="end"/>
      </w:r>
      <w:bookmarkEnd w:id="177"/>
      <w:r>
        <w:rPr>
          <w:b/>
        </w:rPr>
        <w:t xml:space="preserve">  </w:t>
      </w:r>
      <w:r>
        <w:rPr>
          <w:rFonts w:hint="eastAsia"/>
          <w:b/>
        </w:rPr>
        <w:t>国华镇盐井河段堤防（周家河上游段）</w:t>
      </w:r>
      <w:bookmarkEnd w:id="178"/>
    </w:p>
    <w:p>
      <w:pPr>
        <w:ind w:firstLine="0" w:firstLineChars="0"/>
        <w:jc w:val="center"/>
      </w:pPr>
      <w:r>
        <w:drawing>
          <wp:inline distT="0" distB="0" distL="0" distR="0">
            <wp:extent cx="3834765" cy="3136900"/>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3896062" cy="3186904"/>
                    </a:xfrm>
                    <a:prstGeom prst="rect">
                      <a:avLst/>
                    </a:prstGeom>
                    <a:noFill/>
                    <a:ln>
                      <a:noFill/>
                    </a:ln>
                  </pic:spPr>
                </pic:pic>
              </a:graphicData>
            </a:graphic>
          </wp:inline>
        </w:drawing>
      </w:r>
    </w:p>
    <w:p>
      <w:pPr>
        <w:pStyle w:val="57"/>
      </w:pPr>
      <w:r>
        <w:rPr>
          <w:rFonts w:hint="eastAsia"/>
        </w:rPr>
        <w:t>图</w:t>
      </w:r>
      <w:r>
        <w:fldChar w:fldCharType="begin"/>
      </w:r>
      <w:r>
        <w:instrText xml:space="preserve"> </w:instrText>
      </w:r>
      <w:r>
        <w:rPr>
          <w:rFonts w:hint="eastAsia"/>
        </w:rPr>
        <w:instrText xml:space="preserve">STYLEREF 2 \s</w:instrText>
      </w:r>
      <w:r>
        <w:instrText xml:space="preserve"> </w:instrText>
      </w:r>
      <w:r>
        <w:fldChar w:fldCharType="separate"/>
      </w:r>
      <w:r>
        <w:t>5.1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t>8</w:t>
      </w:r>
      <w:r>
        <w:fldChar w:fldCharType="end"/>
      </w:r>
      <w:r>
        <w:t xml:space="preserve">  </w:t>
      </w:r>
      <w:r>
        <w:rPr>
          <w:rFonts w:hint="eastAsia"/>
        </w:rPr>
        <w:t>国华镇盐井河段堤防（周家河下游段）</w:t>
      </w:r>
    </w:p>
    <w:p>
      <w:pPr>
        <w:ind w:firstLine="0" w:firstLineChars="0"/>
        <w:jc w:val="center"/>
      </w:pPr>
    </w:p>
    <w:p>
      <w:pPr>
        <w:ind w:firstLine="0" w:firstLineChars="0"/>
        <w:jc w:val="center"/>
      </w:pPr>
      <w:r>
        <w:drawing>
          <wp:inline distT="0" distB="0" distL="0" distR="0">
            <wp:extent cx="3970655" cy="324104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022936" cy="3283761"/>
                    </a:xfrm>
                    <a:prstGeom prst="rect">
                      <a:avLst/>
                    </a:prstGeom>
                    <a:noFill/>
                    <a:ln>
                      <a:noFill/>
                    </a:ln>
                  </pic:spPr>
                </pic:pic>
              </a:graphicData>
            </a:graphic>
          </wp:inline>
        </w:drawing>
      </w:r>
    </w:p>
    <w:p>
      <w:pPr>
        <w:pStyle w:val="57"/>
      </w:pPr>
      <w:bookmarkStart w:id="179" w:name="_Ref80718771"/>
      <w:r>
        <w:rPr>
          <w:rFonts w:hint="eastAsia"/>
        </w:rPr>
        <w:t>图</w:t>
      </w:r>
      <w:r>
        <w:fldChar w:fldCharType="begin"/>
      </w:r>
      <w:r>
        <w:instrText xml:space="preserve"> </w:instrText>
      </w:r>
      <w:r>
        <w:rPr>
          <w:rFonts w:hint="eastAsia"/>
        </w:rPr>
        <w:instrText xml:space="preserve">STYLEREF 2 \s</w:instrText>
      </w:r>
      <w:r>
        <w:instrText xml:space="preserve"> </w:instrText>
      </w:r>
      <w:r>
        <w:fldChar w:fldCharType="separate"/>
      </w:r>
      <w:r>
        <w:t>5.1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t>9</w:t>
      </w:r>
      <w:r>
        <w:fldChar w:fldCharType="end"/>
      </w:r>
      <w:bookmarkEnd w:id="179"/>
      <w:r>
        <w:t xml:space="preserve">  </w:t>
      </w:r>
      <w:r>
        <w:rPr>
          <w:rFonts w:hint="eastAsia"/>
        </w:rPr>
        <w:t>国华镇盐井河段堤防（周家河汇口段）</w:t>
      </w:r>
    </w:p>
    <w:p>
      <w:pPr>
        <w:ind w:firstLine="480"/>
      </w:pPr>
      <w:r>
        <w:rPr>
          <w:rFonts w:hint="eastAsia"/>
        </w:rPr>
        <w:t>根据收集到的工程设计报告，经统计，盐井河</w:t>
      </w:r>
      <w:r>
        <w:t>2013~2020</w:t>
      </w:r>
      <w:r>
        <w:rPr>
          <w:rFonts w:hint="eastAsia"/>
        </w:rPr>
        <w:t>年期间，共新建堤防</w:t>
      </w:r>
      <w:r>
        <w:t>2.32km</w:t>
      </w:r>
      <w:r>
        <w:rPr>
          <w:rFonts w:hint="eastAsia"/>
        </w:rPr>
        <w:t>，由于《旺苍县十三五规划报告》中未明确规定各段堤防防洪标准，故本次评价参照《防洪标准》（</w:t>
      </w:r>
      <w:r>
        <w:t>GB50201-2014</w:t>
      </w:r>
      <w:r>
        <w:rPr>
          <w:rFonts w:hint="eastAsia"/>
        </w:rPr>
        <w:t>）</w:t>
      </w:r>
      <w:r>
        <w:t>4.3.1</w:t>
      </w:r>
      <w:r>
        <w:rPr>
          <w:rFonts w:hint="eastAsia"/>
        </w:rPr>
        <w:t>条规定：“乡村防护区根据人口或耕地面积分为四个防护等级，其中人口小于</w:t>
      </w:r>
      <w:r>
        <w:t>20</w:t>
      </w:r>
      <w:r>
        <w:rPr>
          <w:rFonts w:hint="eastAsia"/>
        </w:rPr>
        <w:t>万人，耕地面积小于</w:t>
      </w:r>
      <w:r>
        <w:t>30</w:t>
      </w:r>
      <w:r>
        <w:rPr>
          <w:rFonts w:hint="eastAsia"/>
        </w:rPr>
        <w:t>万亩的乡村防护区，其防洪标准规定为</w:t>
      </w:r>
      <w:r>
        <w:t>10~20</w:t>
      </w:r>
      <w:r>
        <w:rPr>
          <w:rFonts w:hint="eastAsia"/>
        </w:rPr>
        <w:t>年一遇，地广人稀或淹没损失较小的乡村防护区，其防洪标注可降低。”根据调查，国华镇保护区人口</w:t>
      </w:r>
      <w:r>
        <w:t>10000</w:t>
      </w:r>
      <w:r>
        <w:rPr>
          <w:rFonts w:hint="eastAsia"/>
        </w:rPr>
        <w:t>余人，耕地面积</w:t>
      </w:r>
      <w:r>
        <w:t>500</w:t>
      </w:r>
      <w:r>
        <w:rPr>
          <w:rFonts w:hint="eastAsia"/>
        </w:rPr>
        <w:t>余亩，属人口较少且淹没损失较小的地区，防洪标准取为</w:t>
      </w:r>
      <w:r>
        <w:t>10</w:t>
      </w:r>
      <w:r>
        <w:rPr>
          <w:rFonts w:hint="eastAsia"/>
        </w:rPr>
        <w:t>年一遇符合《防洪标准》要求。根据《旺苍县盐井河国华镇防洪治理工程初步设计报告》该段堤防工程防洪标准达标，达标率为</w:t>
      </w:r>
      <w:r>
        <w:t>100%</w:t>
      </w:r>
      <w:r>
        <w:rPr>
          <w:rFonts w:hint="eastAsia"/>
        </w:rPr>
        <w:t>≥</w:t>
      </w:r>
      <w:r>
        <w:t>95%</w:t>
      </w:r>
      <w:r>
        <w:rPr>
          <w:rFonts w:hint="eastAsia"/>
        </w:rPr>
        <w:t>，根据防洪指标评估赋分标准表（</w:t>
      </w:r>
      <w:r>
        <w:fldChar w:fldCharType="begin"/>
      </w:r>
      <w:r>
        <w:instrText xml:space="preserve"> </w:instrText>
      </w:r>
      <w:r>
        <w:rPr>
          <w:rFonts w:hint="eastAsia"/>
        </w:rPr>
        <w:instrText xml:space="preserve">REF _Ref80716915 \h</w:instrText>
      </w:r>
      <w:r>
        <w:instrText xml:space="preserve"> </w:instrText>
      </w:r>
      <w:r>
        <w:fldChar w:fldCharType="separate"/>
      </w:r>
      <w:r>
        <w:rPr>
          <w:rFonts w:hint="eastAsia"/>
        </w:rPr>
        <w:t>表</w:t>
      </w:r>
      <w:r>
        <w:t>3.1</w:t>
      </w:r>
      <w:r>
        <w:noBreakHyphen/>
      </w:r>
      <w:r>
        <w:t>11</w:t>
      </w:r>
      <w:r>
        <w:fldChar w:fldCharType="end"/>
      </w:r>
      <w:r>
        <w:rPr>
          <w:rFonts w:hint="eastAsia"/>
        </w:rPr>
        <w:t>）中，本次盐井河评价河段防洪指标评估赋分为</w:t>
      </w:r>
      <w:r>
        <w:t>100</w:t>
      </w:r>
      <w:r>
        <w:rPr>
          <w:rFonts w:hint="eastAsia"/>
        </w:rPr>
        <w:t>分。</w:t>
      </w:r>
    </w:p>
    <w:p>
      <w:pPr>
        <w:ind w:firstLine="482"/>
        <w:rPr>
          <w:b/>
        </w:rPr>
      </w:pPr>
      <w:r>
        <w:rPr>
          <w:rFonts w:hint="eastAsia"/>
          <w:b/>
        </w:rPr>
        <w:t>3、供水指标</w:t>
      </w:r>
    </w:p>
    <w:p>
      <w:pPr>
        <w:ind w:firstLine="480"/>
      </w:pPr>
      <w:r>
        <w:rPr>
          <w:rFonts w:hint="eastAsia"/>
        </w:rPr>
        <w:t>旺苍县盐井河河流域目前有盐河镇、国华镇、天星镇、双汇镇共</w:t>
      </w:r>
      <w:r>
        <w:t>4</w:t>
      </w:r>
      <w:r>
        <w:rPr>
          <w:rFonts w:hint="eastAsia"/>
        </w:rPr>
        <w:t>个镇建设有集中供水工程，但各镇集中供水工程取水点均位于盐井河支流、支沟，盐井河干流无直接取水设施，因此，盐井河流域综合供水保证率评估得分为</w:t>
      </w:r>
      <w:r>
        <w:t>100</w:t>
      </w:r>
      <w:r>
        <w:rPr>
          <w:rFonts w:hint="eastAsia"/>
        </w:rPr>
        <w:t>分。</w:t>
      </w:r>
    </w:p>
    <w:p>
      <w:pPr>
        <w:ind w:firstLine="482"/>
        <w:rPr>
          <w:b/>
        </w:rPr>
      </w:pPr>
      <w:r>
        <w:rPr>
          <w:rFonts w:hint="eastAsia"/>
          <w:b/>
        </w:rPr>
        <w:t>4、开发利用与规划的符合性分析</w:t>
      </w:r>
    </w:p>
    <w:p>
      <w:pPr>
        <w:ind w:firstLine="480"/>
      </w:pPr>
      <w:r>
        <w:rPr>
          <w:rFonts w:hint="eastAsia"/>
        </w:rPr>
        <w:t>河流的开发利用工程项目主要包括以下几类：水电站、堤防、囤蓄水库、航道、其他有关涉水工程项目等等。经现场调查，盐井河流域主要的工程建设项目为小型水电站和堤防工程两类，无其他水利工程，故本次仅评价盐井河堤防工程和水电站与规划的符合性。</w:t>
      </w:r>
    </w:p>
    <w:p>
      <w:pPr>
        <w:ind w:firstLine="480"/>
      </w:pPr>
      <w:r>
        <w:rPr>
          <w:rFonts w:hint="eastAsia"/>
        </w:rPr>
        <w:t>（1）福鑫水电站</w:t>
      </w:r>
    </w:p>
    <w:p>
      <w:pPr>
        <w:ind w:firstLine="480"/>
      </w:pPr>
      <w:r>
        <w:rPr>
          <w:rFonts w:hint="eastAsia"/>
        </w:rPr>
        <w:t>福鑫水电站为引水式开发电站，坝址以上控制流域面积890.2km</w:t>
      </w:r>
      <w:r>
        <w:t>²</w:t>
      </w:r>
      <w:r>
        <w:rPr>
          <w:rFonts w:hint="eastAsia"/>
        </w:rPr>
        <w:t>（实际为489.2km</w:t>
      </w:r>
      <w:r>
        <w:t>²</w:t>
      </w:r>
      <w:r>
        <w:rPr>
          <w:rFonts w:hint="eastAsia"/>
        </w:rPr>
        <w:t>，扣除扣除天生桥水库集水面积401km</w:t>
      </w:r>
      <w:r>
        <w:t>²</w:t>
      </w:r>
      <w:r>
        <w:rPr>
          <w:rFonts w:hint="eastAsia"/>
        </w:rPr>
        <w:t>），旺发改（2014）106号文件和旺发改（2015）21号文件批准建设，于2014年12月建设完成投入试运行。工程为小（2）型水电站，工程等级为Ⅴ等，主要建筑物为5级，主要开发任务为发电，无防洪、灌溉、航运、城镇及工业用水要求。拦河坝设计洪水标准为10年一遇，相应流量2370m</w:t>
      </w:r>
      <w:r>
        <w:t>³</w:t>
      </w:r>
      <w:r>
        <w:rPr>
          <w:rFonts w:hint="eastAsia"/>
        </w:rPr>
        <w:t>/s（P=10%）；校核洪水标准为50年一遇，相应流量4190m</w:t>
      </w:r>
      <w:r>
        <w:t>³</w:t>
      </w:r>
      <w:r>
        <w:rPr>
          <w:rFonts w:hint="eastAsia"/>
        </w:rPr>
        <w:t>/s（P=2%），电站厂区设计洪水标准为50年一遇。电站装机容量5MW，多年平均发电量2269万kW</w:t>
      </w:r>
      <w:r>
        <w:t xml:space="preserve"> </w:t>
      </w:r>
      <w:r>
        <w:rPr>
          <w:rFonts w:hint="eastAsia" w:ascii="微软雅黑" w:hAnsi="微软雅黑" w:eastAsia="微软雅黑" w:cs="微软雅黑"/>
        </w:rPr>
        <w:t>•</w:t>
      </w:r>
      <w:r>
        <w:rPr>
          <w:rFonts w:hint="eastAsia"/>
        </w:rPr>
        <w:t>h，最大坝高11.5m，坝长64m，引水隧洞长1710.902m，设计引水流量11.1m</w:t>
      </w:r>
      <w:r>
        <w:t>³</w:t>
      </w:r>
      <w:r>
        <w:rPr>
          <w:rFonts w:hint="eastAsia"/>
        </w:rPr>
        <w:t>/s。设计下泄生态流量为1.12m</w:t>
      </w:r>
      <w:r>
        <w:rPr>
          <w:rFonts w:cs="Times New Roman"/>
        </w:rPr>
        <w:t>³</w:t>
      </w:r>
      <w:r>
        <w:rPr>
          <w:rFonts w:hint="eastAsia"/>
        </w:rPr>
        <w:t>/s。</w:t>
      </w:r>
    </w:p>
    <w:p>
      <w:pPr>
        <w:ind w:firstLine="480"/>
      </w:pPr>
      <w:r>
        <w:rPr>
          <w:rFonts w:hint="eastAsia"/>
        </w:rPr>
        <w:t>根据《东河流域水电开发规划报告》，盐井河水电开发方案为梯级开发，开发方案为自上而下规划盐河（已建，为现在的福鑫）、国华、青竹园三个梯级电站，加上已建的临海（现更名为盐河电站），组成四个梯级电站。规划盐河电站开发利用方式为引水式，开发任务为发电，无防洪、灌溉、航运、城镇及工业用水要求，规划装机容量1</w:t>
      </w:r>
      <w:r>
        <w:t>.5</w:t>
      </w:r>
      <w:r>
        <w:rPr>
          <w:rFonts w:hint="eastAsia"/>
        </w:rPr>
        <w:t>万kW（1</w:t>
      </w:r>
      <w:r>
        <w:t>5</w:t>
      </w:r>
      <w:r>
        <w:rPr>
          <w:rFonts w:hint="eastAsia"/>
        </w:rPr>
        <w:t>mW）。</w:t>
      </w:r>
    </w:p>
    <w:p>
      <w:pPr>
        <w:ind w:firstLine="480"/>
      </w:pPr>
      <w:r>
        <w:rPr>
          <w:rFonts w:hint="eastAsia"/>
        </w:rPr>
        <w:t>福鑫电站（规划的盐河电站）为引水式电站，电站下泄生态流量为多年平均流量的1</w:t>
      </w:r>
      <w:r>
        <w:t>0.56</w:t>
      </w:r>
      <w:r>
        <w:rPr>
          <w:rFonts w:hint="eastAsia"/>
        </w:rPr>
        <w:t>%，大于《水电水利建设项目河道生态用水、低温水和过鱼设施环境影响评价技术指南（试行）》要求的1</w:t>
      </w:r>
      <w:r>
        <w:t>0</w:t>
      </w:r>
      <w:r>
        <w:rPr>
          <w:rFonts w:hint="eastAsia"/>
        </w:rPr>
        <w:t>%，符合水利要求的生态下泄流量。</w:t>
      </w:r>
    </w:p>
    <w:p>
      <w:pPr>
        <w:ind w:firstLine="480"/>
      </w:pPr>
      <w:r>
        <w:rPr>
          <w:rFonts w:hint="eastAsia"/>
          <w:bCs/>
          <w:szCs w:val="24"/>
        </w:rPr>
        <w:t>福鑫水电站取水口多年平均流量为10.6m</w:t>
      </w:r>
      <w:r>
        <w:rPr>
          <w:rFonts w:cs="Times New Roman"/>
          <w:bCs/>
          <w:szCs w:val="24"/>
        </w:rPr>
        <w:t>³</w:t>
      </w:r>
      <w:r>
        <w:rPr>
          <w:rFonts w:hint="eastAsia"/>
          <w:bCs/>
          <w:szCs w:val="24"/>
        </w:rPr>
        <w:t>/s，电站位于</w:t>
      </w:r>
      <w:r>
        <w:rPr>
          <w:rFonts w:hint="eastAsia"/>
          <w:kern w:val="0"/>
          <w:szCs w:val="24"/>
        </w:rPr>
        <w:t>东河上游特有鱼类省级水产种质资源保护区核心区</w:t>
      </w:r>
      <w:r>
        <w:rPr>
          <w:rFonts w:hint="eastAsia"/>
          <w:bCs/>
          <w:szCs w:val="24"/>
        </w:rPr>
        <w:t>河段，参照川水函</w:t>
      </w:r>
      <w:r>
        <w:rPr>
          <w:szCs w:val="24"/>
        </w:rPr>
        <w:t>[20</w:t>
      </w:r>
      <w:r>
        <w:rPr>
          <w:rFonts w:hint="eastAsia"/>
          <w:szCs w:val="24"/>
        </w:rPr>
        <w:t>18</w:t>
      </w:r>
      <w:r>
        <w:rPr>
          <w:szCs w:val="24"/>
        </w:rPr>
        <w:t>]</w:t>
      </w:r>
      <w:r>
        <w:rPr>
          <w:rFonts w:hint="eastAsia"/>
          <w:bCs/>
          <w:szCs w:val="24"/>
        </w:rPr>
        <w:t>720号文件“关于开展全省水电站下泄生态流量问题整改工作的通知”，按取水口15%比例下泄生态流量，即下泄1.59m</w:t>
      </w:r>
      <w:r>
        <w:rPr>
          <w:rFonts w:cs="Times New Roman"/>
          <w:bCs/>
          <w:szCs w:val="24"/>
        </w:rPr>
        <w:t>³</w:t>
      </w:r>
      <w:r>
        <w:rPr>
          <w:rFonts w:hint="eastAsia"/>
          <w:bCs/>
          <w:szCs w:val="24"/>
        </w:rPr>
        <w:t>/s的流量，加上天生桥水库下泄生态流量0.81m</w:t>
      </w:r>
      <w:r>
        <w:rPr>
          <w:rFonts w:cs="Times New Roman"/>
          <w:bCs/>
          <w:szCs w:val="24"/>
        </w:rPr>
        <w:t>³</w:t>
      </w:r>
      <w:r>
        <w:rPr>
          <w:rFonts w:hint="eastAsia"/>
          <w:bCs/>
          <w:szCs w:val="24"/>
        </w:rPr>
        <w:t>/s，福鑫水电站应保证下泄2.4</w:t>
      </w:r>
      <w:r>
        <w:rPr>
          <w:bCs/>
          <w:szCs w:val="24"/>
        </w:rPr>
        <w:t>0</w:t>
      </w:r>
      <w:r>
        <w:rPr>
          <w:rFonts w:hint="eastAsia"/>
          <w:bCs/>
          <w:szCs w:val="24"/>
        </w:rPr>
        <w:t>m</w:t>
      </w:r>
      <w:r>
        <w:rPr>
          <w:rFonts w:cs="Times New Roman"/>
          <w:bCs/>
          <w:szCs w:val="24"/>
        </w:rPr>
        <w:t>³</w:t>
      </w:r>
      <w:r>
        <w:rPr>
          <w:rFonts w:hint="eastAsia"/>
          <w:bCs/>
          <w:szCs w:val="24"/>
        </w:rPr>
        <w:t>/s的生态流量，基本能够满足生活在该水域的鱼类索饵、越冬的需要。</w:t>
      </w:r>
    </w:p>
    <w:p>
      <w:pPr>
        <w:ind w:firstLine="480"/>
      </w:pPr>
      <w:r>
        <w:rPr>
          <w:rFonts w:hint="eastAsia"/>
        </w:rPr>
        <w:t>综上，福鑫电站为规划的盐河电站，电站</w:t>
      </w:r>
      <w:r>
        <w:t>开发利用任务、工程规模、开发方式、调度 运行方式</w:t>
      </w:r>
      <w:r>
        <w:rPr>
          <w:rFonts w:hint="eastAsia"/>
        </w:rPr>
        <w:t>符合规划东河流域水电开发规划，且规划先行有效，根据开发利用状况与规划的符合性赋分标准表（</w:t>
      </w:r>
      <w:r>
        <w:fldChar w:fldCharType="begin"/>
      </w:r>
      <w:r>
        <w:instrText xml:space="preserve"> </w:instrText>
      </w:r>
      <w:r>
        <w:rPr>
          <w:rFonts w:hint="eastAsia"/>
        </w:rPr>
        <w:instrText xml:space="preserve">REF _Ref80717728 \h</w:instrText>
      </w:r>
      <w:r>
        <w:instrText xml:space="preserve"> </w:instrText>
      </w:r>
      <w:r>
        <w:fldChar w:fldCharType="separate"/>
      </w:r>
      <w:r>
        <w:rPr>
          <w:rFonts w:hint="eastAsia"/>
        </w:rPr>
        <w:t>表</w:t>
      </w:r>
      <w:r>
        <w:t>3.1</w:t>
      </w:r>
      <w:r>
        <w:noBreakHyphen/>
      </w:r>
      <w:r>
        <w:t>13</w:t>
      </w:r>
      <w:r>
        <w:fldChar w:fldCharType="end"/>
      </w:r>
      <w:r>
        <w:rPr>
          <w:rFonts w:hint="eastAsia"/>
        </w:rPr>
        <w:t>），福鑫电站开发利用状况与规划的符合性赋分为1</w:t>
      </w:r>
      <w:r>
        <w:t>00</w:t>
      </w:r>
      <w:r>
        <w:rPr>
          <w:rFonts w:hint="eastAsia"/>
        </w:rPr>
        <w:t>分。福鑫电站现下泄生态流量为多年平均流量的1</w:t>
      </w:r>
      <w:r>
        <w:t>0.56</w:t>
      </w:r>
      <w:r>
        <w:rPr>
          <w:rFonts w:hint="eastAsia"/>
        </w:rPr>
        <w:t>%，未达</w:t>
      </w:r>
      <w:r>
        <w:rPr>
          <w:rFonts w:hint="eastAsia"/>
          <w:bCs/>
          <w:szCs w:val="24"/>
        </w:rPr>
        <w:t>川水函</w:t>
      </w:r>
      <w:r>
        <w:rPr>
          <w:szCs w:val="24"/>
        </w:rPr>
        <w:t>[20</w:t>
      </w:r>
      <w:r>
        <w:rPr>
          <w:rFonts w:hint="eastAsia"/>
          <w:szCs w:val="24"/>
        </w:rPr>
        <w:t>18</w:t>
      </w:r>
      <w:r>
        <w:rPr>
          <w:szCs w:val="24"/>
        </w:rPr>
        <w:t>]</w:t>
      </w:r>
      <w:r>
        <w:rPr>
          <w:rFonts w:hint="eastAsia"/>
          <w:bCs/>
          <w:szCs w:val="24"/>
        </w:rPr>
        <w:t>720号文件要求的1</w:t>
      </w:r>
      <w:r>
        <w:rPr>
          <w:bCs/>
          <w:szCs w:val="24"/>
        </w:rPr>
        <w:t>5</w:t>
      </w:r>
      <w:r>
        <w:rPr>
          <w:rFonts w:hint="eastAsia"/>
          <w:bCs/>
          <w:szCs w:val="24"/>
        </w:rPr>
        <w:t>%，</w:t>
      </w:r>
      <w:r>
        <w:t>生态流量</w:t>
      </w:r>
      <w:r>
        <w:rPr>
          <w:rFonts w:hint="eastAsia"/>
        </w:rPr>
        <w:t>符合性得分8</w:t>
      </w:r>
      <w:r>
        <w:t>0</w:t>
      </w:r>
      <w:r>
        <w:rPr>
          <w:rFonts w:hint="eastAsia"/>
        </w:rPr>
        <w:t>分，综合得分9</w:t>
      </w:r>
      <w:r>
        <w:t>0</w:t>
      </w:r>
      <w:r>
        <w:rPr>
          <w:rFonts w:hint="eastAsia"/>
        </w:rPr>
        <w:t>分。</w:t>
      </w:r>
    </w:p>
    <w:p>
      <w:pPr>
        <w:ind w:firstLine="480"/>
      </w:pPr>
      <w:r>
        <w:rPr>
          <w:rFonts w:hint="eastAsia"/>
        </w:rPr>
        <w:t>（2）盐河电站</w:t>
      </w:r>
    </w:p>
    <w:p>
      <w:pPr>
        <w:ind w:firstLine="480"/>
      </w:pPr>
      <w:r>
        <w:rPr>
          <w:rFonts w:hint="eastAsia"/>
        </w:rPr>
        <w:t>盐河电站</w:t>
      </w:r>
      <w:r>
        <w:t>为引水式小型水力发电站，</w:t>
      </w:r>
      <w:r>
        <w:rPr>
          <w:rFonts w:hint="eastAsia"/>
        </w:rPr>
        <w:t>开发任务以</w:t>
      </w:r>
      <w:r>
        <w:t>水力发电为主，</w:t>
      </w:r>
      <w:r>
        <w:rPr>
          <w:rFonts w:hint="eastAsia"/>
        </w:rPr>
        <w:t>无防洪、灌溉、航运、城镇及工业用水要求，</w:t>
      </w:r>
      <w:r>
        <w:t>主体工程枢纽建筑物主要由拦河坝、引水隧洞、压力钢管道、厂区建筑等组成。项目竣工于2001年6月。装机容量2×</w:t>
      </w:r>
      <w:r>
        <w:rPr>
          <w:rFonts w:hint="eastAsia"/>
        </w:rPr>
        <w:t>630</w:t>
      </w:r>
      <w:r>
        <w:t>KW，电站设计</w:t>
      </w:r>
      <w:r>
        <w:rPr>
          <w:rFonts w:hint="eastAsia"/>
        </w:rPr>
        <w:t>水头28.90</w:t>
      </w:r>
      <w:r>
        <w:t>m，引水隧洞长</w:t>
      </w:r>
      <w:r>
        <w:rPr>
          <w:rFonts w:hint="eastAsia"/>
        </w:rPr>
        <w:t>1.7k</w:t>
      </w:r>
      <w:r>
        <w:t>m，设计下泄</w:t>
      </w:r>
      <w:r>
        <w:rPr>
          <w:rFonts w:hint="eastAsia"/>
        </w:rPr>
        <w:t>生态</w:t>
      </w:r>
      <w:r>
        <w:t>流量为</w:t>
      </w:r>
      <w:r>
        <w:rPr>
          <w:rFonts w:hint="eastAsia"/>
        </w:rPr>
        <w:t>1.27</w:t>
      </w:r>
      <w:r>
        <w:t>m³/s</w:t>
      </w:r>
      <w:r>
        <w:rPr>
          <w:rFonts w:hint="eastAsia"/>
        </w:rPr>
        <w:t>。</w:t>
      </w:r>
    </w:p>
    <w:p>
      <w:pPr>
        <w:ind w:firstLine="480"/>
      </w:pPr>
      <w:r>
        <w:rPr>
          <w:rFonts w:hint="eastAsia"/>
        </w:rPr>
        <w:t>盐河电站</w:t>
      </w:r>
      <w:r>
        <w:t>为小型低坝引水式电站，</w:t>
      </w:r>
      <w:r>
        <w:rPr>
          <w:rFonts w:hint="eastAsia"/>
        </w:rPr>
        <w:t>电站下泄生态流量为多年平均流量的1</w:t>
      </w:r>
      <w:r>
        <w:t>0.52</w:t>
      </w:r>
      <w:r>
        <w:rPr>
          <w:rFonts w:hint="eastAsia"/>
        </w:rPr>
        <w:t>%，大于《水电水利建设项目河道生态用水、低温水和过鱼设施环境影响评价技术指南（试行）》要求的1</w:t>
      </w:r>
      <w:r>
        <w:t>0</w:t>
      </w:r>
      <w:r>
        <w:rPr>
          <w:rFonts w:hint="eastAsia"/>
        </w:rPr>
        <w:t>%，符合水利要求的生态下泄流量。</w:t>
      </w:r>
    </w:p>
    <w:p>
      <w:pPr>
        <w:ind w:firstLine="480"/>
      </w:pPr>
      <w:r>
        <w:rPr>
          <w:rFonts w:hint="eastAsia"/>
          <w:bCs/>
          <w:szCs w:val="24"/>
        </w:rPr>
        <w:t>盐河电站取水口多年平均流量为</w:t>
      </w:r>
      <w:r>
        <w:rPr>
          <w:rFonts w:cs="Times New Roman"/>
          <w:bCs/>
          <w:szCs w:val="24"/>
        </w:rPr>
        <w:t>12.07m³/s</w:t>
      </w:r>
      <w:r>
        <w:rPr>
          <w:rFonts w:hint="eastAsia"/>
          <w:bCs/>
          <w:szCs w:val="24"/>
        </w:rPr>
        <w:t>，电站位于</w:t>
      </w:r>
      <w:r>
        <w:rPr>
          <w:rFonts w:hint="eastAsia"/>
          <w:kern w:val="0"/>
          <w:szCs w:val="24"/>
        </w:rPr>
        <w:t>东河上游特有鱼类省级水产种质资源保护区核心区</w:t>
      </w:r>
      <w:r>
        <w:rPr>
          <w:rFonts w:hint="eastAsia"/>
          <w:bCs/>
          <w:szCs w:val="24"/>
        </w:rPr>
        <w:t>河段，根据川水函</w:t>
      </w:r>
      <w:r>
        <w:rPr>
          <w:szCs w:val="24"/>
        </w:rPr>
        <w:t>[20</w:t>
      </w:r>
      <w:r>
        <w:rPr>
          <w:rFonts w:hint="eastAsia"/>
          <w:szCs w:val="24"/>
        </w:rPr>
        <w:t>18</w:t>
      </w:r>
      <w:r>
        <w:rPr>
          <w:szCs w:val="24"/>
        </w:rPr>
        <w:t>]</w:t>
      </w:r>
      <w:r>
        <w:rPr>
          <w:rFonts w:hint="eastAsia"/>
          <w:bCs/>
          <w:szCs w:val="24"/>
        </w:rPr>
        <w:t>720号文件“关于开展全省水电站下泄生态流量问题整改工作的通知”，按取水口15%比例下泄生态流量，即下泄1.81m</w:t>
      </w:r>
      <w:r>
        <w:rPr>
          <w:rFonts w:cs="Times New Roman"/>
          <w:bCs/>
          <w:szCs w:val="24"/>
        </w:rPr>
        <w:t>³</w:t>
      </w:r>
      <w:r>
        <w:rPr>
          <w:rFonts w:hint="eastAsia"/>
          <w:bCs/>
          <w:szCs w:val="24"/>
        </w:rPr>
        <w:t>/s的流量，加上天生桥水库下泄生态流量0.81m</w:t>
      </w:r>
      <w:r>
        <w:rPr>
          <w:rFonts w:cs="Times New Roman"/>
          <w:bCs/>
          <w:szCs w:val="24"/>
        </w:rPr>
        <w:t>³</w:t>
      </w:r>
      <w:r>
        <w:rPr>
          <w:rFonts w:hint="eastAsia"/>
          <w:bCs/>
          <w:szCs w:val="24"/>
        </w:rPr>
        <w:t>/s，盐河电站应保证下泄2.62m</w:t>
      </w:r>
      <w:r>
        <w:rPr>
          <w:rFonts w:cs="Times New Roman"/>
          <w:bCs/>
          <w:szCs w:val="24"/>
        </w:rPr>
        <w:t>³</w:t>
      </w:r>
      <w:r>
        <w:rPr>
          <w:rFonts w:hint="eastAsia"/>
          <w:bCs/>
          <w:szCs w:val="24"/>
        </w:rPr>
        <w:t>/s的生态流量，基本能够满足生活在该水域的鱼类索饵、越冬的需要。</w:t>
      </w:r>
    </w:p>
    <w:p>
      <w:pPr>
        <w:ind w:firstLine="480"/>
        <w:rPr>
          <w:szCs w:val="24"/>
        </w:rPr>
      </w:pPr>
      <w:r>
        <w:rPr>
          <w:rFonts w:hint="eastAsia"/>
          <w:szCs w:val="24"/>
        </w:rPr>
        <w:t>盐河电站建立时间较早，</w:t>
      </w:r>
      <w:r>
        <w:rPr>
          <w:rFonts w:hint="eastAsia"/>
        </w:rPr>
        <w:t>东河流域水电开发规划尚未编制，东河流域水电开发规划将盐河电站纳入盐井河梯级开发方案，与规划的福鑫、国华、青竹园构成 四个梯级开发电站，该水电站</w:t>
      </w:r>
      <w:r>
        <w:rPr>
          <w:rFonts w:hint="eastAsia"/>
          <w:szCs w:val="24"/>
        </w:rPr>
        <w:t>无相关的流域规划，无立项文件、用地预审文件等，但根据旺苍县小水电整改方案，盐河电站属于合理缺项予以保留的小型水电项目。</w:t>
      </w:r>
    </w:p>
    <w:p>
      <w:pPr>
        <w:ind w:firstLine="480"/>
      </w:pPr>
      <w:r>
        <w:rPr>
          <w:rFonts w:hint="eastAsia"/>
        </w:rPr>
        <w:t>综上，盐河电站由于历史原因，建立时间早于东河流域水电开发规划，东河流域水电开发规划编制时将其纳入盐井河梯级开发方案，且规划先行有效，根据开发利用状况与规划的符合性赋分标准表（</w:t>
      </w:r>
      <w:r>
        <w:fldChar w:fldCharType="begin"/>
      </w:r>
      <w:r>
        <w:instrText xml:space="preserve"> </w:instrText>
      </w:r>
      <w:r>
        <w:rPr>
          <w:rFonts w:hint="eastAsia"/>
        </w:rPr>
        <w:instrText xml:space="preserve">REF _Ref80717728 \h</w:instrText>
      </w:r>
      <w:r>
        <w:instrText xml:space="preserve"> </w:instrText>
      </w:r>
      <w:r>
        <w:fldChar w:fldCharType="separate"/>
      </w:r>
      <w:r>
        <w:rPr>
          <w:rFonts w:hint="eastAsia"/>
        </w:rPr>
        <w:t>表</w:t>
      </w:r>
      <w:r>
        <w:t>3.1</w:t>
      </w:r>
      <w:r>
        <w:noBreakHyphen/>
      </w:r>
      <w:r>
        <w:t>13</w:t>
      </w:r>
      <w:r>
        <w:fldChar w:fldCharType="end"/>
      </w:r>
      <w:r>
        <w:rPr>
          <w:rFonts w:hint="eastAsia"/>
        </w:rPr>
        <w:t>），盐河电站开发利用状况与规划的符合性赋分取1</w:t>
      </w:r>
      <w:r>
        <w:t>00</w:t>
      </w:r>
      <w:r>
        <w:rPr>
          <w:rFonts w:hint="eastAsia"/>
        </w:rPr>
        <w:t>分。盐河电站现下泄生态流量为多年平均流量的1</w:t>
      </w:r>
      <w:r>
        <w:t>0.52</w:t>
      </w:r>
      <w:r>
        <w:rPr>
          <w:rFonts w:hint="eastAsia"/>
        </w:rPr>
        <w:t>%，未达</w:t>
      </w:r>
      <w:r>
        <w:rPr>
          <w:rFonts w:hint="eastAsia"/>
          <w:bCs/>
          <w:szCs w:val="24"/>
        </w:rPr>
        <w:t>川水函</w:t>
      </w:r>
      <w:r>
        <w:rPr>
          <w:szCs w:val="24"/>
        </w:rPr>
        <w:t>[20</w:t>
      </w:r>
      <w:r>
        <w:rPr>
          <w:rFonts w:hint="eastAsia"/>
          <w:szCs w:val="24"/>
        </w:rPr>
        <w:t>18</w:t>
      </w:r>
      <w:r>
        <w:rPr>
          <w:szCs w:val="24"/>
        </w:rPr>
        <w:t>]</w:t>
      </w:r>
      <w:r>
        <w:rPr>
          <w:rFonts w:hint="eastAsia"/>
          <w:bCs/>
          <w:szCs w:val="24"/>
        </w:rPr>
        <w:t>720号文件要求的1</w:t>
      </w:r>
      <w:r>
        <w:rPr>
          <w:bCs/>
          <w:szCs w:val="24"/>
        </w:rPr>
        <w:t>5</w:t>
      </w:r>
      <w:r>
        <w:rPr>
          <w:rFonts w:hint="eastAsia"/>
          <w:bCs/>
          <w:szCs w:val="24"/>
        </w:rPr>
        <w:t>%，</w:t>
      </w:r>
      <w:r>
        <w:t>生态流量</w:t>
      </w:r>
      <w:r>
        <w:rPr>
          <w:rFonts w:hint="eastAsia"/>
        </w:rPr>
        <w:t>符合性得分8</w:t>
      </w:r>
      <w:r>
        <w:t>0</w:t>
      </w:r>
      <w:r>
        <w:rPr>
          <w:rFonts w:hint="eastAsia"/>
        </w:rPr>
        <w:t>分，综合得分9</w:t>
      </w:r>
      <w:r>
        <w:t>0</w:t>
      </w:r>
      <w:r>
        <w:rPr>
          <w:rFonts w:hint="eastAsia"/>
        </w:rPr>
        <w:t>分。</w:t>
      </w:r>
    </w:p>
    <w:p>
      <w:pPr>
        <w:ind w:firstLine="480"/>
      </w:pPr>
      <w:r>
        <w:rPr>
          <w:rFonts w:hint="eastAsia"/>
        </w:rPr>
        <w:t>（3）堤防工程</w:t>
      </w:r>
    </w:p>
    <w:p>
      <w:pPr>
        <w:ind w:firstLine="480"/>
      </w:pPr>
      <w:r>
        <w:rPr>
          <w:rFonts w:hint="eastAsia"/>
        </w:rPr>
        <w:t>四川省旺苍县盐井河国华镇防洪治理工程，该工程综合治理河长1</w:t>
      </w:r>
      <w:r>
        <w:t>.8</w:t>
      </w:r>
      <w:r>
        <w:rPr>
          <w:rFonts w:hint="eastAsia"/>
        </w:rPr>
        <w:t>km，起点位于国华镇险岩子，终点位于国华镇李子坝，全部为新建堤防。新建堤防全长2315.72m，其中盐井河干流1870.65m，红岩沟支流445.07m。盐井河干流堤防位于右岸，堤型为斜坡式复合生态堤防，支流红岩沟堤防位于左、右两岸，全长445.07m，其中左岸197.71m，右岸247.35m，两岸均为仰斜式堤型。主要保护国华镇场镇居民及部分农田，保护农田300余亩、保护场镇居民8000余人。</w:t>
      </w:r>
    </w:p>
    <w:p>
      <w:pPr>
        <w:ind w:firstLine="480"/>
      </w:pPr>
      <w:r>
        <w:rPr>
          <w:rFonts w:hint="eastAsia"/>
        </w:rPr>
        <w:t>根据《广元市旺苍县盐井河防洪治理工程实施规划》内容，盐井河国华镇河段防洪治理工程按“分清轻重缓急，统筹规划，分步实施”原则，确定为2015年前实施项目。《规划》内容中盐井河国华镇防洪治理工程描述如下：</w:t>
      </w:r>
    </w:p>
    <w:p>
      <w:pPr>
        <w:ind w:firstLine="480"/>
      </w:pPr>
      <w:r>
        <w:rPr>
          <w:rFonts w:hint="eastAsia"/>
        </w:rPr>
        <w:t>“近期实施项目盐井河国华镇场镇河段防洪治理工程,防洪标准为10年一遇,综合治理长度1.8km，其中新建堤防1800m，清淤疏浚200m，工程总投资1060万元，起于庄子湾，止于红岩沟……”。</w:t>
      </w:r>
    </w:p>
    <w:p>
      <w:pPr>
        <w:ind w:firstLine="480"/>
      </w:pPr>
      <w:r>
        <w:rPr>
          <w:rFonts w:hint="eastAsia"/>
        </w:rPr>
        <w:t>综上，盐井河国华镇河段堤防符合规划要求，且规划先行有效，根据开发利用状况与规划的符合性赋分标准表（</w:t>
      </w:r>
      <w:r>
        <w:fldChar w:fldCharType="begin"/>
      </w:r>
      <w:r>
        <w:instrText xml:space="preserve"> </w:instrText>
      </w:r>
      <w:r>
        <w:rPr>
          <w:rFonts w:hint="eastAsia"/>
        </w:rPr>
        <w:instrText xml:space="preserve">REF _Ref80717728 \h</w:instrText>
      </w:r>
      <w:r>
        <w:instrText xml:space="preserve"> </w:instrText>
      </w:r>
      <w:r>
        <w:fldChar w:fldCharType="separate"/>
      </w:r>
      <w:r>
        <w:rPr>
          <w:rFonts w:hint="eastAsia"/>
        </w:rPr>
        <w:t>表</w:t>
      </w:r>
      <w:r>
        <w:t>3.1</w:t>
      </w:r>
      <w:r>
        <w:noBreakHyphen/>
      </w:r>
      <w:r>
        <w:t>13</w:t>
      </w:r>
      <w:r>
        <w:fldChar w:fldCharType="end"/>
      </w:r>
      <w:r>
        <w:rPr>
          <w:rFonts w:hint="eastAsia"/>
        </w:rPr>
        <w:t>），盐井河开发利用状况与规划的符合性得分为1</w:t>
      </w:r>
      <w:r>
        <w:t>00</w:t>
      </w:r>
      <w:r>
        <w:rPr>
          <w:rFonts w:hint="eastAsia"/>
        </w:rPr>
        <w:t>分。</w:t>
      </w:r>
    </w:p>
    <w:p>
      <w:pPr>
        <w:ind w:firstLine="480"/>
      </w:pPr>
      <w:r>
        <w:rPr>
          <w:rFonts w:hint="eastAsia"/>
        </w:rPr>
        <w:t>综上（</w:t>
      </w:r>
      <w:r>
        <w:t>1</w:t>
      </w:r>
      <w:r>
        <w:rPr>
          <w:rFonts w:hint="eastAsia"/>
        </w:rPr>
        <w:t>）（2）（3）所述，盐井河开发利用与规划的符合性项指标福鑫电站9</w:t>
      </w:r>
      <w:r>
        <w:t>0</w:t>
      </w:r>
      <w:r>
        <w:rPr>
          <w:rFonts w:hint="eastAsia"/>
        </w:rPr>
        <w:t>分，盐河电站得分9</w:t>
      </w:r>
      <w:r>
        <w:t>0</w:t>
      </w:r>
      <w:r>
        <w:rPr>
          <w:rFonts w:hint="eastAsia"/>
        </w:rPr>
        <w:t>分，国华镇堤防得分1</w:t>
      </w:r>
      <w:r>
        <w:t>00</w:t>
      </w:r>
      <w:r>
        <w:rPr>
          <w:rFonts w:hint="eastAsia"/>
        </w:rPr>
        <w:t>分，综合得分9</w:t>
      </w:r>
      <w:r>
        <w:t>3</w:t>
      </w:r>
      <w:r>
        <w:rPr>
          <w:rFonts w:hint="eastAsia"/>
        </w:rPr>
        <w:t>分。</w:t>
      </w:r>
    </w:p>
    <w:p>
      <w:pPr>
        <w:pStyle w:val="3"/>
        <w:ind w:left="301" w:hanging="301"/>
      </w:pPr>
      <w:bookmarkStart w:id="180" w:name="_Toc80719422"/>
      <w:bookmarkStart w:id="181" w:name="_Toc86049206"/>
      <w:r>
        <w:rPr>
          <w:rFonts w:hint="eastAsia"/>
        </w:rPr>
        <w:t>健康综合评价结论</w:t>
      </w:r>
      <w:bookmarkEnd w:id="180"/>
      <w:bookmarkEnd w:id="181"/>
    </w:p>
    <w:p>
      <w:pPr>
        <w:pStyle w:val="4"/>
        <w:ind w:left="240"/>
      </w:pPr>
      <w:bookmarkStart w:id="182" w:name="_Toc80719423"/>
      <w:bookmarkStart w:id="183" w:name="_Toc86049207"/>
      <w:r>
        <w:rPr>
          <w:rFonts w:hint="eastAsia"/>
        </w:rPr>
        <w:t>赋分计算</w:t>
      </w:r>
      <w:bookmarkEnd w:id="182"/>
      <w:bookmarkEnd w:id="183"/>
    </w:p>
    <w:p>
      <w:pPr>
        <w:ind w:firstLine="480"/>
      </w:pPr>
      <w:r>
        <w:rPr>
          <w:rFonts w:hint="eastAsia"/>
        </w:rPr>
        <w:t>根据上述指标层各指标得分结果，按照《指南》中河流指标权重表计算盐井河准则层加权平均分，根据准则层加权平均计算结果，计算盐井河目标层加权平均分，得到盐井河健康评价综合得分结果。则盐井河健康评价评价指标层各项得分结果及权重见下表：</w:t>
      </w:r>
    </w:p>
    <w:p>
      <w:pPr>
        <w:pStyle w:val="58"/>
        <w:rPr>
          <w:color w:val="auto"/>
        </w:rPr>
      </w:pPr>
      <w:r>
        <w:rPr>
          <w:rFonts w:hint="eastAsia"/>
          <w:color w:val="auto"/>
        </w:rPr>
        <w:t>表</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5.2</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1</w:t>
      </w:r>
      <w:r>
        <w:rPr>
          <w:color w:val="auto"/>
        </w:rPr>
        <w:fldChar w:fldCharType="end"/>
      </w:r>
      <w:r>
        <w:rPr>
          <w:rFonts w:hint="eastAsia"/>
          <w:color w:val="auto"/>
        </w:rPr>
        <w:t>盐井河健康评价赋分情况表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3"/>
        <w:gridCol w:w="1132"/>
        <w:gridCol w:w="2038"/>
        <w:gridCol w:w="1166"/>
        <w:gridCol w:w="1311"/>
        <w:gridCol w:w="1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0" w:type="pct"/>
            <w:vMerge w:val="restart"/>
            <w:vAlign w:val="center"/>
          </w:tcPr>
          <w:p>
            <w:pPr>
              <w:pStyle w:val="43"/>
            </w:pPr>
            <w:r>
              <w:t>分类指标</w:t>
            </w:r>
          </w:p>
        </w:tc>
        <w:tc>
          <w:tcPr>
            <w:tcW w:w="664" w:type="pct"/>
            <w:vMerge w:val="restart"/>
            <w:vAlign w:val="center"/>
          </w:tcPr>
          <w:p>
            <w:pPr>
              <w:pStyle w:val="43"/>
            </w:pPr>
            <w:r>
              <w:rPr>
                <w:rFonts w:hint="eastAsia"/>
              </w:rPr>
              <w:t>所占权重</w:t>
            </w:r>
          </w:p>
        </w:tc>
        <w:tc>
          <w:tcPr>
            <w:tcW w:w="1196" w:type="pct"/>
            <w:vMerge w:val="restart"/>
            <w:vAlign w:val="center"/>
          </w:tcPr>
          <w:p>
            <w:pPr>
              <w:pStyle w:val="43"/>
            </w:pPr>
            <w:r>
              <w:rPr>
                <w:rFonts w:hint="eastAsia"/>
              </w:rPr>
              <w:t>分项指标</w:t>
            </w:r>
          </w:p>
        </w:tc>
        <w:tc>
          <w:tcPr>
            <w:tcW w:w="684" w:type="pct"/>
            <w:vAlign w:val="center"/>
          </w:tcPr>
          <w:p>
            <w:pPr>
              <w:pStyle w:val="43"/>
            </w:pPr>
            <w:r>
              <w:rPr>
                <w:rFonts w:hint="eastAsia"/>
              </w:rPr>
              <w:t>河流类型</w:t>
            </w:r>
          </w:p>
        </w:tc>
        <w:tc>
          <w:tcPr>
            <w:tcW w:w="769" w:type="pct"/>
            <w:vMerge w:val="restart"/>
            <w:vAlign w:val="center"/>
          </w:tcPr>
          <w:p>
            <w:pPr>
              <w:pStyle w:val="43"/>
            </w:pPr>
            <w:r>
              <w:rPr>
                <w:rFonts w:hint="eastAsia"/>
              </w:rPr>
              <w:t>指标层得分</w:t>
            </w:r>
          </w:p>
        </w:tc>
        <w:tc>
          <w:tcPr>
            <w:tcW w:w="987" w:type="pct"/>
            <w:vMerge w:val="restart"/>
            <w:vAlign w:val="center"/>
          </w:tcPr>
          <w:p>
            <w:pPr>
              <w:pStyle w:val="43"/>
            </w:pPr>
            <w:r>
              <w:rPr>
                <w:rFonts w:hint="eastAsia"/>
                <w:lang w:eastAsia="zh-CN"/>
              </w:rPr>
              <w:t>准则</w:t>
            </w:r>
            <w:r>
              <w:rPr>
                <w:rFonts w:hint="eastAsia"/>
              </w:rPr>
              <w:t>层得分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0" w:type="pct"/>
            <w:vMerge w:val="continue"/>
            <w:vAlign w:val="center"/>
          </w:tcPr>
          <w:p>
            <w:pPr>
              <w:pStyle w:val="43"/>
            </w:pPr>
          </w:p>
        </w:tc>
        <w:tc>
          <w:tcPr>
            <w:tcW w:w="664" w:type="pct"/>
            <w:vMerge w:val="continue"/>
            <w:vAlign w:val="center"/>
          </w:tcPr>
          <w:p>
            <w:pPr>
              <w:pStyle w:val="43"/>
            </w:pPr>
          </w:p>
        </w:tc>
        <w:tc>
          <w:tcPr>
            <w:tcW w:w="1196" w:type="pct"/>
            <w:vMerge w:val="continue"/>
            <w:vAlign w:val="center"/>
          </w:tcPr>
          <w:p>
            <w:pPr>
              <w:pStyle w:val="43"/>
            </w:pPr>
          </w:p>
        </w:tc>
        <w:tc>
          <w:tcPr>
            <w:tcW w:w="684" w:type="pct"/>
            <w:vAlign w:val="center"/>
          </w:tcPr>
          <w:p>
            <w:pPr>
              <w:pStyle w:val="43"/>
            </w:pPr>
            <w:r>
              <w:t>自然河流</w:t>
            </w:r>
          </w:p>
        </w:tc>
        <w:tc>
          <w:tcPr>
            <w:tcW w:w="769" w:type="pct"/>
            <w:vMerge w:val="continue"/>
          </w:tcPr>
          <w:p>
            <w:pPr>
              <w:pStyle w:val="43"/>
            </w:pPr>
          </w:p>
        </w:tc>
        <w:tc>
          <w:tcPr>
            <w:tcW w:w="987" w:type="pct"/>
            <w:vMerge w:val="continue"/>
          </w:tcPr>
          <w:p>
            <w:pPr>
              <w:pStyle w:val="4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0" w:type="pct"/>
            <w:vMerge w:val="restart"/>
            <w:vAlign w:val="center"/>
          </w:tcPr>
          <w:p>
            <w:pPr>
              <w:pStyle w:val="43"/>
            </w:pPr>
            <w:r>
              <w:rPr>
                <w:rFonts w:hint="eastAsia"/>
              </w:rPr>
              <w:t>水文水资源</w:t>
            </w:r>
          </w:p>
        </w:tc>
        <w:tc>
          <w:tcPr>
            <w:tcW w:w="664" w:type="pct"/>
            <w:vMerge w:val="restart"/>
            <w:vAlign w:val="center"/>
          </w:tcPr>
          <w:p>
            <w:pPr>
              <w:pStyle w:val="43"/>
            </w:pPr>
            <w:r>
              <w:rPr>
                <w:rFonts w:hint="eastAsia"/>
              </w:rPr>
              <w:t>0</w:t>
            </w:r>
            <w:r>
              <w:t>.2</w:t>
            </w:r>
          </w:p>
        </w:tc>
        <w:tc>
          <w:tcPr>
            <w:tcW w:w="1196" w:type="pct"/>
            <w:vAlign w:val="center"/>
          </w:tcPr>
          <w:p>
            <w:pPr>
              <w:pStyle w:val="43"/>
            </w:pPr>
            <w:r>
              <w:rPr>
                <w:rFonts w:hint="eastAsia"/>
              </w:rPr>
              <w:t>水资源开发利用率</w:t>
            </w:r>
          </w:p>
        </w:tc>
        <w:tc>
          <w:tcPr>
            <w:tcW w:w="684" w:type="pct"/>
            <w:vAlign w:val="center"/>
          </w:tcPr>
          <w:p>
            <w:pPr>
              <w:pStyle w:val="43"/>
            </w:pPr>
            <w:r>
              <w:rPr>
                <w:rFonts w:hint="eastAsia"/>
              </w:rPr>
              <w:t>0</w:t>
            </w:r>
            <w:r>
              <w:t>.05</w:t>
            </w:r>
          </w:p>
        </w:tc>
        <w:tc>
          <w:tcPr>
            <w:tcW w:w="769" w:type="pct"/>
            <w:vAlign w:val="center"/>
          </w:tcPr>
          <w:p>
            <w:pPr>
              <w:pStyle w:val="43"/>
            </w:pPr>
            <w:r>
              <w:rPr>
                <w:rFonts w:eastAsia="等线"/>
                <w:szCs w:val="21"/>
              </w:rPr>
              <w:t>80</w:t>
            </w:r>
          </w:p>
        </w:tc>
        <w:tc>
          <w:tcPr>
            <w:tcW w:w="987" w:type="pct"/>
            <w:vMerge w:val="restart"/>
            <w:vAlign w:val="center"/>
          </w:tcPr>
          <w:p>
            <w:pPr>
              <w:pStyle w:val="43"/>
            </w:pPr>
            <w: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0" w:type="pct"/>
            <w:vMerge w:val="continue"/>
            <w:vAlign w:val="center"/>
          </w:tcPr>
          <w:p>
            <w:pPr>
              <w:pStyle w:val="43"/>
            </w:pPr>
          </w:p>
        </w:tc>
        <w:tc>
          <w:tcPr>
            <w:tcW w:w="664" w:type="pct"/>
            <w:vMerge w:val="continue"/>
            <w:vAlign w:val="center"/>
          </w:tcPr>
          <w:p>
            <w:pPr>
              <w:pStyle w:val="43"/>
            </w:pPr>
          </w:p>
        </w:tc>
        <w:tc>
          <w:tcPr>
            <w:tcW w:w="1196" w:type="pct"/>
            <w:vAlign w:val="center"/>
          </w:tcPr>
          <w:p>
            <w:pPr>
              <w:pStyle w:val="43"/>
            </w:pPr>
            <w:r>
              <w:rPr>
                <w:rFonts w:hint="eastAsia"/>
              </w:rPr>
              <w:t>生态用水满足程度</w:t>
            </w:r>
          </w:p>
        </w:tc>
        <w:tc>
          <w:tcPr>
            <w:tcW w:w="684" w:type="pct"/>
            <w:vAlign w:val="center"/>
          </w:tcPr>
          <w:p>
            <w:pPr>
              <w:pStyle w:val="43"/>
            </w:pPr>
            <w:r>
              <w:rPr>
                <w:rFonts w:hint="eastAsia"/>
              </w:rPr>
              <w:t>0</w:t>
            </w:r>
            <w:r>
              <w:t>.15</w:t>
            </w:r>
          </w:p>
        </w:tc>
        <w:tc>
          <w:tcPr>
            <w:tcW w:w="769" w:type="pct"/>
            <w:vAlign w:val="center"/>
          </w:tcPr>
          <w:p>
            <w:pPr>
              <w:pStyle w:val="43"/>
            </w:pPr>
            <w:r>
              <w:rPr>
                <w:rFonts w:eastAsia="等线"/>
                <w:szCs w:val="21"/>
              </w:rPr>
              <w:t>40</w:t>
            </w:r>
          </w:p>
        </w:tc>
        <w:tc>
          <w:tcPr>
            <w:tcW w:w="987" w:type="pct"/>
            <w:vMerge w:val="continue"/>
            <w:vAlign w:val="center"/>
          </w:tcPr>
          <w:p>
            <w:pPr>
              <w:pStyle w:val="4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0" w:type="pct"/>
            <w:vMerge w:val="restart"/>
            <w:vAlign w:val="center"/>
          </w:tcPr>
          <w:p>
            <w:pPr>
              <w:pStyle w:val="43"/>
            </w:pPr>
            <w:r>
              <w:rPr>
                <w:rFonts w:hint="eastAsia"/>
              </w:rPr>
              <w:t>物理结构</w:t>
            </w:r>
          </w:p>
        </w:tc>
        <w:tc>
          <w:tcPr>
            <w:tcW w:w="664" w:type="pct"/>
            <w:vMerge w:val="restart"/>
            <w:vAlign w:val="center"/>
          </w:tcPr>
          <w:p>
            <w:pPr>
              <w:pStyle w:val="43"/>
            </w:pPr>
            <w:r>
              <w:rPr>
                <w:rFonts w:hint="eastAsia"/>
              </w:rPr>
              <w:t>0</w:t>
            </w:r>
            <w:r>
              <w:t>.30</w:t>
            </w:r>
          </w:p>
        </w:tc>
        <w:tc>
          <w:tcPr>
            <w:tcW w:w="1196" w:type="pct"/>
            <w:vAlign w:val="center"/>
          </w:tcPr>
          <w:p>
            <w:pPr>
              <w:pStyle w:val="43"/>
            </w:pPr>
            <w:r>
              <w:rPr>
                <w:rFonts w:hint="eastAsia"/>
              </w:rPr>
              <w:t>河岸稳定性指标</w:t>
            </w:r>
          </w:p>
        </w:tc>
        <w:tc>
          <w:tcPr>
            <w:tcW w:w="684" w:type="pct"/>
            <w:vAlign w:val="center"/>
          </w:tcPr>
          <w:p>
            <w:pPr>
              <w:pStyle w:val="43"/>
            </w:pPr>
            <w:r>
              <w:rPr>
                <w:rFonts w:hint="eastAsia"/>
              </w:rPr>
              <w:t>0</w:t>
            </w:r>
            <w:r>
              <w:t>.15</w:t>
            </w:r>
          </w:p>
        </w:tc>
        <w:tc>
          <w:tcPr>
            <w:tcW w:w="769" w:type="pct"/>
            <w:vAlign w:val="center"/>
          </w:tcPr>
          <w:p>
            <w:pPr>
              <w:pStyle w:val="43"/>
            </w:pPr>
            <w:r>
              <w:rPr>
                <w:rFonts w:eastAsia="等线"/>
                <w:szCs w:val="21"/>
              </w:rPr>
              <w:t>65</w:t>
            </w:r>
          </w:p>
        </w:tc>
        <w:tc>
          <w:tcPr>
            <w:tcW w:w="987" w:type="pct"/>
            <w:vMerge w:val="restart"/>
            <w:vAlign w:val="center"/>
          </w:tcPr>
          <w:p>
            <w:pPr>
              <w:pStyle w:val="43"/>
            </w:pPr>
            <w:r>
              <w:t>32.5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0" w:type="pct"/>
            <w:vMerge w:val="continue"/>
            <w:vAlign w:val="center"/>
          </w:tcPr>
          <w:p>
            <w:pPr>
              <w:pStyle w:val="43"/>
            </w:pPr>
          </w:p>
        </w:tc>
        <w:tc>
          <w:tcPr>
            <w:tcW w:w="664" w:type="pct"/>
            <w:vMerge w:val="continue"/>
            <w:vAlign w:val="center"/>
          </w:tcPr>
          <w:p>
            <w:pPr>
              <w:pStyle w:val="43"/>
            </w:pPr>
          </w:p>
        </w:tc>
        <w:tc>
          <w:tcPr>
            <w:tcW w:w="1196" w:type="pct"/>
            <w:vAlign w:val="center"/>
          </w:tcPr>
          <w:p>
            <w:pPr>
              <w:pStyle w:val="43"/>
            </w:pPr>
            <w:r>
              <w:rPr>
                <w:rFonts w:hint="eastAsia"/>
              </w:rPr>
              <w:t>河流纵向连通指数</w:t>
            </w:r>
          </w:p>
        </w:tc>
        <w:tc>
          <w:tcPr>
            <w:tcW w:w="684" w:type="pct"/>
            <w:vAlign w:val="center"/>
          </w:tcPr>
          <w:p>
            <w:pPr>
              <w:pStyle w:val="43"/>
            </w:pPr>
            <w:r>
              <w:rPr>
                <w:rFonts w:hint="eastAsia"/>
              </w:rPr>
              <w:t>0</w:t>
            </w:r>
            <w:r>
              <w:t>.15</w:t>
            </w:r>
          </w:p>
        </w:tc>
        <w:tc>
          <w:tcPr>
            <w:tcW w:w="769" w:type="pct"/>
            <w:vAlign w:val="center"/>
          </w:tcPr>
          <w:p>
            <w:pPr>
              <w:pStyle w:val="43"/>
            </w:pPr>
            <w:r>
              <w:rPr>
                <w:rFonts w:eastAsia="等线"/>
                <w:szCs w:val="21"/>
              </w:rPr>
              <w:t>0</w:t>
            </w:r>
          </w:p>
        </w:tc>
        <w:tc>
          <w:tcPr>
            <w:tcW w:w="987" w:type="pct"/>
            <w:vMerge w:val="continue"/>
            <w:vAlign w:val="center"/>
          </w:tcPr>
          <w:p>
            <w:pPr>
              <w:pStyle w:val="4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0" w:type="pct"/>
            <w:vMerge w:val="restart"/>
            <w:vAlign w:val="center"/>
          </w:tcPr>
          <w:p>
            <w:pPr>
              <w:pStyle w:val="43"/>
            </w:pPr>
            <w:r>
              <w:rPr>
                <w:rFonts w:hint="eastAsia"/>
              </w:rPr>
              <w:t>水质</w:t>
            </w:r>
          </w:p>
        </w:tc>
        <w:tc>
          <w:tcPr>
            <w:tcW w:w="664" w:type="pct"/>
            <w:vMerge w:val="restart"/>
            <w:vAlign w:val="center"/>
          </w:tcPr>
          <w:p>
            <w:pPr>
              <w:pStyle w:val="43"/>
            </w:pPr>
            <w:r>
              <w:rPr>
                <w:rFonts w:hint="eastAsia"/>
              </w:rPr>
              <w:t>0</w:t>
            </w:r>
            <w:r>
              <w:t>.25</w:t>
            </w:r>
          </w:p>
        </w:tc>
        <w:tc>
          <w:tcPr>
            <w:tcW w:w="1196" w:type="pct"/>
            <w:vAlign w:val="center"/>
          </w:tcPr>
          <w:p>
            <w:pPr>
              <w:pStyle w:val="43"/>
            </w:pPr>
            <w:r>
              <w:rPr>
                <w:rFonts w:hint="eastAsia"/>
              </w:rPr>
              <w:t>水体整洁程度</w:t>
            </w:r>
          </w:p>
        </w:tc>
        <w:tc>
          <w:tcPr>
            <w:tcW w:w="684" w:type="pct"/>
            <w:vAlign w:val="center"/>
          </w:tcPr>
          <w:p>
            <w:pPr>
              <w:pStyle w:val="43"/>
            </w:pPr>
            <w:r>
              <w:rPr>
                <w:rFonts w:hint="eastAsia"/>
              </w:rPr>
              <w:t>0</w:t>
            </w:r>
            <w:r>
              <w:t>.05</w:t>
            </w:r>
          </w:p>
        </w:tc>
        <w:tc>
          <w:tcPr>
            <w:tcW w:w="769" w:type="pct"/>
            <w:vAlign w:val="center"/>
          </w:tcPr>
          <w:p>
            <w:pPr>
              <w:pStyle w:val="43"/>
            </w:pPr>
            <w:r>
              <w:rPr>
                <w:rFonts w:eastAsia="等线"/>
                <w:szCs w:val="21"/>
              </w:rPr>
              <w:t>87</w:t>
            </w:r>
          </w:p>
        </w:tc>
        <w:tc>
          <w:tcPr>
            <w:tcW w:w="987" w:type="pct"/>
            <w:vMerge w:val="restart"/>
            <w:vAlign w:val="center"/>
          </w:tcPr>
          <w:p>
            <w:pPr>
              <w:pStyle w:val="43"/>
            </w:pPr>
            <w:r>
              <w:t>97.4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0" w:type="pct"/>
            <w:vMerge w:val="continue"/>
            <w:vAlign w:val="center"/>
          </w:tcPr>
          <w:p>
            <w:pPr>
              <w:pStyle w:val="43"/>
            </w:pPr>
          </w:p>
        </w:tc>
        <w:tc>
          <w:tcPr>
            <w:tcW w:w="664" w:type="pct"/>
            <w:vMerge w:val="continue"/>
            <w:vAlign w:val="center"/>
          </w:tcPr>
          <w:p>
            <w:pPr>
              <w:pStyle w:val="43"/>
            </w:pPr>
          </w:p>
        </w:tc>
        <w:tc>
          <w:tcPr>
            <w:tcW w:w="1196" w:type="pct"/>
            <w:vAlign w:val="center"/>
          </w:tcPr>
          <w:p>
            <w:pPr>
              <w:pStyle w:val="43"/>
            </w:pPr>
            <w:r>
              <w:rPr>
                <w:rFonts w:hint="eastAsia"/>
              </w:rPr>
              <w:t>水质优劣程度</w:t>
            </w:r>
          </w:p>
        </w:tc>
        <w:tc>
          <w:tcPr>
            <w:tcW w:w="684" w:type="pct"/>
            <w:vAlign w:val="center"/>
          </w:tcPr>
          <w:p>
            <w:pPr>
              <w:pStyle w:val="43"/>
            </w:pPr>
            <w:r>
              <w:rPr>
                <w:rFonts w:hint="eastAsia"/>
              </w:rPr>
              <w:t>0</w:t>
            </w:r>
            <w:r>
              <w:t>.15</w:t>
            </w:r>
          </w:p>
        </w:tc>
        <w:tc>
          <w:tcPr>
            <w:tcW w:w="769" w:type="pct"/>
            <w:vAlign w:val="center"/>
          </w:tcPr>
          <w:p>
            <w:pPr>
              <w:pStyle w:val="43"/>
            </w:pPr>
            <w:r>
              <w:rPr>
                <w:rFonts w:eastAsia="等线"/>
                <w:szCs w:val="21"/>
              </w:rPr>
              <w:t>100</w:t>
            </w:r>
          </w:p>
        </w:tc>
        <w:tc>
          <w:tcPr>
            <w:tcW w:w="987" w:type="pct"/>
            <w:vMerge w:val="continue"/>
            <w:vAlign w:val="center"/>
          </w:tcPr>
          <w:p>
            <w:pPr>
              <w:pStyle w:val="4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0" w:type="pct"/>
            <w:vMerge w:val="continue"/>
            <w:vAlign w:val="center"/>
          </w:tcPr>
          <w:p>
            <w:pPr>
              <w:pStyle w:val="43"/>
            </w:pPr>
          </w:p>
        </w:tc>
        <w:tc>
          <w:tcPr>
            <w:tcW w:w="664" w:type="pct"/>
            <w:vMerge w:val="continue"/>
            <w:vAlign w:val="center"/>
          </w:tcPr>
          <w:p>
            <w:pPr>
              <w:pStyle w:val="43"/>
            </w:pPr>
          </w:p>
        </w:tc>
        <w:tc>
          <w:tcPr>
            <w:tcW w:w="1196" w:type="pct"/>
            <w:vAlign w:val="center"/>
          </w:tcPr>
          <w:p>
            <w:pPr>
              <w:pStyle w:val="43"/>
            </w:pPr>
            <w:r>
              <w:rPr>
                <w:rFonts w:hint="eastAsia"/>
              </w:rPr>
              <w:t>水质变化趋势</w:t>
            </w:r>
          </w:p>
        </w:tc>
        <w:tc>
          <w:tcPr>
            <w:tcW w:w="684" w:type="pct"/>
            <w:vAlign w:val="center"/>
          </w:tcPr>
          <w:p>
            <w:pPr>
              <w:pStyle w:val="43"/>
            </w:pPr>
            <w:r>
              <w:rPr>
                <w:rFonts w:hint="eastAsia"/>
              </w:rPr>
              <w:t>0</w:t>
            </w:r>
            <w:r>
              <w:t>.05</w:t>
            </w:r>
          </w:p>
        </w:tc>
        <w:tc>
          <w:tcPr>
            <w:tcW w:w="769" w:type="pct"/>
            <w:vAlign w:val="center"/>
          </w:tcPr>
          <w:p>
            <w:pPr>
              <w:pStyle w:val="43"/>
            </w:pPr>
            <w:r>
              <w:rPr>
                <w:rFonts w:eastAsia="等线"/>
                <w:szCs w:val="21"/>
              </w:rPr>
              <w:t>100</w:t>
            </w:r>
          </w:p>
        </w:tc>
        <w:tc>
          <w:tcPr>
            <w:tcW w:w="987" w:type="pct"/>
            <w:vMerge w:val="continue"/>
            <w:vAlign w:val="center"/>
          </w:tcPr>
          <w:p>
            <w:pPr>
              <w:pStyle w:val="4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0" w:type="pct"/>
            <w:vMerge w:val="restart"/>
            <w:vAlign w:val="center"/>
          </w:tcPr>
          <w:p>
            <w:pPr>
              <w:pStyle w:val="43"/>
            </w:pPr>
            <w:r>
              <w:rPr>
                <w:rFonts w:hint="eastAsia"/>
              </w:rPr>
              <w:t>生物</w:t>
            </w:r>
          </w:p>
        </w:tc>
        <w:tc>
          <w:tcPr>
            <w:tcW w:w="664" w:type="pct"/>
            <w:vMerge w:val="restart"/>
            <w:vAlign w:val="center"/>
          </w:tcPr>
          <w:p>
            <w:pPr>
              <w:pStyle w:val="43"/>
            </w:pPr>
            <w:r>
              <w:rPr>
                <w:rFonts w:hint="eastAsia"/>
              </w:rPr>
              <w:t>0</w:t>
            </w:r>
            <w:r>
              <w:t>.10</w:t>
            </w:r>
          </w:p>
        </w:tc>
        <w:tc>
          <w:tcPr>
            <w:tcW w:w="1196" w:type="pct"/>
            <w:vAlign w:val="center"/>
          </w:tcPr>
          <w:p>
            <w:pPr>
              <w:pStyle w:val="43"/>
            </w:pPr>
            <w:r>
              <w:rPr>
                <w:rFonts w:hint="eastAsia"/>
              </w:rPr>
              <w:t>鱼类保有指数</w:t>
            </w:r>
          </w:p>
        </w:tc>
        <w:tc>
          <w:tcPr>
            <w:tcW w:w="684" w:type="pct"/>
            <w:vAlign w:val="center"/>
          </w:tcPr>
          <w:p>
            <w:pPr>
              <w:pStyle w:val="43"/>
            </w:pPr>
            <w:r>
              <w:rPr>
                <w:rFonts w:hint="eastAsia"/>
              </w:rPr>
              <w:t>0</w:t>
            </w:r>
            <w:r>
              <w:t>.05</w:t>
            </w:r>
          </w:p>
        </w:tc>
        <w:tc>
          <w:tcPr>
            <w:tcW w:w="769" w:type="pct"/>
            <w:vAlign w:val="center"/>
          </w:tcPr>
          <w:p>
            <w:pPr>
              <w:pStyle w:val="43"/>
            </w:pPr>
            <w:r>
              <w:rPr>
                <w:rFonts w:eastAsia="等线"/>
                <w:szCs w:val="21"/>
              </w:rPr>
              <w:t>80</w:t>
            </w:r>
          </w:p>
        </w:tc>
        <w:tc>
          <w:tcPr>
            <w:tcW w:w="987" w:type="pct"/>
            <w:vMerge w:val="restart"/>
            <w:vAlign w:val="center"/>
          </w:tcPr>
          <w:p>
            <w:pPr>
              <w:pStyle w:val="43"/>
            </w:pPr>
            <w:r>
              <w:rPr>
                <w:rFonts w:hint="eastAsia"/>
              </w:rPr>
              <w:t>9</w:t>
            </w:r>
            <w: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0" w:type="pct"/>
            <w:vMerge w:val="continue"/>
            <w:vAlign w:val="center"/>
          </w:tcPr>
          <w:p>
            <w:pPr>
              <w:pStyle w:val="43"/>
            </w:pPr>
          </w:p>
        </w:tc>
        <w:tc>
          <w:tcPr>
            <w:tcW w:w="664" w:type="pct"/>
            <w:vMerge w:val="continue"/>
            <w:vAlign w:val="center"/>
          </w:tcPr>
          <w:p>
            <w:pPr>
              <w:pStyle w:val="43"/>
            </w:pPr>
          </w:p>
        </w:tc>
        <w:tc>
          <w:tcPr>
            <w:tcW w:w="1196" w:type="pct"/>
            <w:vAlign w:val="center"/>
          </w:tcPr>
          <w:p>
            <w:pPr>
              <w:pStyle w:val="43"/>
            </w:pPr>
            <w:r>
              <w:rPr>
                <w:rFonts w:hint="eastAsia"/>
              </w:rPr>
              <w:t>外来水生动植物</w:t>
            </w:r>
          </w:p>
        </w:tc>
        <w:tc>
          <w:tcPr>
            <w:tcW w:w="684" w:type="pct"/>
            <w:vAlign w:val="center"/>
          </w:tcPr>
          <w:p>
            <w:pPr>
              <w:pStyle w:val="43"/>
            </w:pPr>
            <w:r>
              <w:rPr>
                <w:rFonts w:hint="eastAsia"/>
              </w:rPr>
              <w:t>0</w:t>
            </w:r>
            <w:r>
              <w:t>.05</w:t>
            </w:r>
          </w:p>
        </w:tc>
        <w:tc>
          <w:tcPr>
            <w:tcW w:w="769" w:type="pct"/>
            <w:vAlign w:val="center"/>
          </w:tcPr>
          <w:p>
            <w:pPr>
              <w:pStyle w:val="43"/>
            </w:pPr>
            <w:r>
              <w:rPr>
                <w:rFonts w:eastAsia="等线"/>
                <w:szCs w:val="21"/>
              </w:rPr>
              <w:t>100</w:t>
            </w:r>
          </w:p>
        </w:tc>
        <w:tc>
          <w:tcPr>
            <w:tcW w:w="987" w:type="pct"/>
            <w:vMerge w:val="continue"/>
            <w:vAlign w:val="center"/>
          </w:tcPr>
          <w:p>
            <w:pPr>
              <w:pStyle w:val="4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0" w:type="pct"/>
            <w:vMerge w:val="restart"/>
            <w:vAlign w:val="center"/>
          </w:tcPr>
          <w:p>
            <w:pPr>
              <w:pStyle w:val="43"/>
            </w:pPr>
            <w:r>
              <w:rPr>
                <w:rFonts w:hint="eastAsia"/>
              </w:rPr>
              <w:t>河湖管理与社会服务功能</w:t>
            </w:r>
          </w:p>
        </w:tc>
        <w:tc>
          <w:tcPr>
            <w:tcW w:w="664" w:type="pct"/>
            <w:vMerge w:val="restart"/>
            <w:vAlign w:val="center"/>
          </w:tcPr>
          <w:p>
            <w:pPr>
              <w:pStyle w:val="43"/>
            </w:pPr>
            <w:r>
              <w:rPr>
                <w:rFonts w:hint="eastAsia"/>
              </w:rPr>
              <w:t>0</w:t>
            </w:r>
            <w:r>
              <w:t>.15</w:t>
            </w:r>
          </w:p>
        </w:tc>
        <w:tc>
          <w:tcPr>
            <w:tcW w:w="1196" w:type="pct"/>
            <w:vAlign w:val="center"/>
          </w:tcPr>
          <w:p>
            <w:pPr>
              <w:pStyle w:val="43"/>
            </w:pPr>
            <w:r>
              <w:rPr>
                <w:rFonts w:hint="eastAsia"/>
              </w:rPr>
              <w:t>公众满意度</w:t>
            </w:r>
          </w:p>
        </w:tc>
        <w:tc>
          <w:tcPr>
            <w:tcW w:w="684" w:type="pct"/>
            <w:vAlign w:val="center"/>
          </w:tcPr>
          <w:p>
            <w:pPr>
              <w:pStyle w:val="43"/>
            </w:pPr>
            <w:r>
              <w:rPr>
                <w:rFonts w:hint="eastAsia"/>
              </w:rPr>
              <w:t>0</w:t>
            </w:r>
            <w:r>
              <w:t>.05</w:t>
            </w:r>
          </w:p>
        </w:tc>
        <w:tc>
          <w:tcPr>
            <w:tcW w:w="769" w:type="pct"/>
            <w:vAlign w:val="center"/>
          </w:tcPr>
          <w:p>
            <w:pPr>
              <w:pStyle w:val="43"/>
            </w:pPr>
            <w:r>
              <w:rPr>
                <w:rFonts w:eastAsia="等线"/>
                <w:szCs w:val="21"/>
              </w:rPr>
              <w:t>80</w:t>
            </w:r>
          </w:p>
        </w:tc>
        <w:tc>
          <w:tcPr>
            <w:tcW w:w="987" w:type="pct"/>
            <w:vMerge w:val="restart"/>
            <w:vAlign w:val="center"/>
          </w:tcPr>
          <w:p>
            <w:pPr>
              <w:pStyle w:val="43"/>
            </w:pPr>
            <w:r>
              <w:t>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0" w:type="pct"/>
            <w:vMerge w:val="continue"/>
            <w:vAlign w:val="center"/>
          </w:tcPr>
          <w:p>
            <w:pPr>
              <w:pStyle w:val="43"/>
            </w:pPr>
          </w:p>
        </w:tc>
        <w:tc>
          <w:tcPr>
            <w:tcW w:w="664" w:type="pct"/>
            <w:vMerge w:val="continue"/>
            <w:vAlign w:val="center"/>
          </w:tcPr>
          <w:p>
            <w:pPr>
              <w:pStyle w:val="43"/>
            </w:pPr>
          </w:p>
        </w:tc>
        <w:tc>
          <w:tcPr>
            <w:tcW w:w="1196" w:type="pct"/>
            <w:vAlign w:val="center"/>
          </w:tcPr>
          <w:p>
            <w:pPr>
              <w:pStyle w:val="43"/>
            </w:pPr>
            <w:r>
              <w:rPr>
                <w:rFonts w:hint="eastAsia"/>
              </w:rPr>
              <w:t>防洪指标</w:t>
            </w:r>
          </w:p>
        </w:tc>
        <w:tc>
          <w:tcPr>
            <w:tcW w:w="684" w:type="pct"/>
            <w:vAlign w:val="center"/>
          </w:tcPr>
          <w:p>
            <w:pPr>
              <w:pStyle w:val="43"/>
            </w:pPr>
            <w:r>
              <w:rPr>
                <w:rFonts w:hint="eastAsia"/>
              </w:rPr>
              <w:t>0</w:t>
            </w:r>
            <w:r>
              <w:t>.02</w:t>
            </w:r>
          </w:p>
        </w:tc>
        <w:tc>
          <w:tcPr>
            <w:tcW w:w="769" w:type="pct"/>
            <w:vAlign w:val="center"/>
          </w:tcPr>
          <w:p>
            <w:pPr>
              <w:pStyle w:val="43"/>
            </w:pPr>
            <w:r>
              <w:rPr>
                <w:rFonts w:eastAsia="等线"/>
                <w:szCs w:val="21"/>
              </w:rPr>
              <w:t>100</w:t>
            </w:r>
          </w:p>
        </w:tc>
        <w:tc>
          <w:tcPr>
            <w:tcW w:w="987" w:type="pct"/>
            <w:vMerge w:val="continue"/>
          </w:tcPr>
          <w:p>
            <w:pPr>
              <w:pStyle w:val="4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0" w:type="pct"/>
            <w:vMerge w:val="continue"/>
            <w:vAlign w:val="center"/>
          </w:tcPr>
          <w:p>
            <w:pPr>
              <w:pStyle w:val="43"/>
            </w:pPr>
          </w:p>
        </w:tc>
        <w:tc>
          <w:tcPr>
            <w:tcW w:w="664" w:type="pct"/>
            <w:vMerge w:val="continue"/>
            <w:vAlign w:val="center"/>
          </w:tcPr>
          <w:p>
            <w:pPr>
              <w:pStyle w:val="43"/>
            </w:pPr>
          </w:p>
        </w:tc>
        <w:tc>
          <w:tcPr>
            <w:tcW w:w="1196" w:type="pct"/>
            <w:vAlign w:val="center"/>
          </w:tcPr>
          <w:p>
            <w:pPr>
              <w:pStyle w:val="43"/>
            </w:pPr>
            <w:r>
              <w:rPr>
                <w:rFonts w:hint="eastAsia"/>
              </w:rPr>
              <w:t>供水指标</w:t>
            </w:r>
          </w:p>
        </w:tc>
        <w:tc>
          <w:tcPr>
            <w:tcW w:w="684" w:type="pct"/>
            <w:vAlign w:val="center"/>
          </w:tcPr>
          <w:p>
            <w:pPr>
              <w:pStyle w:val="43"/>
            </w:pPr>
            <w:r>
              <w:rPr>
                <w:rFonts w:hint="eastAsia"/>
              </w:rPr>
              <w:t>0</w:t>
            </w:r>
            <w:r>
              <w:t>.03</w:t>
            </w:r>
          </w:p>
        </w:tc>
        <w:tc>
          <w:tcPr>
            <w:tcW w:w="769" w:type="pct"/>
            <w:vAlign w:val="center"/>
          </w:tcPr>
          <w:p>
            <w:pPr>
              <w:pStyle w:val="43"/>
            </w:pPr>
            <w:r>
              <w:rPr>
                <w:rFonts w:eastAsia="等线"/>
                <w:szCs w:val="21"/>
              </w:rPr>
              <w:t>100</w:t>
            </w:r>
          </w:p>
        </w:tc>
        <w:tc>
          <w:tcPr>
            <w:tcW w:w="987" w:type="pct"/>
            <w:vMerge w:val="continue"/>
          </w:tcPr>
          <w:p>
            <w:pPr>
              <w:pStyle w:val="4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0" w:type="pct"/>
            <w:vMerge w:val="continue"/>
            <w:vAlign w:val="center"/>
          </w:tcPr>
          <w:p>
            <w:pPr>
              <w:pStyle w:val="43"/>
            </w:pPr>
          </w:p>
        </w:tc>
        <w:tc>
          <w:tcPr>
            <w:tcW w:w="664" w:type="pct"/>
            <w:vMerge w:val="continue"/>
            <w:vAlign w:val="center"/>
          </w:tcPr>
          <w:p>
            <w:pPr>
              <w:pStyle w:val="43"/>
            </w:pPr>
          </w:p>
        </w:tc>
        <w:tc>
          <w:tcPr>
            <w:tcW w:w="1196" w:type="pct"/>
            <w:vAlign w:val="center"/>
          </w:tcPr>
          <w:p>
            <w:pPr>
              <w:pStyle w:val="43"/>
            </w:pPr>
            <w:r>
              <w:rPr>
                <w:rFonts w:hint="eastAsia"/>
              </w:rPr>
              <w:t>开发利用与规划的符合性分析</w:t>
            </w:r>
          </w:p>
        </w:tc>
        <w:tc>
          <w:tcPr>
            <w:tcW w:w="684" w:type="pct"/>
            <w:vAlign w:val="center"/>
          </w:tcPr>
          <w:p>
            <w:pPr>
              <w:pStyle w:val="43"/>
            </w:pPr>
            <w:r>
              <w:rPr>
                <w:rFonts w:hint="eastAsia"/>
              </w:rPr>
              <w:t>0</w:t>
            </w:r>
            <w:r>
              <w:t>.05</w:t>
            </w:r>
          </w:p>
        </w:tc>
        <w:tc>
          <w:tcPr>
            <w:tcW w:w="769" w:type="pct"/>
            <w:vAlign w:val="center"/>
          </w:tcPr>
          <w:p>
            <w:pPr>
              <w:pStyle w:val="43"/>
            </w:pPr>
            <w:r>
              <w:rPr>
                <w:rFonts w:eastAsia="等线"/>
                <w:szCs w:val="21"/>
              </w:rPr>
              <w:t>93</w:t>
            </w:r>
          </w:p>
        </w:tc>
        <w:tc>
          <w:tcPr>
            <w:tcW w:w="987" w:type="pct"/>
            <w:vMerge w:val="continue"/>
            <w:vAlign w:val="center"/>
          </w:tcPr>
          <w:p>
            <w:pPr>
              <w:pStyle w:val="43"/>
            </w:pPr>
          </w:p>
        </w:tc>
      </w:tr>
    </w:tbl>
    <w:p>
      <w:pPr>
        <w:ind w:firstLine="480"/>
      </w:pPr>
    </w:p>
    <w:p>
      <w:pPr>
        <w:ind w:firstLine="480"/>
      </w:pPr>
      <w:r>
        <w:rPr>
          <w:rFonts w:hint="eastAsia"/>
        </w:rPr>
        <w:t>对河湖健康进行综合评价时，按照目标层、准则层及指标层逐层加权的方法，计算得到各河段健康最终评价结果，计算公式如下：</w:t>
      </w:r>
    </w:p>
    <w:p>
      <w:pPr>
        <w:ind w:firstLine="0" w:firstLineChars="0"/>
        <w:jc w:val="center"/>
      </w:pPr>
      <w:r>
        <w:rPr>
          <w:position w:val="-34"/>
        </w:rPr>
        <w:object>
          <v:shape id="_x0000_i1026" o:spt="75" type="#_x0000_t75" style="height:47.25pt;width:213.75pt;" o:ole="t" filled="f" o:preferrelative="t" stroked="f" coordsize="21600,21600">
            <v:path/>
            <v:fill on="f" focussize="0,0"/>
            <v:stroke on="f" joinstyle="miter"/>
            <v:imagedata r:id="rId31" o:title=""/>
            <o:lock v:ext="edit" aspectratio="t"/>
            <w10:wrap type="none"/>
            <w10:anchorlock/>
          </v:shape>
          <o:OLEObject Type="Embed" ProgID="Equation.3" ShapeID="_x0000_i1026" DrawAspect="Content" ObjectID="_1468075726" r:id="rId30">
            <o:LockedField>false</o:LockedField>
          </o:OLEObject>
        </w:object>
      </w:r>
    </w:p>
    <w:p>
      <w:pPr>
        <w:ind w:firstLine="480"/>
      </w:pPr>
      <w:r>
        <w:rPr>
          <w:rFonts w:hint="eastAsia"/>
        </w:rPr>
        <w:t>式中：</w:t>
      </w:r>
    </w:p>
    <w:p>
      <w:pPr>
        <w:ind w:firstLine="480"/>
      </w:pPr>
      <w:r>
        <w:rPr>
          <w:position w:val="-12"/>
        </w:rPr>
        <w:object>
          <v:shape id="_x0000_i1027" o:spt="75" type="#_x0000_t75" style="height:18.75pt;width:28.5pt;" o:ole="t" filled="f" o:preferrelative="t" stroked="f" coordsize="21600,21600">
            <v:path/>
            <v:fill on="f" focussize="0,0"/>
            <v:stroke on="f" joinstyle="miter"/>
            <v:imagedata r:id="rId33" o:title=""/>
            <o:lock v:ext="edit" aspectratio="t"/>
            <w10:wrap type="none"/>
            <w10:anchorlock/>
          </v:shape>
          <o:OLEObject Type="Embed" ProgID="Equation.3" ShapeID="_x0000_i1027" DrawAspect="Content" ObjectID="_1468075727" r:id="rId32">
            <o:LockedField>false</o:LockedField>
          </o:OLEObject>
        </w:object>
      </w:r>
      <w:r>
        <w:rPr>
          <w:rFonts w:hint="eastAsia"/>
        </w:rPr>
        <w:t>—第</w:t>
      </w:r>
      <w:r>
        <w:rPr>
          <w:position w:val="-6"/>
        </w:rPr>
        <w:object>
          <v:shape id="_x0000_i1028" o:spt="75" type="#_x0000_t75" style="height:13.5pt;width:6.75pt;" o:ole="t" filled="f" o:preferrelative="t" stroked="f" coordsize="21600,21600">
            <v:path/>
            <v:fill on="f" focussize="0,0"/>
            <v:stroke on="f" joinstyle="miter"/>
            <v:imagedata r:id="rId35" o:title=""/>
            <o:lock v:ext="edit" aspectratio="t"/>
            <w10:wrap type="none"/>
            <w10:anchorlock/>
          </v:shape>
          <o:OLEObject Type="Embed" ProgID="Equation.3" ShapeID="_x0000_i1028" DrawAspect="Content" ObjectID="_1468075728" r:id="rId34">
            <o:LockedField>false</o:LockedField>
          </o:OLEObject>
        </w:object>
      </w:r>
      <w:r>
        <w:rPr>
          <w:rFonts w:hint="eastAsia"/>
        </w:rPr>
        <w:t>评价河段健康综合赋分；</w:t>
      </w:r>
    </w:p>
    <w:p>
      <w:pPr>
        <w:ind w:firstLine="480"/>
      </w:pPr>
      <w:r>
        <w:rPr>
          <w:position w:val="-12"/>
        </w:rPr>
        <w:object>
          <v:shape id="_x0000_i1029" o:spt="75" type="#_x0000_t75" style="height:18.75pt;width:27pt;" o:ole="t" filled="f" o:preferrelative="t" stroked="f" coordsize="21600,21600">
            <v:path/>
            <v:fill on="f" focussize="0,0"/>
            <v:stroke on="f" joinstyle="miter"/>
            <v:imagedata r:id="rId37" o:title=""/>
            <o:lock v:ext="edit" aspectratio="t"/>
            <w10:wrap type="none"/>
            <w10:anchorlock/>
          </v:shape>
          <o:OLEObject Type="Embed" ProgID="Equation.3" ShapeID="_x0000_i1029" DrawAspect="Content" ObjectID="_1468075729" r:id="rId36">
            <o:LockedField>false</o:LockedField>
          </o:OLEObject>
        </w:object>
      </w:r>
      <w:r>
        <w:rPr>
          <w:rFonts w:hint="eastAsia"/>
        </w:rPr>
        <w:t>—指标层第</w:t>
      </w:r>
      <w:r>
        <w:rPr>
          <w:position w:val="-6"/>
        </w:rPr>
        <w:object>
          <v:shape id="_x0000_i1030" o:spt="75" type="#_x0000_t75" style="height:11.25pt;width:9.75pt;" o:ole="t" filled="f" o:preferrelative="t" stroked="f" coordsize="21600,21600">
            <v:path/>
            <v:fill on="f" focussize="0,0"/>
            <v:stroke on="f" joinstyle="miter"/>
            <v:imagedata r:id="rId39" o:title=""/>
            <o:lock v:ext="edit" aspectratio="t"/>
            <w10:wrap type="none"/>
            <w10:anchorlock/>
          </v:shape>
          <o:OLEObject Type="Embed" ProgID="Equation.3" ShapeID="_x0000_i1030" DrawAspect="Content" ObjectID="_1468075730" r:id="rId38">
            <o:LockedField>false</o:LockedField>
          </o:OLEObject>
        </w:object>
      </w:r>
      <w:r>
        <w:rPr>
          <w:rFonts w:hint="eastAsia"/>
        </w:rPr>
        <w:t>个指标的权重；</w:t>
      </w:r>
    </w:p>
    <w:p>
      <w:pPr>
        <w:ind w:firstLine="480"/>
      </w:pPr>
      <w:r>
        <w:rPr>
          <w:position w:val="-12"/>
        </w:rPr>
        <w:object>
          <v:shape id="_x0000_i1031" o:spt="75" type="#_x0000_t75" style="height:18.75pt;width:24.75pt;" o:ole="t" filled="f" o:preferrelative="t" stroked="f" coordsize="21600,21600">
            <v:path/>
            <v:fill on="f" focussize="0,0"/>
            <v:stroke on="f" joinstyle="miter"/>
            <v:imagedata r:id="rId41" o:title=""/>
            <o:lock v:ext="edit" aspectratio="t"/>
            <w10:wrap type="none"/>
            <w10:anchorlock/>
          </v:shape>
          <o:OLEObject Type="Embed" ProgID="Equation.3" ShapeID="_x0000_i1031" DrawAspect="Content" ObjectID="_1468075731" r:id="rId40">
            <o:LockedField>false</o:LockedField>
          </o:OLEObject>
        </w:object>
      </w:r>
      <w:r>
        <w:rPr>
          <w:rFonts w:hint="eastAsia"/>
        </w:rPr>
        <w:t>—指标层第</w:t>
      </w:r>
      <w:r>
        <w:rPr>
          <w:position w:val="-6"/>
        </w:rPr>
        <w:object>
          <v:shape id="_x0000_i1032" o:spt="75" type="#_x0000_t75" style="height:11.25pt;width:9.75pt;" o:ole="t" filled="f" o:preferrelative="t" stroked="f" coordsize="21600,21600">
            <v:path/>
            <v:fill on="f" focussize="0,0"/>
            <v:stroke on="f" joinstyle="miter"/>
            <v:imagedata r:id="rId39" o:title=""/>
            <o:lock v:ext="edit" aspectratio="t"/>
            <w10:wrap type="none"/>
            <w10:anchorlock/>
          </v:shape>
          <o:OLEObject Type="Embed" ProgID="Equation.3" ShapeID="_x0000_i1032" DrawAspect="Content" ObjectID="_1468075732" r:id="rId42">
            <o:LockedField>false</o:LockedField>
          </o:OLEObject>
        </w:object>
      </w:r>
      <w:r>
        <w:rPr>
          <w:rFonts w:hint="eastAsia"/>
        </w:rPr>
        <w:t>个指标的赋分；</w:t>
      </w:r>
    </w:p>
    <w:p>
      <w:pPr>
        <w:ind w:firstLine="480"/>
      </w:pPr>
      <w:r>
        <w:rPr>
          <w:position w:val="-12"/>
        </w:rPr>
        <w:object>
          <v:shape id="_x0000_i1033" o:spt="75" type="#_x0000_t75" style="height:18.75pt;width:36.75pt;" o:ole="t" filled="f" o:preferrelative="t" stroked="f" coordsize="21600,21600">
            <v:path/>
            <v:fill on="f" focussize="0,0"/>
            <v:stroke on="f" joinstyle="miter"/>
            <v:imagedata r:id="rId44" o:title=""/>
            <o:lock v:ext="edit" aspectratio="t"/>
            <w10:wrap type="none"/>
            <w10:anchorlock/>
          </v:shape>
          <o:OLEObject Type="Embed" ProgID="Equation.3" ShapeID="_x0000_i1033" DrawAspect="Content" ObjectID="_1468075733" r:id="rId43">
            <o:LockedField>false</o:LockedField>
          </o:OLEObject>
        </w:object>
      </w:r>
      <w:r>
        <w:rPr>
          <w:rFonts w:hint="eastAsia"/>
        </w:rPr>
        <w:t>—准则层第</w:t>
      </w:r>
      <w:r>
        <w:rPr>
          <w:position w:val="-6"/>
        </w:rPr>
        <w:object>
          <v:shape id="_x0000_i1034" o:spt="75" type="#_x0000_t75" style="height:11.25pt;width:13.5pt;" o:ole="t" filled="f" o:preferrelative="t" stroked="f" coordsize="21600,21600">
            <v:path/>
            <v:fill on="f" focussize="0,0"/>
            <v:stroke on="f" joinstyle="miter"/>
            <v:imagedata r:id="rId46" o:title=""/>
            <o:lock v:ext="edit" aspectratio="t"/>
            <w10:wrap type="none"/>
            <w10:anchorlock/>
          </v:shape>
          <o:OLEObject Type="Embed" ProgID="Equation.3" ShapeID="_x0000_i1034" DrawAspect="Content" ObjectID="_1468075734" r:id="rId45">
            <o:LockedField>false</o:LockedField>
          </o:OLEObject>
        </w:object>
      </w:r>
      <w:r>
        <w:rPr>
          <w:rFonts w:hint="eastAsia"/>
        </w:rPr>
        <w:t>个准则层的权重。</w:t>
      </w:r>
    </w:p>
    <w:p>
      <w:pPr>
        <w:ind w:firstLine="480"/>
      </w:pPr>
      <w:r>
        <w:rPr>
          <w:rFonts w:hint="eastAsia"/>
        </w:rPr>
        <w:t>经计算，盐井河健康综合得分为</w:t>
      </w:r>
      <w:r>
        <w:rPr>
          <w:rFonts w:hint="eastAsia"/>
          <w:lang w:eastAsia="zh-CN"/>
        </w:rPr>
        <w:t>66.75</w:t>
      </w:r>
      <w:r>
        <w:rPr>
          <w:rFonts w:hint="eastAsia"/>
        </w:rPr>
        <w:t>分。</w:t>
      </w:r>
    </w:p>
    <w:p>
      <w:pPr>
        <w:ind w:firstLine="480"/>
      </w:pPr>
    </w:p>
    <w:p>
      <w:pPr>
        <w:ind w:firstLine="0" w:firstLineChars="0"/>
        <w:jc w:val="center"/>
      </w:pPr>
      <w:r>
        <w:drawing>
          <wp:inline distT="0" distB="0" distL="0" distR="0">
            <wp:extent cx="4591050" cy="2940685"/>
            <wp:effectExtent l="0" t="0" r="0" b="12065"/>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pPr>
        <w:pStyle w:val="57"/>
      </w:pPr>
      <w:r>
        <w:rPr>
          <w:rFonts w:hint="eastAsia"/>
        </w:rPr>
        <w:t>图</w:t>
      </w:r>
      <w:r>
        <w:fldChar w:fldCharType="begin"/>
      </w:r>
      <w:r>
        <w:instrText xml:space="preserve"> </w:instrText>
      </w:r>
      <w:r>
        <w:rPr>
          <w:rFonts w:hint="eastAsia"/>
        </w:rPr>
        <w:instrText xml:space="preserve">STYLEREF 2 \s</w:instrText>
      </w:r>
      <w:r>
        <w:instrText xml:space="preserve"> </w:instrText>
      </w:r>
      <w:r>
        <w:fldChar w:fldCharType="separate"/>
      </w:r>
      <w:r>
        <w:t>5.2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t>1</w:t>
      </w:r>
      <w:r>
        <w:fldChar w:fldCharType="end"/>
      </w:r>
      <w:r>
        <w:rPr>
          <w:rFonts w:hint="eastAsia"/>
        </w:rPr>
        <w:t>盐井河健康评价指标层赋分示意图</w:t>
      </w:r>
    </w:p>
    <w:p>
      <w:pPr>
        <w:pStyle w:val="50"/>
        <w:ind w:firstLine="480"/>
      </w:pPr>
    </w:p>
    <w:p>
      <w:pPr>
        <w:ind w:firstLine="0" w:firstLineChars="0"/>
        <w:jc w:val="center"/>
        <w:rPr>
          <w:b/>
        </w:rPr>
      </w:pPr>
      <w:r>
        <w:drawing>
          <wp:inline distT="0" distB="0" distL="0" distR="0">
            <wp:extent cx="4499610" cy="3007995"/>
            <wp:effectExtent l="0" t="0" r="15240" b="1905"/>
            <wp:docPr id="15"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pPr>
        <w:pStyle w:val="57"/>
      </w:pPr>
      <w:r>
        <w:rPr>
          <w:rFonts w:hint="eastAsia"/>
        </w:rPr>
        <w:t>图</w:t>
      </w:r>
      <w:r>
        <w:fldChar w:fldCharType="begin"/>
      </w:r>
      <w:r>
        <w:instrText xml:space="preserve"> </w:instrText>
      </w:r>
      <w:r>
        <w:rPr>
          <w:rFonts w:hint="eastAsia"/>
        </w:rPr>
        <w:instrText xml:space="preserve">STYLEREF 2 \s</w:instrText>
      </w:r>
      <w:r>
        <w:instrText xml:space="preserve"> </w:instrText>
      </w:r>
      <w:r>
        <w:fldChar w:fldCharType="separate"/>
      </w:r>
      <w:r>
        <w:t>5.2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t>2</w:t>
      </w:r>
      <w:r>
        <w:fldChar w:fldCharType="end"/>
      </w:r>
      <w:r>
        <w:rPr>
          <w:rFonts w:hint="eastAsia"/>
        </w:rPr>
        <w:t>盐井河健康评价准则层赋分示意图</w:t>
      </w:r>
    </w:p>
    <w:p>
      <w:pPr>
        <w:pStyle w:val="4"/>
        <w:ind w:left="240"/>
      </w:pPr>
      <w:bookmarkStart w:id="184" w:name="_Toc86049208"/>
      <w:bookmarkStart w:id="185" w:name="_Toc80719424"/>
      <w:r>
        <w:rPr>
          <w:rFonts w:hint="eastAsia"/>
        </w:rPr>
        <w:t>综合评价结论</w:t>
      </w:r>
      <w:bookmarkEnd w:id="184"/>
      <w:bookmarkEnd w:id="185"/>
    </w:p>
    <w:p>
      <w:pPr>
        <w:ind w:firstLine="480"/>
      </w:pPr>
      <w:r>
        <w:rPr>
          <w:rFonts w:hint="eastAsia"/>
        </w:rPr>
        <w:t>1、评价分类标准</w:t>
      </w:r>
    </w:p>
    <w:p>
      <w:pPr>
        <w:ind w:firstLine="480"/>
      </w:pPr>
      <w:r>
        <w:rPr>
          <w:rFonts w:hint="eastAsia"/>
        </w:rPr>
        <w:t>（</w:t>
      </w:r>
      <w:r>
        <w:t>1</w:t>
      </w:r>
      <w:r>
        <w:rPr>
          <w:rFonts w:hint="eastAsia"/>
        </w:rPr>
        <w:t>）河湖健康分为五类：一类河湖（非常健康）、二类河湖（健康）、三类河湖（亚健康）、四类河湖（不健康）、五类河湖（劣态）。</w:t>
      </w:r>
    </w:p>
    <w:p>
      <w:pPr>
        <w:ind w:firstLine="480"/>
      </w:pPr>
      <w:r>
        <w:rPr>
          <w:rFonts w:hint="eastAsia"/>
        </w:rPr>
        <w:t>（</w:t>
      </w:r>
      <w:r>
        <w:t>2</w:t>
      </w:r>
      <w:r>
        <w:rPr>
          <w:rFonts w:hint="eastAsia"/>
        </w:rPr>
        <w:t>）河湖健康分类根据评估指标综合得分确定，采用百分制，河湖健康分类、状态、得分范围、颜色和</w:t>
      </w:r>
      <w:r>
        <w:t>RGB</w:t>
      </w:r>
      <w:r>
        <w:rPr>
          <w:rFonts w:hint="eastAsia"/>
        </w:rPr>
        <w:t>色值说明见</w:t>
      </w:r>
      <w:r>
        <w:fldChar w:fldCharType="begin"/>
      </w:r>
      <w:r>
        <w:instrText xml:space="preserve"> </w:instrText>
      </w:r>
      <w:r>
        <w:rPr>
          <w:rFonts w:hint="eastAsia"/>
        </w:rPr>
        <w:instrText xml:space="preserve">REF _Ref80717826 \h</w:instrText>
      </w:r>
      <w:r>
        <w:instrText xml:space="preserve"> </w:instrText>
      </w:r>
      <w:r>
        <w:fldChar w:fldCharType="separate"/>
      </w:r>
      <w:r>
        <w:rPr>
          <w:rFonts w:hint="eastAsia"/>
        </w:rPr>
        <w:t>表</w:t>
      </w:r>
      <w:r>
        <w:t>5.2</w:t>
      </w:r>
      <w:r>
        <w:noBreakHyphen/>
      </w:r>
      <w:r>
        <w:t>2</w:t>
      </w:r>
      <w:r>
        <w:fldChar w:fldCharType="end"/>
      </w:r>
      <w:r>
        <w:rPr>
          <w:rFonts w:hint="eastAsia"/>
        </w:rPr>
        <w:t>。</w:t>
      </w:r>
    </w:p>
    <w:p>
      <w:pPr>
        <w:pStyle w:val="58"/>
        <w:rPr>
          <w:color w:val="auto"/>
        </w:rPr>
      </w:pPr>
      <w:bookmarkStart w:id="186" w:name="_Ref80717826"/>
      <w:bookmarkStart w:id="187" w:name="_Ref2590"/>
      <w:r>
        <w:rPr>
          <w:rFonts w:hint="eastAsia"/>
          <w:color w:val="auto"/>
        </w:rPr>
        <w:t>表</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5.2</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2</w:t>
      </w:r>
      <w:r>
        <w:rPr>
          <w:color w:val="auto"/>
        </w:rPr>
        <w:fldChar w:fldCharType="end"/>
      </w:r>
      <w:bookmarkEnd w:id="186"/>
      <w:r>
        <w:rPr>
          <w:rFonts w:hint="eastAsia"/>
          <w:color w:val="auto"/>
        </w:rPr>
        <w:t>河湖健康评价分类</w:t>
      </w:r>
      <w:bookmarkEnd w:id="187"/>
      <w:r>
        <w:rPr>
          <w:rFonts w:hint="eastAsia"/>
          <w:color w:val="auto"/>
        </w:rPr>
        <w:t>表</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1278"/>
        <w:gridCol w:w="1282"/>
        <w:gridCol w:w="1851"/>
        <w:gridCol w:w="997"/>
        <w:gridCol w:w="974"/>
        <w:gridCol w:w="19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trPr>
        <w:tc>
          <w:tcPr>
            <w:tcW w:w="767" w:type="pct"/>
            <w:shd w:val="clear" w:color="auto" w:fill="auto"/>
            <w:vAlign w:val="center"/>
          </w:tcPr>
          <w:p>
            <w:pPr>
              <w:pStyle w:val="43"/>
            </w:pPr>
            <w:r>
              <w:rPr>
                <w:rFonts w:hint="eastAsia"/>
              </w:rPr>
              <w:t>分类</w:t>
            </w:r>
          </w:p>
        </w:tc>
        <w:tc>
          <w:tcPr>
            <w:tcW w:w="769" w:type="pct"/>
            <w:shd w:val="clear" w:color="auto" w:fill="auto"/>
            <w:vAlign w:val="center"/>
          </w:tcPr>
          <w:p>
            <w:pPr>
              <w:pStyle w:val="43"/>
            </w:pPr>
            <w:r>
              <w:rPr>
                <w:rFonts w:hint="eastAsia"/>
              </w:rPr>
              <w:t>状态</w:t>
            </w:r>
          </w:p>
        </w:tc>
        <w:tc>
          <w:tcPr>
            <w:tcW w:w="1110" w:type="pct"/>
            <w:shd w:val="clear" w:color="auto" w:fill="auto"/>
            <w:vAlign w:val="center"/>
          </w:tcPr>
          <w:p>
            <w:pPr>
              <w:pStyle w:val="43"/>
            </w:pPr>
            <w:r>
              <w:rPr>
                <w:rFonts w:hint="eastAsia"/>
              </w:rPr>
              <w:t>赋分范围</w:t>
            </w:r>
          </w:p>
        </w:tc>
        <w:tc>
          <w:tcPr>
            <w:tcW w:w="1182" w:type="pct"/>
            <w:gridSpan w:val="2"/>
            <w:shd w:val="clear" w:color="auto" w:fill="auto"/>
            <w:vAlign w:val="center"/>
          </w:tcPr>
          <w:p>
            <w:pPr>
              <w:pStyle w:val="43"/>
            </w:pPr>
            <w:r>
              <w:rPr>
                <w:rFonts w:hint="eastAsia"/>
              </w:rPr>
              <w:t>颜色</w:t>
            </w:r>
          </w:p>
        </w:tc>
        <w:tc>
          <w:tcPr>
            <w:tcW w:w="1172" w:type="pct"/>
            <w:shd w:val="clear" w:color="auto" w:fill="auto"/>
            <w:vAlign w:val="center"/>
          </w:tcPr>
          <w:p>
            <w:pPr>
              <w:pStyle w:val="43"/>
            </w:pPr>
            <w:r>
              <w:t>RGB</w:t>
            </w:r>
            <w:r>
              <w:rPr>
                <w:rFonts w:hint="eastAsia"/>
              </w:rPr>
              <w:t>色值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1" w:hRule="atLeast"/>
        </w:trPr>
        <w:tc>
          <w:tcPr>
            <w:tcW w:w="767" w:type="pct"/>
            <w:shd w:val="clear" w:color="auto" w:fill="auto"/>
            <w:vAlign w:val="center"/>
          </w:tcPr>
          <w:p>
            <w:pPr>
              <w:pStyle w:val="43"/>
            </w:pPr>
            <w:r>
              <w:rPr>
                <w:rFonts w:hint="eastAsia"/>
              </w:rPr>
              <w:t>一类河湖</w:t>
            </w:r>
          </w:p>
        </w:tc>
        <w:tc>
          <w:tcPr>
            <w:tcW w:w="769" w:type="pct"/>
            <w:shd w:val="clear" w:color="auto" w:fill="auto"/>
            <w:vAlign w:val="center"/>
          </w:tcPr>
          <w:p>
            <w:pPr>
              <w:pStyle w:val="43"/>
            </w:pPr>
            <w:r>
              <w:rPr>
                <w:rFonts w:hint="eastAsia"/>
              </w:rPr>
              <w:t>非常健康</w:t>
            </w:r>
          </w:p>
        </w:tc>
        <w:tc>
          <w:tcPr>
            <w:tcW w:w="1110" w:type="pct"/>
            <w:shd w:val="clear" w:color="auto" w:fill="auto"/>
            <w:vAlign w:val="center"/>
          </w:tcPr>
          <w:p>
            <w:pPr>
              <w:pStyle w:val="43"/>
            </w:pPr>
            <w:r>
              <w:t>85</w:t>
            </w:r>
            <w:r>
              <w:rPr>
                <w:rFonts w:hint="eastAsia"/>
              </w:rPr>
              <w:t>≤</w:t>
            </w:r>
            <w:r>
              <w:t>RHI</w:t>
            </w:r>
            <w:r>
              <w:rPr>
                <w:rFonts w:hint="eastAsia"/>
              </w:rPr>
              <w:t>≤</w:t>
            </w:r>
            <w:r>
              <w:t>100</w:t>
            </w:r>
          </w:p>
        </w:tc>
        <w:tc>
          <w:tcPr>
            <w:tcW w:w="598" w:type="pct"/>
            <w:shd w:val="clear" w:color="auto" w:fill="auto"/>
            <w:vAlign w:val="center"/>
          </w:tcPr>
          <w:p>
            <w:pPr>
              <w:pStyle w:val="43"/>
            </w:pPr>
            <w:r>
              <w:rPr>
                <w:rFonts w:hint="eastAsia"/>
              </w:rPr>
              <w:t>蓝</w:t>
            </w:r>
          </w:p>
        </w:tc>
        <w:tc>
          <w:tcPr>
            <w:tcW w:w="584" w:type="pct"/>
            <w:shd w:val="clear" w:color="auto" w:fill="auto"/>
            <w:vAlign w:val="center"/>
          </w:tcPr>
          <w:p>
            <w:pPr>
              <w:pStyle w:val="43"/>
            </w:pPr>
            <w:r>
              <mc:AlternateContent>
                <mc:Choice Requires="wps">
                  <w:drawing>
                    <wp:anchor distT="0" distB="0" distL="114300" distR="114300" simplePos="0" relativeHeight="251659264" behindDoc="0" locked="0" layoutInCell="1" allowOverlap="1">
                      <wp:simplePos x="0" y="0"/>
                      <wp:positionH relativeFrom="column">
                        <wp:posOffset>285750</wp:posOffset>
                      </wp:positionH>
                      <wp:positionV relativeFrom="paragraph">
                        <wp:posOffset>19050</wp:posOffset>
                      </wp:positionV>
                      <wp:extent cx="148590" cy="144145"/>
                      <wp:effectExtent l="0" t="0" r="3810" b="8255"/>
                      <wp:wrapNone/>
                      <wp:docPr id="3" name="六边形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7096125" y="266700"/>
                                <a:ext cx="148590" cy="144145"/>
                              </a:xfrm>
                              <a:prstGeom prst="hexagon">
                                <a:avLst/>
                              </a:prstGeom>
                              <a:solidFill>
                                <a:srgbClr val="00B0F0"/>
                              </a:solidFill>
                              <a:ln w="25400" cap="flat" cmpd="sng" algn="ctr">
                                <a:noFill/>
                                <a:prstDash val="solid"/>
                              </a:ln>
                              <a:effectLst/>
                            </wps:spPr>
                            <wps:bodyPr vertOverflow="clip" horzOverflow="clip" wrap="square" rtlCol="0" anchor="t"/>
                          </wps:wsp>
                        </a:graphicData>
                      </a:graphic>
                    </wp:anchor>
                  </w:drawing>
                </mc:Choice>
                <mc:Fallback>
                  <w:pict>
                    <v:shape id="六边形 1" o:spid="_x0000_s1026" o:spt="9" type="#_x0000_t9" style="position:absolute;left:0pt;margin-left:22.5pt;margin-top:1.5pt;height:11.35pt;width:11.7pt;z-index:251659264;mso-width-relative:page;mso-height-relative:page;" fillcolor="#00B0F0" filled="t" stroked="f" coordsize="21600,21600" o:gfxdata="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NbuiKNkAAAAGAQAADwAAAAAAAAAB&#10;ACAAAAAiAAAAZHJzL2Rvd25yZXYueG1sUEsBAhQAFAAAAAgAh07iQKYg9N0PAgAA3wMAAA4AAAAA&#10;AAAAAQAgAAAAKAEAAGRycy9lMm9Eb2MueG1sUEsFBgAAAAAGAAYAWQEAAKkFAAAAAA==&#10;" adj="5238">
                      <v:fill on="t" focussize="0,0"/>
                      <v:stroke on="f" weight="2pt"/>
                      <v:imagedata o:title=""/>
                      <o:lock v:ext="edit" aspectratio="t"/>
                    </v:shape>
                  </w:pict>
                </mc:Fallback>
              </mc:AlternateContent>
            </w:r>
          </w:p>
        </w:tc>
        <w:tc>
          <w:tcPr>
            <w:tcW w:w="1172" w:type="pct"/>
            <w:shd w:val="clear" w:color="auto" w:fill="auto"/>
            <w:vAlign w:val="center"/>
          </w:tcPr>
          <w:p>
            <w:pPr>
              <w:pStyle w:val="43"/>
            </w:pPr>
            <w:r>
              <w:t>0</w:t>
            </w:r>
            <w:r>
              <w:rPr>
                <w:rFonts w:hint="eastAsia"/>
              </w:rPr>
              <w:t>,</w:t>
            </w:r>
            <w:r>
              <w:t>180</w:t>
            </w:r>
            <w:r>
              <w:rPr>
                <w:rFonts w:hint="eastAsia"/>
              </w:rPr>
              <w:t>,</w:t>
            </w:r>
            <w:r>
              <w:t>255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trPr>
        <w:tc>
          <w:tcPr>
            <w:tcW w:w="767" w:type="pct"/>
            <w:shd w:val="clear" w:color="auto" w:fill="auto"/>
            <w:vAlign w:val="center"/>
          </w:tcPr>
          <w:p>
            <w:pPr>
              <w:pStyle w:val="43"/>
            </w:pPr>
            <w:r>
              <w:rPr>
                <w:rFonts w:hint="eastAsia"/>
              </w:rPr>
              <w:t>二类河湖</w:t>
            </w:r>
          </w:p>
        </w:tc>
        <w:tc>
          <w:tcPr>
            <w:tcW w:w="769" w:type="pct"/>
            <w:shd w:val="clear" w:color="auto" w:fill="auto"/>
            <w:vAlign w:val="center"/>
          </w:tcPr>
          <w:p>
            <w:pPr>
              <w:pStyle w:val="43"/>
            </w:pPr>
            <w:r>
              <w:rPr>
                <w:rFonts w:hint="eastAsia"/>
              </w:rPr>
              <w:t>健康</w:t>
            </w:r>
          </w:p>
        </w:tc>
        <w:tc>
          <w:tcPr>
            <w:tcW w:w="1110" w:type="pct"/>
            <w:shd w:val="clear" w:color="auto" w:fill="auto"/>
            <w:vAlign w:val="center"/>
          </w:tcPr>
          <w:p>
            <w:pPr>
              <w:pStyle w:val="43"/>
            </w:pPr>
            <w:r>
              <w:t>70</w:t>
            </w:r>
            <w:r>
              <w:rPr>
                <w:rFonts w:hint="eastAsia"/>
              </w:rPr>
              <w:t>≤</w:t>
            </w:r>
            <w:r>
              <w:t>RHI</w:t>
            </w:r>
            <w:r>
              <w:rPr>
                <w:rFonts w:hint="eastAsia"/>
              </w:rPr>
              <w:t>≤</w:t>
            </w:r>
            <w:r>
              <w:t>85</w:t>
            </w:r>
          </w:p>
        </w:tc>
        <w:tc>
          <w:tcPr>
            <w:tcW w:w="598" w:type="pct"/>
            <w:shd w:val="clear" w:color="auto" w:fill="auto"/>
            <w:vAlign w:val="center"/>
          </w:tcPr>
          <w:p>
            <w:pPr>
              <w:pStyle w:val="43"/>
            </w:pPr>
            <w:r>
              <w:rPr>
                <w:rFonts w:hint="eastAsia"/>
              </w:rPr>
              <w:t>绿</w:t>
            </w:r>
          </w:p>
        </w:tc>
        <w:tc>
          <w:tcPr>
            <w:tcW w:w="584" w:type="pct"/>
            <w:shd w:val="clear" w:color="auto" w:fill="auto"/>
            <w:vAlign w:val="center"/>
          </w:tcPr>
          <w:p>
            <w:pPr>
              <w:pStyle w:val="43"/>
            </w:pPr>
            <w:r>
              <mc:AlternateContent>
                <mc:Choice Requires="wps">
                  <w:drawing>
                    <wp:anchor distT="0" distB="0" distL="114300" distR="114300" simplePos="0" relativeHeight="251660288" behindDoc="0" locked="0" layoutInCell="1" allowOverlap="1">
                      <wp:simplePos x="0" y="0"/>
                      <wp:positionH relativeFrom="column">
                        <wp:posOffset>285750</wp:posOffset>
                      </wp:positionH>
                      <wp:positionV relativeFrom="paragraph">
                        <wp:posOffset>33655</wp:posOffset>
                      </wp:positionV>
                      <wp:extent cx="147320" cy="144145"/>
                      <wp:effectExtent l="0" t="0" r="5080" b="8255"/>
                      <wp:wrapNone/>
                      <wp:docPr id="19" name="六边形 2"/>
                      <wp:cNvGraphicFramePr/>
                      <a:graphic xmlns:a="http://schemas.openxmlformats.org/drawingml/2006/main">
                        <a:graphicData uri="http://schemas.microsoft.com/office/word/2010/wordprocessingShape">
                          <wps:wsp>
                            <wps:cNvSpPr/>
                            <wps:spPr>
                              <a:xfrm>
                                <a:off x="7346950" y="288925"/>
                                <a:ext cx="147320" cy="144145"/>
                              </a:xfrm>
                              <a:prstGeom prst="hexagon">
                                <a:avLst/>
                              </a:prstGeom>
                              <a:solidFill>
                                <a:srgbClr val="92D050"/>
                              </a:solidFill>
                              <a:ln w="25400" cap="flat" cmpd="sng" algn="ctr">
                                <a:noFill/>
                                <a:prstDash val="solid"/>
                              </a:ln>
                              <a:effectLst/>
                            </wps:spPr>
                            <wps:bodyPr vertOverflow="clip" horzOverflow="clip" wrap="square" rtlCol="0" anchor="t"/>
                          </wps:wsp>
                        </a:graphicData>
                      </a:graphic>
                    </wp:anchor>
                  </w:drawing>
                </mc:Choice>
                <mc:Fallback>
                  <w:pict>
                    <v:shape id="六边形 2" o:spid="_x0000_s1026" o:spt="9" type="#_x0000_t9" style="position:absolute;left:0pt;margin-left:22.5pt;margin-top:2.65pt;height:11.35pt;width:11.6pt;z-index:251660288;mso-width-relative:page;mso-height-relative:page;" fillcolor="#92D050" filled="t" stroked="f" coordsize="21600,21600" o:gfxdata="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WKwUF1QAAAAYBAAAPAAAAAAAAAAEAIAAAACIAAABkcnMvZG93bnJldi54bWxQSwEC&#10;FAAUAAAACACHTuJAFw6ek/cBAAC0AwAADgAAAAAAAAABACAAAAAkAQAAZHJzL2Uyb0RvYy54bWxQ&#10;SwUGAAAAAAYABgBZAQAAjQUAAAAA&#10;" adj="5284">
                      <v:fill on="t" focussize="0,0"/>
                      <v:stroke on="f" weight="2pt"/>
                      <v:imagedata o:title=""/>
                      <o:lock v:ext="edit" aspectratio="f"/>
                    </v:shape>
                  </w:pict>
                </mc:Fallback>
              </mc:AlternateContent>
            </w:r>
          </w:p>
        </w:tc>
        <w:tc>
          <w:tcPr>
            <w:tcW w:w="1172" w:type="pct"/>
            <w:shd w:val="clear" w:color="auto" w:fill="auto"/>
            <w:vAlign w:val="center"/>
          </w:tcPr>
          <w:p>
            <w:pPr>
              <w:pStyle w:val="43"/>
            </w:pPr>
            <w:r>
              <w:t>150</w:t>
            </w:r>
            <w:r>
              <w:rPr>
                <w:rFonts w:hint="eastAsia"/>
              </w:rPr>
              <w:t>,</w:t>
            </w:r>
            <w:r>
              <w:t>200</w:t>
            </w:r>
            <w:r>
              <w:rPr>
                <w:rFonts w:hint="eastAsia"/>
              </w:rPr>
              <w:t>,</w:t>
            </w:r>
            <w: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trPr>
        <w:tc>
          <w:tcPr>
            <w:tcW w:w="767" w:type="pct"/>
            <w:shd w:val="clear" w:color="auto" w:fill="auto"/>
            <w:vAlign w:val="center"/>
          </w:tcPr>
          <w:p>
            <w:pPr>
              <w:pStyle w:val="43"/>
            </w:pPr>
            <w:r>
              <w:rPr>
                <w:rFonts w:hint="eastAsia"/>
              </w:rPr>
              <w:t>三类河湖</w:t>
            </w:r>
          </w:p>
        </w:tc>
        <w:tc>
          <w:tcPr>
            <w:tcW w:w="769" w:type="pct"/>
            <w:shd w:val="clear" w:color="auto" w:fill="auto"/>
            <w:vAlign w:val="center"/>
          </w:tcPr>
          <w:p>
            <w:pPr>
              <w:pStyle w:val="43"/>
            </w:pPr>
            <w:r>
              <w:rPr>
                <w:rFonts w:hint="eastAsia"/>
              </w:rPr>
              <w:t>亚健康</w:t>
            </w:r>
          </w:p>
        </w:tc>
        <w:tc>
          <w:tcPr>
            <w:tcW w:w="1110" w:type="pct"/>
            <w:shd w:val="clear" w:color="auto" w:fill="auto"/>
            <w:vAlign w:val="center"/>
          </w:tcPr>
          <w:p>
            <w:pPr>
              <w:pStyle w:val="43"/>
            </w:pPr>
            <w:r>
              <w:t>60</w:t>
            </w:r>
            <w:r>
              <w:rPr>
                <w:rFonts w:hint="eastAsia"/>
              </w:rPr>
              <w:t>≤</w:t>
            </w:r>
            <w:r>
              <w:t>RHI</w:t>
            </w:r>
            <w:r>
              <w:rPr>
                <w:rFonts w:hint="eastAsia"/>
              </w:rPr>
              <w:t>≤</w:t>
            </w:r>
            <w:r>
              <w:t>70</w:t>
            </w:r>
          </w:p>
        </w:tc>
        <w:tc>
          <w:tcPr>
            <w:tcW w:w="598" w:type="pct"/>
            <w:shd w:val="clear" w:color="auto" w:fill="auto"/>
            <w:vAlign w:val="center"/>
          </w:tcPr>
          <w:p>
            <w:pPr>
              <w:pStyle w:val="43"/>
            </w:pPr>
            <w:r>
              <w:rPr>
                <w:rFonts w:hint="eastAsia"/>
              </w:rPr>
              <w:t>黄</w:t>
            </w:r>
          </w:p>
        </w:tc>
        <w:tc>
          <w:tcPr>
            <w:tcW w:w="584" w:type="pct"/>
            <w:shd w:val="clear" w:color="auto" w:fill="auto"/>
            <w:vAlign w:val="center"/>
          </w:tcPr>
          <w:p>
            <w:pPr>
              <w:pStyle w:val="43"/>
            </w:pPr>
            <w:r>
              <mc:AlternateContent>
                <mc:Choice Requires="wps">
                  <w:drawing>
                    <wp:anchor distT="0" distB="0" distL="114300" distR="114300" simplePos="0" relativeHeight="251661312" behindDoc="0" locked="0" layoutInCell="1" allowOverlap="1">
                      <wp:simplePos x="0" y="0"/>
                      <wp:positionH relativeFrom="column">
                        <wp:posOffset>279400</wp:posOffset>
                      </wp:positionH>
                      <wp:positionV relativeFrom="paragraph">
                        <wp:posOffset>27305</wp:posOffset>
                      </wp:positionV>
                      <wp:extent cx="147320" cy="144145"/>
                      <wp:effectExtent l="0" t="0" r="5080" b="8255"/>
                      <wp:wrapNone/>
                      <wp:docPr id="26" name="六边形 3"/>
                      <wp:cNvGraphicFramePr/>
                      <a:graphic xmlns:a="http://schemas.openxmlformats.org/drawingml/2006/main">
                        <a:graphicData uri="http://schemas.microsoft.com/office/word/2010/wordprocessingShape">
                          <wps:wsp>
                            <wps:cNvSpPr/>
                            <wps:spPr>
                              <a:xfrm>
                                <a:off x="7550150" y="311150"/>
                                <a:ext cx="147320" cy="144145"/>
                              </a:xfrm>
                              <a:prstGeom prst="hexagon">
                                <a:avLst/>
                              </a:prstGeom>
                              <a:solidFill>
                                <a:srgbClr val="FFFF00"/>
                              </a:solidFill>
                              <a:ln w="25400" cap="flat" cmpd="sng" algn="ctr">
                                <a:noFill/>
                                <a:prstDash val="solid"/>
                              </a:ln>
                              <a:effectLst/>
                            </wps:spPr>
                            <wps:bodyPr vertOverflow="clip" horzOverflow="clip" wrap="square" rtlCol="0" anchor="t"/>
                          </wps:wsp>
                        </a:graphicData>
                      </a:graphic>
                    </wp:anchor>
                  </w:drawing>
                </mc:Choice>
                <mc:Fallback>
                  <w:pict>
                    <v:shape id="六边形 3" o:spid="_x0000_s1026" o:spt="9" type="#_x0000_t9" style="position:absolute;left:0pt;margin-left:22pt;margin-top:2.15pt;height:11.35pt;width:11.6pt;z-index:251661312;mso-width-relative:page;mso-height-relative:page;" fillcolor="#FFFF00" filled="t" stroked="f" coordsize="21600,21600" o:gfxdata="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Gjc1q1wAAAAYBAAAPAAAAAAAAAAEAIAAAACIAAABkcnMvZG93bnJldi54bWxQSwEC&#10;FAAUAAAACACHTuJA9jCKP/UBAAC0AwAADgAAAAAAAAABACAAAAAmAQAAZHJzL2Uyb0RvYy54bWxQ&#10;SwUGAAAAAAYABgBZAQAAjQUAAAAA&#10;" adj="5284">
                      <v:fill on="t" focussize="0,0"/>
                      <v:stroke on="f" weight="2pt"/>
                      <v:imagedata o:title=""/>
                      <o:lock v:ext="edit" aspectratio="f"/>
                    </v:shape>
                  </w:pict>
                </mc:Fallback>
              </mc:AlternateContent>
            </w:r>
          </w:p>
        </w:tc>
        <w:tc>
          <w:tcPr>
            <w:tcW w:w="1172" w:type="pct"/>
            <w:shd w:val="clear" w:color="auto" w:fill="auto"/>
            <w:vAlign w:val="center"/>
          </w:tcPr>
          <w:p>
            <w:pPr>
              <w:pStyle w:val="43"/>
            </w:pPr>
            <w:r>
              <w:t>255</w:t>
            </w:r>
            <w:r>
              <w:rPr>
                <w:rFonts w:hint="eastAsia"/>
              </w:rPr>
              <w:t>,</w:t>
            </w:r>
            <w:r>
              <w:t>255</w:t>
            </w:r>
            <w:r>
              <w:rPr>
                <w:rFonts w:hint="eastAsia"/>
              </w:rPr>
              <w:t>,</w:t>
            </w:r>
            <w: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trPr>
        <w:tc>
          <w:tcPr>
            <w:tcW w:w="767" w:type="pct"/>
            <w:shd w:val="clear" w:color="auto" w:fill="auto"/>
            <w:vAlign w:val="center"/>
          </w:tcPr>
          <w:p>
            <w:pPr>
              <w:pStyle w:val="43"/>
            </w:pPr>
            <w:r>
              <w:rPr>
                <w:rFonts w:hint="eastAsia"/>
              </w:rPr>
              <w:t>四类河湖</w:t>
            </w:r>
          </w:p>
        </w:tc>
        <w:tc>
          <w:tcPr>
            <w:tcW w:w="769" w:type="pct"/>
            <w:shd w:val="clear" w:color="auto" w:fill="auto"/>
            <w:vAlign w:val="center"/>
          </w:tcPr>
          <w:p>
            <w:pPr>
              <w:pStyle w:val="43"/>
            </w:pPr>
            <w:r>
              <w:rPr>
                <w:rFonts w:hint="eastAsia"/>
              </w:rPr>
              <w:t>不健康</w:t>
            </w:r>
          </w:p>
        </w:tc>
        <w:tc>
          <w:tcPr>
            <w:tcW w:w="1110" w:type="pct"/>
            <w:shd w:val="clear" w:color="auto" w:fill="auto"/>
            <w:vAlign w:val="center"/>
          </w:tcPr>
          <w:p>
            <w:pPr>
              <w:pStyle w:val="43"/>
            </w:pPr>
            <w:r>
              <w:t>40</w:t>
            </w:r>
            <w:r>
              <w:rPr>
                <w:rFonts w:hint="eastAsia"/>
              </w:rPr>
              <w:t>≤</w:t>
            </w:r>
            <w:r>
              <w:t>RHI</w:t>
            </w:r>
            <w:r>
              <w:rPr>
                <w:rFonts w:hint="eastAsia"/>
              </w:rPr>
              <w:t>≤</w:t>
            </w:r>
            <w:r>
              <w:t>60</w:t>
            </w:r>
          </w:p>
        </w:tc>
        <w:tc>
          <w:tcPr>
            <w:tcW w:w="598" w:type="pct"/>
            <w:shd w:val="clear" w:color="auto" w:fill="auto"/>
            <w:vAlign w:val="center"/>
          </w:tcPr>
          <w:p>
            <w:pPr>
              <w:pStyle w:val="43"/>
            </w:pPr>
            <w:r>
              <w:rPr>
                <w:rFonts w:hint="eastAsia"/>
              </w:rPr>
              <w:t>橙</w:t>
            </w:r>
          </w:p>
        </w:tc>
        <w:tc>
          <w:tcPr>
            <w:tcW w:w="584" w:type="pct"/>
            <w:shd w:val="clear" w:color="auto" w:fill="auto"/>
            <w:vAlign w:val="center"/>
          </w:tcPr>
          <w:p>
            <w:pPr>
              <w:pStyle w:val="43"/>
            </w:pPr>
            <w:r>
              <mc:AlternateContent>
                <mc:Choice Requires="wps">
                  <w:drawing>
                    <wp:anchor distT="0" distB="0" distL="114300" distR="114300" simplePos="0" relativeHeight="251662336" behindDoc="0" locked="0" layoutInCell="1" allowOverlap="1">
                      <wp:simplePos x="0" y="0"/>
                      <wp:positionH relativeFrom="column">
                        <wp:posOffset>278765</wp:posOffset>
                      </wp:positionH>
                      <wp:positionV relativeFrom="paragraph">
                        <wp:posOffset>27305</wp:posOffset>
                      </wp:positionV>
                      <wp:extent cx="147320" cy="144145"/>
                      <wp:effectExtent l="0" t="0" r="5080" b="8255"/>
                      <wp:wrapNone/>
                      <wp:docPr id="40" name="六边形 4"/>
                      <wp:cNvGraphicFramePr/>
                      <a:graphic xmlns:a="http://schemas.openxmlformats.org/drawingml/2006/main">
                        <a:graphicData uri="http://schemas.microsoft.com/office/word/2010/wordprocessingShape">
                          <wps:wsp>
                            <wps:cNvSpPr/>
                            <wps:spPr>
                              <a:xfrm>
                                <a:off x="7734300" y="333375"/>
                                <a:ext cx="147320" cy="144145"/>
                              </a:xfrm>
                              <a:prstGeom prst="hexagon">
                                <a:avLst/>
                              </a:prstGeom>
                              <a:solidFill>
                                <a:srgbClr val="FFC000"/>
                              </a:solidFill>
                              <a:ln w="25400" cap="flat" cmpd="sng" algn="ctr">
                                <a:noFill/>
                                <a:prstDash val="solid"/>
                              </a:ln>
                              <a:effectLst/>
                            </wps:spPr>
                            <wps:bodyPr vertOverflow="clip" horzOverflow="clip" wrap="square" rtlCol="0" anchor="t"/>
                          </wps:wsp>
                        </a:graphicData>
                      </a:graphic>
                    </wp:anchor>
                  </w:drawing>
                </mc:Choice>
                <mc:Fallback>
                  <w:pict>
                    <v:shape id="六边形 4" o:spid="_x0000_s1026" o:spt="9" type="#_x0000_t9" style="position:absolute;left:0pt;margin-left:21.95pt;margin-top:2.15pt;height:11.35pt;width:11.6pt;z-index:251662336;mso-width-relative:page;mso-height-relative:page;" fillcolor="#FFC000" filled="t" stroked="f" coordsize="21600,21600" o:gfxdata="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2opaY9UAAAAGAQAADwAAAAAAAAABACAAAAAiAAAAZHJzL2Rvd25yZXYueG1sUEsBAhQA&#10;FAAAAAgAh07iQLWF50X1AQAAtAMAAA4AAAAAAAAAAQAgAAAAJAEAAGRycy9lMm9Eb2MueG1sUEsF&#10;BgAAAAAGAAYAWQEAAIsFAAAAAA==&#10;" adj="5284">
                      <v:fill on="t" focussize="0,0"/>
                      <v:stroke on="f" weight="2pt"/>
                      <v:imagedata o:title=""/>
                      <o:lock v:ext="edit" aspectratio="f"/>
                    </v:shape>
                  </w:pict>
                </mc:Fallback>
              </mc:AlternateContent>
            </w:r>
          </w:p>
        </w:tc>
        <w:tc>
          <w:tcPr>
            <w:tcW w:w="1172" w:type="pct"/>
            <w:shd w:val="clear" w:color="auto" w:fill="auto"/>
            <w:vAlign w:val="center"/>
          </w:tcPr>
          <w:p>
            <w:pPr>
              <w:pStyle w:val="43"/>
            </w:pPr>
            <w:r>
              <w:t>255</w:t>
            </w:r>
            <w:r>
              <w:rPr>
                <w:rFonts w:hint="eastAsia"/>
              </w:rPr>
              <w:t>,</w:t>
            </w:r>
            <w:r>
              <w:t>165</w:t>
            </w:r>
            <w:r>
              <w:rPr>
                <w:rFonts w:hint="eastAsia"/>
              </w:rPr>
              <w:t>,</w:t>
            </w:r>
            <w: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trPr>
        <w:tc>
          <w:tcPr>
            <w:tcW w:w="767" w:type="pct"/>
            <w:shd w:val="clear" w:color="auto" w:fill="auto"/>
            <w:vAlign w:val="center"/>
          </w:tcPr>
          <w:p>
            <w:pPr>
              <w:pStyle w:val="43"/>
            </w:pPr>
            <w:r>
              <w:rPr>
                <w:rFonts w:hint="eastAsia"/>
              </w:rPr>
              <w:t>五类河湖</w:t>
            </w:r>
          </w:p>
        </w:tc>
        <w:tc>
          <w:tcPr>
            <w:tcW w:w="769" w:type="pct"/>
            <w:shd w:val="clear" w:color="auto" w:fill="auto"/>
            <w:vAlign w:val="center"/>
          </w:tcPr>
          <w:p>
            <w:pPr>
              <w:pStyle w:val="43"/>
            </w:pPr>
            <w:r>
              <w:rPr>
                <w:rFonts w:hint="eastAsia"/>
              </w:rPr>
              <w:t>劣态</w:t>
            </w:r>
          </w:p>
        </w:tc>
        <w:tc>
          <w:tcPr>
            <w:tcW w:w="1110" w:type="pct"/>
            <w:shd w:val="clear" w:color="auto" w:fill="auto"/>
            <w:vAlign w:val="center"/>
          </w:tcPr>
          <w:p>
            <w:pPr>
              <w:pStyle w:val="43"/>
            </w:pPr>
            <w:r>
              <w:t>RHI</w:t>
            </w:r>
            <w:r>
              <w:rPr>
                <w:rFonts w:hint="eastAsia"/>
              </w:rPr>
              <w:t>≤</w:t>
            </w:r>
            <w:r>
              <w:t>40</w:t>
            </w:r>
          </w:p>
        </w:tc>
        <w:tc>
          <w:tcPr>
            <w:tcW w:w="598" w:type="pct"/>
            <w:shd w:val="clear" w:color="auto" w:fill="auto"/>
            <w:vAlign w:val="center"/>
          </w:tcPr>
          <w:p>
            <w:pPr>
              <w:pStyle w:val="43"/>
            </w:pPr>
            <w:r>
              <w:rPr>
                <w:rFonts w:hint="eastAsia"/>
              </w:rPr>
              <w:t>红</w:t>
            </w:r>
          </w:p>
        </w:tc>
        <w:tc>
          <w:tcPr>
            <w:tcW w:w="584" w:type="pct"/>
            <w:shd w:val="clear" w:color="auto" w:fill="auto"/>
            <w:vAlign w:val="center"/>
          </w:tcPr>
          <w:p>
            <w:pPr>
              <w:pStyle w:val="43"/>
            </w:pPr>
            <w:r>
              <mc:AlternateContent>
                <mc:Choice Requires="wps">
                  <w:drawing>
                    <wp:anchor distT="0" distB="0" distL="114300" distR="114300" simplePos="0" relativeHeight="251663360" behindDoc="0" locked="0" layoutInCell="1" allowOverlap="1">
                      <wp:simplePos x="0" y="0"/>
                      <wp:positionH relativeFrom="column">
                        <wp:posOffset>272415</wp:posOffset>
                      </wp:positionH>
                      <wp:positionV relativeFrom="paragraph">
                        <wp:posOffset>20320</wp:posOffset>
                      </wp:positionV>
                      <wp:extent cx="147320" cy="144145"/>
                      <wp:effectExtent l="0" t="0" r="5080" b="8255"/>
                      <wp:wrapNone/>
                      <wp:docPr id="48" name="六边形 5"/>
                      <wp:cNvGraphicFramePr/>
                      <a:graphic xmlns:a="http://schemas.openxmlformats.org/drawingml/2006/main">
                        <a:graphicData uri="http://schemas.microsoft.com/office/word/2010/wordprocessingShape">
                          <wps:wsp>
                            <wps:cNvSpPr/>
                            <wps:spPr>
                              <a:xfrm>
                                <a:off x="7975600" y="317500"/>
                                <a:ext cx="147320" cy="144145"/>
                              </a:xfrm>
                              <a:prstGeom prst="hexagon">
                                <a:avLst/>
                              </a:prstGeom>
                              <a:solidFill>
                                <a:srgbClr val="C00000"/>
                              </a:solidFill>
                              <a:ln w="25400" cap="flat" cmpd="sng" algn="ctr">
                                <a:noFill/>
                                <a:prstDash val="solid"/>
                              </a:ln>
                              <a:effectLst/>
                            </wps:spPr>
                            <wps:bodyPr vertOverflow="clip" horzOverflow="clip" wrap="square" rtlCol="0" anchor="t"/>
                          </wps:wsp>
                        </a:graphicData>
                      </a:graphic>
                    </wp:anchor>
                  </w:drawing>
                </mc:Choice>
                <mc:Fallback>
                  <w:pict>
                    <v:shape id="六边形 5" o:spid="_x0000_s1026" o:spt="9" type="#_x0000_t9" style="position:absolute;left:0pt;margin-left:21.45pt;margin-top:1.6pt;height:11.35pt;width:11.6pt;z-index:251663360;mso-width-relative:page;mso-height-relative:page;" fillcolor="#C00000" filled="t" stroked="f" coordsize="21600,21600" o:gfxdata="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jM+b51QAAAAYBAAAPAAAAAAAAAAEAIAAAACIAAABkcnMvZG93bnJldi54bWxQSwEC&#10;FAAUAAAACACHTuJAyvNH+/cBAAC0AwAADgAAAAAAAAABACAAAAAkAQAAZHJzL2Uyb0RvYy54bWxQ&#10;SwUGAAAAAAYABgBZAQAAjQUAAAAA&#10;" adj="5284">
                      <v:fill on="t" focussize="0,0"/>
                      <v:stroke on="f" weight="2pt"/>
                      <v:imagedata o:title=""/>
                      <o:lock v:ext="edit" aspectratio="f"/>
                    </v:shape>
                  </w:pict>
                </mc:Fallback>
              </mc:AlternateContent>
            </w:r>
          </w:p>
        </w:tc>
        <w:tc>
          <w:tcPr>
            <w:tcW w:w="1172" w:type="pct"/>
            <w:shd w:val="clear" w:color="auto" w:fill="auto"/>
            <w:vAlign w:val="center"/>
          </w:tcPr>
          <w:p>
            <w:pPr>
              <w:pStyle w:val="43"/>
            </w:pPr>
            <w:r>
              <w:t>255</w:t>
            </w:r>
            <w:r>
              <w:rPr>
                <w:rFonts w:hint="eastAsia"/>
              </w:rPr>
              <w:t>,</w:t>
            </w:r>
            <w:r>
              <w:t>0</w:t>
            </w:r>
            <w:r>
              <w:rPr>
                <w:rFonts w:hint="eastAsia"/>
              </w:rPr>
              <w:t>,</w:t>
            </w:r>
            <w:r>
              <w:t>0</w:t>
            </w:r>
          </w:p>
        </w:tc>
      </w:tr>
    </w:tbl>
    <w:p>
      <w:pPr>
        <w:ind w:firstLine="480"/>
      </w:pPr>
    </w:p>
    <w:p>
      <w:pPr>
        <w:ind w:firstLine="480"/>
      </w:pPr>
      <w:r>
        <w:rPr>
          <w:rFonts w:hint="eastAsia"/>
        </w:rPr>
        <w:t>2、综合评价结论</w:t>
      </w:r>
    </w:p>
    <w:p>
      <w:pPr>
        <w:ind w:firstLine="480"/>
      </w:pPr>
      <w:r>
        <w:rPr>
          <w:rFonts w:hint="eastAsia"/>
        </w:rPr>
        <w:t>盐井河河湖健康评价综合得分为</w:t>
      </w:r>
      <w:r>
        <w:rPr>
          <w:rFonts w:hint="eastAsia"/>
          <w:lang w:eastAsia="zh-CN"/>
        </w:rPr>
        <w:t>66.75</w:t>
      </w:r>
      <w:r>
        <w:rPr>
          <w:rFonts w:hint="eastAsia"/>
        </w:rPr>
        <w:t>分，根据上表中评价分类标准，盐井河为三类河流，河流整体状态表现为亚健康，盐井河在形态结构完整性、水生态完整性与抗扰动弹性、社会服务功能可持续性等方面存在缺陷，处于亚健康状态，应在现有河流健康的基础上，加强日常维护和监管力度，及时对局部存在的缺陷进行治理，消除健康隐患。</w:t>
      </w:r>
    </w:p>
    <w:p>
      <w:pPr>
        <w:pStyle w:val="4"/>
        <w:ind w:left="240"/>
      </w:pPr>
      <w:bookmarkStart w:id="188" w:name="_Toc86049209"/>
      <w:r>
        <w:rPr>
          <w:rFonts w:hint="eastAsia"/>
        </w:rPr>
        <w:t>评价结论为亚健康的原因分析</w:t>
      </w:r>
      <w:bookmarkEnd w:id="188"/>
    </w:p>
    <w:p>
      <w:pPr>
        <w:ind w:firstLine="480"/>
      </w:pPr>
      <w:r>
        <w:rPr>
          <w:rFonts w:hint="eastAsia"/>
        </w:rPr>
        <w:t>盐井河河湖健康评价总得分</w:t>
      </w:r>
      <w:r>
        <w:rPr>
          <w:rFonts w:hint="eastAsia"/>
          <w:lang w:eastAsia="zh-CN"/>
        </w:rPr>
        <w:t>66.75</w:t>
      </w:r>
      <w:r>
        <w:rPr>
          <w:rFonts w:hint="eastAsia"/>
        </w:rPr>
        <w:t>分，水质、生物、河湖管理及社会服务得分均大于等于</w:t>
      </w:r>
      <w:r>
        <w:t>90</w:t>
      </w:r>
      <w:r>
        <w:rPr>
          <w:rFonts w:hint="eastAsia"/>
        </w:rPr>
        <w:t>分，导致评分较低的主要是水文水资源和河流物理结构，其中</w:t>
      </w:r>
      <w:r>
        <w:rPr>
          <w:rFonts w:hint="eastAsia"/>
          <w:lang w:eastAsia="zh-CN"/>
        </w:rPr>
        <w:t>生态用水满足程度得分</w:t>
      </w:r>
      <w:r>
        <w:rPr>
          <w:rFonts w:hint="eastAsia"/>
          <w:lang w:val="en-US" w:eastAsia="zh-CN"/>
        </w:rPr>
        <w:t>4</w:t>
      </w:r>
      <w:r>
        <w:t>0</w:t>
      </w:r>
      <w:r>
        <w:rPr>
          <w:rFonts w:hint="eastAsia"/>
        </w:rPr>
        <w:t>分，河流物理结构得分0分，造成此两项指标评分低下的主要原因如下：</w:t>
      </w:r>
    </w:p>
    <w:p>
      <w:pPr>
        <w:ind w:firstLine="480"/>
      </w:pPr>
      <w:r>
        <w:rPr>
          <w:rFonts w:hint="eastAsia"/>
        </w:rPr>
        <w:t>（1）流域开发原因</w:t>
      </w:r>
    </w:p>
    <w:p>
      <w:pPr>
        <w:ind w:firstLine="480"/>
        <w:rPr>
          <w:szCs w:val="24"/>
        </w:rPr>
      </w:pPr>
      <w:r>
        <w:rPr>
          <w:rFonts w:hint="eastAsia"/>
        </w:rPr>
        <w:t>旺苍县盐井河河段无中大型水电开发工程，但盐井河上游陕西宁强县境内于1</w:t>
      </w:r>
      <w:r>
        <w:t>999</w:t>
      </w:r>
      <w:r>
        <w:rPr>
          <w:rFonts w:hint="eastAsia"/>
        </w:rPr>
        <w:t>年建成</w:t>
      </w:r>
      <w:r>
        <w:rPr>
          <w:szCs w:val="24"/>
        </w:rPr>
        <w:t>二郎坝引嘉（陵江）入汉（江）工程，将</w:t>
      </w:r>
      <w:r>
        <w:t>盐井河</w:t>
      </w:r>
      <w:r>
        <w:rPr>
          <w:rFonts w:hint="eastAsia"/>
        </w:rPr>
        <w:t>上游4</w:t>
      </w:r>
      <w:r>
        <w:t>01</w:t>
      </w:r>
      <w:r>
        <w:rPr>
          <w:rFonts w:hint="eastAsia"/>
        </w:rPr>
        <w:t>km</w:t>
      </w:r>
      <w:r>
        <w:rPr>
          <w:vertAlign w:val="superscript"/>
        </w:rPr>
        <w:t>2</w:t>
      </w:r>
      <w:r>
        <w:rPr>
          <w:rFonts w:hint="eastAsia"/>
          <w:szCs w:val="24"/>
        </w:rPr>
        <w:t>天然来</w:t>
      </w:r>
      <w:r>
        <w:rPr>
          <w:szCs w:val="24"/>
        </w:rPr>
        <w:t>水引入了汉江水系，</w:t>
      </w:r>
      <w:r>
        <w:rPr>
          <w:rFonts w:hint="eastAsia"/>
          <w:szCs w:val="24"/>
        </w:rPr>
        <w:t>引调水量达</w:t>
      </w:r>
      <w:r>
        <w:rPr>
          <w:szCs w:val="24"/>
        </w:rPr>
        <w:t>1.99</w:t>
      </w:r>
      <w:r>
        <w:rPr>
          <w:rFonts w:hint="eastAsia"/>
          <w:szCs w:val="24"/>
        </w:rPr>
        <w:t>亿m</w:t>
      </w:r>
      <w:r>
        <w:rPr>
          <w:rFonts w:hint="eastAsia"/>
          <w:szCs w:val="24"/>
          <w:vertAlign w:val="superscript"/>
        </w:rPr>
        <w:t>3</w:t>
      </w:r>
      <w:r>
        <w:rPr>
          <w:rFonts w:hint="eastAsia"/>
          <w:szCs w:val="24"/>
        </w:rPr>
        <w:t>，引调水量达盐井河天然来水总量（</w:t>
      </w:r>
      <w:r>
        <w:rPr>
          <w:rFonts w:hint="eastAsia"/>
        </w:rPr>
        <w:t>盐井河天然来水径量为</w:t>
      </w:r>
      <w:r>
        <w:t>9.40</w:t>
      </w:r>
      <w:r>
        <w:rPr>
          <w:rFonts w:hint="eastAsia"/>
        </w:rPr>
        <w:t>亿m</w:t>
      </w:r>
      <w:r>
        <w:rPr>
          <w:rFonts w:hint="eastAsia"/>
          <w:vertAlign w:val="superscript"/>
        </w:rPr>
        <w:t>3</w:t>
      </w:r>
      <w:r>
        <w:rPr>
          <w:rFonts w:hint="eastAsia"/>
          <w:szCs w:val="24"/>
        </w:rPr>
        <w:t>）的2</w:t>
      </w:r>
      <w:r>
        <w:rPr>
          <w:szCs w:val="24"/>
        </w:rPr>
        <w:t>1.13</w:t>
      </w:r>
      <w:r>
        <w:rPr>
          <w:rFonts w:hint="eastAsia"/>
          <w:szCs w:val="24"/>
        </w:rPr>
        <w:t>%，造成旺苍县盐井河河段水量减少，对盐井河水资源开发程度造成直接影响，故水文水资源开发利用率得分</w:t>
      </w:r>
      <w:r>
        <w:rPr>
          <w:szCs w:val="24"/>
        </w:rPr>
        <w:t>80</w:t>
      </w:r>
      <w:r>
        <w:rPr>
          <w:rFonts w:hint="eastAsia"/>
          <w:szCs w:val="24"/>
        </w:rPr>
        <w:t>分。</w:t>
      </w:r>
    </w:p>
    <w:p>
      <w:pPr>
        <w:ind w:firstLine="480"/>
      </w:pPr>
      <w:r>
        <w:rPr>
          <w:rFonts w:hint="eastAsia"/>
        </w:rPr>
        <w:t>盐井河有福鑫电站、盐河电站两座小型水电站，此两座小型水电站均设有生态流量下泄措施，下泄生态流量为多年平均流量的1</w:t>
      </w:r>
      <w:r>
        <w:t>0</w:t>
      </w:r>
      <w:r>
        <w:rPr>
          <w:rFonts w:hint="eastAsia"/>
        </w:rPr>
        <w:t>%，根据川水函</w:t>
      </w:r>
      <w:r>
        <w:t>[20</w:t>
      </w:r>
      <w:r>
        <w:rPr>
          <w:rFonts w:hint="eastAsia"/>
        </w:rPr>
        <w:t>18</w:t>
      </w:r>
      <w:r>
        <w:t>]</w:t>
      </w:r>
      <w:r>
        <w:rPr>
          <w:rFonts w:hint="eastAsia"/>
        </w:rPr>
        <w:t>720号文件“关于开展全省水电站下泄生态流量问题整改工作的通知”，按取水口15%比例下泄生态流量的要求，福鑫、盐河两座电站生态流量下泄未达到文件要求，得分4</w:t>
      </w:r>
      <w:r>
        <w:t>0</w:t>
      </w:r>
      <w:r>
        <w:rPr>
          <w:rFonts w:hint="eastAsia"/>
        </w:rPr>
        <w:t>分。</w:t>
      </w:r>
    </w:p>
    <w:p>
      <w:pPr>
        <w:ind w:firstLine="480"/>
        <w:rPr>
          <w:szCs w:val="24"/>
        </w:rPr>
      </w:pPr>
      <w:r>
        <w:rPr>
          <w:rFonts w:hint="eastAsia"/>
          <w:szCs w:val="24"/>
        </w:rPr>
        <w:t>综合水文与水资源开发利用率及生态用水满足程度得分情况，水文水资源准则得分5</w:t>
      </w:r>
      <w:r>
        <w:rPr>
          <w:szCs w:val="24"/>
        </w:rPr>
        <w:t>0</w:t>
      </w:r>
      <w:r>
        <w:rPr>
          <w:rFonts w:hint="eastAsia"/>
          <w:szCs w:val="24"/>
        </w:rPr>
        <w:t>分。</w:t>
      </w:r>
    </w:p>
    <w:p>
      <w:pPr>
        <w:ind w:firstLine="480"/>
      </w:pPr>
      <w:r>
        <w:rPr>
          <w:rFonts w:hint="eastAsia"/>
        </w:rPr>
        <w:t>（2）历时遗留原因</w:t>
      </w:r>
    </w:p>
    <w:p>
      <w:pPr>
        <w:ind w:firstLine="480"/>
        <w:rPr>
          <w:szCs w:val="24"/>
        </w:rPr>
      </w:pPr>
      <w:r>
        <w:rPr>
          <w:rFonts w:hint="eastAsia"/>
        </w:rPr>
        <w:t>盐井河有小型水电站两座，其中</w:t>
      </w:r>
      <w:r>
        <w:rPr>
          <w:rFonts w:hint="eastAsia"/>
          <w:szCs w:val="24"/>
        </w:rPr>
        <w:t>盐河电站</w:t>
      </w:r>
      <w:r>
        <w:rPr>
          <w:szCs w:val="24"/>
        </w:rPr>
        <w:t>于1999年开工</w:t>
      </w:r>
      <w:r>
        <w:rPr>
          <w:rFonts w:hint="eastAsia"/>
          <w:szCs w:val="24"/>
        </w:rPr>
        <w:t>建设</w:t>
      </w:r>
      <w:r>
        <w:rPr>
          <w:szCs w:val="24"/>
        </w:rPr>
        <w:t>，2001月6月建成投入运行</w:t>
      </w:r>
      <w:r>
        <w:rPr>
          <w:rFonts w:hint="eastAsia"/>
          <w:szCs w:val="24"/>
        </w:rPr>
        <w:t>；</w:t>
      </w:r>
      <w:r>
        <w:rPr>
          <w:rFonts w:hint="eastAsia"/>
        </w:rPr>
        <w:t>福鑫水电站以旺发改（2014）106号文件和旺发改（2015）21号文件批准建设，</w:t>
      </w:r>
      <w:r>
        <w:rPr>
          <w:szCs w:val="24"/>
        </w:rPr>
        <w:t>电站于2015年2月底开工建设，2016年10月建成并投入运行。</w:t>
      </w:r>
    </w:p>
    <w:p>
      <w:pPr>
        <w:ind w:firstLine="480"/>
        <w:rPr>
          <w:szCs w:val="24"/>
        </w:rPr>
      </w:pPr>
      <w:r>
        <w:rPr>
          <w:rFonts w:hint="eastAsia"/>
          <w:szCs w:val="24"/>
        </w:rPr>
        <w:t>盐河电站建立时间较早，均早于</w:t>
      </w:r>
      <w:r>
        <w:rPr>
          <w:rFonts w:hint="eastAsia"/>
          <w:bCs/>
          <w:szCs w:val="24"/>
        </w:rPr>
        <w:t>东河上游特有鱼类省级水产种质资源保护区成立时间（2</w:t>
      </w:r>
      <w:r>
        <w:rPr>
          <w:bCs/>
          <w:szCs w:val="24"/>
        </w:rPr>
        <w:t>009</w:t>
      </w:r>
      <w:r>
        <w:rPr>
          <w:rFonts w:hint="eastAsia"/>
          <w:bCs/>
          <w:szCs w:val="24"/>
        </w:rPr>
        <w:t>年）和</w:t>
      </w:r>
      <w:r>
        <w:rPr>
          <w:rFonts w:hint="eastAsia"/>
        </w:rPr>
        <w:t>汉王山东河湿地省级自然保护区成立时间（2</w:t>
      </w:r>
      <w:r>
        <w:t>014</w:t>
      </w:r>
      <w:r>
        <w:rPr>
          <w:rFonts w:hint="eastAsia"/>
        </w:rPr>
        <w:t>年）。由于盐河电站建立时间较早，该水电站</w:t>
      </w:r>
      <w:r>
        <w:rPr>
          <w:rFonts w:hint="eastAsia"/>
          <w:szCs w:val="24"/>
        </w:rPr>
        <w:t>无相关的流域规划，无立项文件、用地预审文件等，根据旺苍县小水电整改方案，盐河电站作了水生生物专项影响评价，属于合理缺项予以保留的小型水电项目。</w:t>
      </w:r>
    </w:p>
    <w:p>
      <w:pPr>
        <w:ind w:firstLine="480"/>
      </w:pPr>
      <w:r>
        <w:rPr>
          <w:rFonts w:hint="eastAsia"/>
          <w:szCs w:val="24"/>
        </w:rPr>
        <w:t>福鑫电站建立符合</w:t>
      </w:r>
      <w:r>
        <w:rPr>
          <w:rFonts w:hint="eastAsia"/>
        </w:rPr>
        <w:t>东河流域水电开发规划，</w:t>
      </w:r>
      <w:r>
        <w:rPr>
          <w:rFonts w:hint="eastAsia"/>
          <w:szCs w:val="24"/>
        </w:rPr>
        <w:t>根据旺苍县小水电整改方案，福鑫电站作了水生生物专项影响评价，</w:t>
      </w:r>
      <w:r>
        <w:rPr>
          <w:rFonts w:hint="eastAsia"/>
        </w:rPr>
        <w:t>各项手续齐全，予以保留。</w:t>
      </w:r>
    </w:p>
    <w:p>
      <w:pPr>
        <w:ind w:firstLine="480"/>
      </w:pPr>
      <w:r>
        <w:rPr>
          <w:rFonts w:hint="eastAsia"/>
        </w:rPr>
        <w:t>综上，盐河电站和福鑫电站均位于评价河段内，根据《旺苍县盐河电站对水生生物影响及补救措施专题报告》和《旺苍县福鑫电站对水生生物影响及补救措施专题报告》，盐河电站和福鑫电站均对河段水生态环境及渔业资源用一定程度影响，但采取补救措施后降低其影响，短期予以保留，但根据四川省河流（湖库）健康评价指南（试行）》，福鑫、盐河两座电站均无设置过鱼设施，河流连通性得分为0分。</w:t>
      </w:r>
    </w:p>
    <w:p>
      <w:pPr>
        <w:ind w:firstLine="480"/>
        <w:sectPr>
          <w:pgSz w:w="11906" w:h="16838"/>
          <w:pgMar w:top="1440" w:right="1800" w:bottom="1440" w:left="1800" w:header="851" w:footer="992" w:gutter="0"/>
          <w:cols w:space="425" w:num="1"/>
          <w:docGrid w:type="lines" w:linePitch="312" w:charSpace="0"/>
        </w:sectPr>
      </w:pPr>
    </w:p>
    <w:p>
      <w:pPr>
        <w:pStyle w:val="2"/>
      </w:pPr>
      <w:bookmarkStart w:id="189" w:name="_Toc86049210"/>
      <w:bookmarkStart w:id="190" w:name="_Toc80719425"/>
      <w:r>
        <w:rPr>
          <w:rFonts w:hint="eastAsia"/>
        </w:rPr>
        <w:t>河湖健康问题分析及保护对策</w:t>
      </w:r>
      <w:bookmarkEnd w:id="189"/>
      <w:bookmarkEnd w:id="190"/>
    </w:p>
    <w:p>
      <w:pPr>
        <w:pStyle w:val="3"/>
        <w:ind w:left="301" w:hanging="301"/>
      </w:pPr>
      <w:bookmarkStart w:id="191" w:name="_Toc86049211"/>
      <w:bookmarkStart w:id="192" w:name="_Toc80719426"/>
      <w:r>
        <w:rPr>
          <w:rFonts w:hint="eastAsia"/>
        </w:rPr>
        <w:t>健康状况总体评价</w:t>
      </w:r>
      <w:bookmarkEnd w:id="191"/>
      <w:bookmarkEnd w:id="192"/>
    </w:p>
    <w:p>
      <w:pPr>
        <w:ind w:firstLine="480"/>
      </w:pPr>
      <w:r>
        <w:rPr>
          <w:rFonts w:hint="eastAsia"/>
        </w:rPr>
        <w:t>盐井河河湖健康评价目标层总得分为</w:t>
      </w:r>
      <w:r>
        <w:t>6</w:t>
      </w:r>
      <w:r>
        <w:rPr>
          <w:rFonts w:hint="eastAsia"/>
          <w:lang w:val="en-US" w:eastAsia="zh-CN"/>
        </w:rPr>
        <w:t>6</w:t>
      </w:r>
      <w:r>
        <w:t>.</w:t>
      </w:r>
      <w:r>
        <w:rPr>
          <w:rFonts w:hint="eastAsia"/>
          <w:lang w:val="en-US" w:eastAsia="zh-CN"/>
        </w:rPr>
        <w:t>75</w:t>
      </w:r>
      <w:r>
        <w:rPr>
          <w:rFonts w:hint="eastAsia"/>
        </w:rPr>
        <w:t>分。盐井河评价范围内河段整体为自然河流，根据盐井河河湖健康评价结果，“水文水资源”层得分</w:t>
      </w:r>
      <w:r>
        <w:t>50</w:t>
      </w:r>
      <w:r>
        <w:rPr>
          <w:rFonts w:hint="eastAsia"/>
        </w:rPr>
        <w:t>分，“物理结构”层得分为</w:t>
      </w:r>
      <w:r>
        <w:t>32.5</w:t>
      </w:r>
      <w:r>
        <w:rPr>
          <w:rFonts w:hint="eastAsia"/>
        </w:rPr>
        <w:t>分，“水质”层得分为</w:t>
      </w:r>
      <w:r>
        <w:t>97.4</w:t>
      </w:r>
      <w:r>
        <w:rPr>
          <w:rFonts w:hint="eastAsia"/>
        </w:rPr>
        <w:t>分，“生物”层得分为</w:t>
      </w:r>
      <w:r>
        <w:t>90</w:t>
      </w:r>
      <w:r>
        <w:rPr>
          <w:rFonts w:hint="eastAsia"/>
        </w:rPr>
        <w:t>分，“河湖管理与社会服务功能”层得分为</w:t>
      </w:r>
      <w:r>
        <w:t>91</w:t>
      </w:r>
      <w:r>
        <w:rPr>
          <w:rFonts w:hint="eastAsia"/>
        </w:rPr>
        <w:t>分，综合赋分为</w:t>
      </w:r>
      <w:r>
        <w:t>6</w:t>
      </w:r>
      <w:r>
        <w:rPr>
          <w:rFonts w:hint="eastAsia"/>
          <w:lang w:val="en-US" w:eastAsia="zh-CN"/>
        </w:rPr>
        <w:t>6</w:t>
      </w:r>
      <w:r>
        <w:t>.</w:t>
      </w:r>
      <w:r>
        <w:rPr>
          <w:rFonts w:hint="eastAsia"/>
          <w:lang w:val="en-US" w:eastAsia="zh-CN"/>
        </w:rPr>
        <w:t>75</w:t>
      </w:r>
      <w:r>
        <w:rPr>
          <w:rFonts w:hint="eastAsia"/>
        </w:rPr>
        <w:t>分。</w:t>
      </w:r>
    </w:p>
    <w:p>
      <w:pPr>
        <w:ind w:firstLine="480"/>
      </w:pPr>
      <w:r>
        <w:rPr>
          <w:rFonts w:hint="eastAsia"/>
        </w:rPr>
        <w:t>盐井河河湖健康综合赋分为</w:t>
      </w:r>
      <w:r>
        <w:t>6</w:t>
      </w:r>
      <w:r>
        <w:rPr>
          <w:rFonts w:hint="eastAsia"/>
          <w:lang w:val="en-US" w:eastAsia="zh-CN"/>
        </w:rPr>
        <w:t>6</w:t>
      </w:r>
      <w:r>
        <w:t>.</w:t>
      </w:r>
      <w:r>
        <w:rPr>
          <w:rFonts w:hint="eastAsia"/>
          <w:lang w:val="en-US" w:eastAsia="zh-CN"/>
        </w:rPr>
        <w:t>75</w:t>
      </w:r>
      <w:r>
        <w:rPr>
          <w:rFonts w:hint="eastAsia"/>
        </w:rPr>
        <w:t>分，整体状态表现为亚健康，具体表现为流域水文水资源开发利用程度较高，河流流量过程生态适宜程度较低；物理结构方面，盐井河旺苍河段有两座小型水电站，两座小型水电站均有生态下泄流量下泄措施，但无过鱼设施，河流纵向连通性较差；河岸带植被覆盖率较高，河岸为岩土结构，基岩裸露，无堤防河段河岸无明显冲刷现象，整体稳定性较好；水质方面，水体整洁度较高，根据水质监测结果显示，除总氮外，其余各项指标均能满足Ⅱ类水标准限值，水质情况较为稳定；生物方面，河道鱼类种数达</w:t>
      </w:r>
      <w:r>
        <w:t>60</w:t>
      </w:r>
      <w:r>
        <w:rPr>
          <w:rFonts w:hint="eastAsia"/>
        </w:rPr>
        <w:t>种，本次调查鱼类种数与8</w:t>
      </w:r>
      <w:r>
        <w:t>0</w:t>
      </w:r>
      <w:r>
        <w:rPr>
          <w:rFonts w:hint="eastAsia"/>
        </w:rPr>
        <w:t>年代历史调查鱼类种数基本一致，鱼类保有指数度较高，且未调查到外来水生动植物，</w:t>
      </w:r>
      <w:r>
        <w:rPr>
          <w:rFonts w:hint="eastAsia"/>
          <w:szCs w:val="24"/>
        </w:rPr>
        <w:t>当地物种多样性均处于较理想状态</w:t>
      </w:r>
      <w:r>
        <w:rPr>
          <w:rFonts w:hint="eastAsia"/>
        </w:rPr>
        <w:t>；河湖管理与社会服务功能方面，公众对河湖环境、水质水量、涉水景观、舒适性及美学价值等方面比较满意度，河流防洪指标达标率达到</w:t>
      </w:r>
      <w:r>
        <w:t>100%</w:t>
      </w:r>
      <w:r>
        <w:rPr>
          <w:rFonts w:hint="eastAsia"/>
        </w:rPr>
        <w:t>以上，河流开发利用现状基本符合各级规划要求。</w:t>
      </w:r>
    </w:p>
    <w:p>
      <w:pPr>
        <w:pStyle w:val="3"/>
        <w:ind w:left="301" w:hanging="301"/>
      </w:pPr>
      <w:bookmarkStart w:id="193" w:name="_Toc80719427"/>
      <w:bookmarkStart w:id="194" w:name="_Toc86049212"/>
      <w:r>
        <w:rPr>
          <w:rFonts w:hint="eastAsia"/>
        </w:rPr>
        <w:t>存在的问题</w:t>
      </w:r>
      <w:bookmarkEnd w:id="193"/>
      <w:bookmarkEnd w:id="194"/>
    </w:p>
    <w:p>
      <w:pPr>
        <w:ind w:firstLine="480"/>
      </w:pPr>
      <w:r>
        <w:rPr>
          <w:rFonts w:hint="eastAsia"/>
        </w:rPr>
        <w:t>1、水量方面</w:t>
      </w:r>
    </w:p>
    <w:p>
      <w:pPr>
        <w:ind w:firstLine="480"/>
        <w:rPr>
          <w:szCs w:val="24"/>
        </w:rPr>
      </w:pPr>
      <w:r>
        <w:rPr>
          <w:rFonts w:hint="eastAsia"/>
        </w:rPr>
        <w:t>调查走访时年纪较大的沿河居民反映盐井河水量与以前相比小了许多，经查阅资料，盐井河水量减少原因是盐井河上游陕西省境内宁强县境内于</w:t>
      </w:r>
      <w:r>
        <w:rPr>
          <w:szCs w:val="24"/>
        </w:rPr>
        <w:t>1999年建成了二郎坝引嘉（陵江）入汉（江）工程，将</w:t>
      </w:r>
      <w:r>
        <w:t>盐井河</w:t>
      </w:r>
      <w:r>
        <w:rPr>
          <w:rFonts w:hint="eastAsia"/>
        </w:rPr>
        <w:t>上游</w:t>
      </w:r>
      <w:r>
        <w:rPr>
          <w:szCs w:val="24"/>
        </w:rPr>
        <w:t>集水面积401km</w:t>
      </w:r>
      <w:r>
        <w:rPr>
          <w:szCs w:val="24"/>
          <w:vertAlign w:val="superscript"/>
        </w:rPr>
        <w:t>2</w:t>
      </w:r>
      <w:r>
        <w:rPr>
          <w:rFonts w:hint="eastAsia"/>
        </w:rPr>
        <w:t>来</w:t>
      </w:r>
      <w:r>
        <w:rPr>
          <w:szCs w:val="24"/>
        </w:rPr>
        <w:t>水引入了汉江水系，引</w:t>
      </w:r>
      <w:r>
        <w:rPr>
          <w:rFonts w:hint="eastAsia"/>
          <w:szCs w:val="24"/>
        </w:rPr>
        <w:t>调水量</w:t>
      </w:r>
      <w:r>
        <w:rPr>
          <w:szCs w:val="24"/>
        </w:rPr>
        <w:t>1.99</w:t>
      </w:r>
      <w:r>
        <w:rPr>
          <w:rFonts w:hint="eastAsia"/>
          <w:szCs w:val="24"/>
        </w:rPr>
        <w:t>亿</w:t>
      </w:r>
      <w:r>
        <w:rPr>
          <w:szCs w:val="24"/>
        </w:rPr>
        <w:t>m</w:t>
      </w:r>
      <w:r>
        <w:rPr>
          <w:szCs w:val="24"/>
          <w:vertAlign w:val="superscript"/>
        </w:rPr>
        <w:t>3</w:t>
      </w:r>
      <w:r>
        <w:rPr>
          <w:rFonts w:hint="eastAsia"/>
          <w:szCs w:val="24"/>
        </w:rPr>
        <w:t>，该工程直接导致下游河段天然来水减少。</w:t>
      </w:r>
    </w:p>
    <w:p>
      <w:pPr>
        <w:ind w:firstLine="480"/>
        <w:rPr>
          <w:szCs w:val="24"/>
        </w:rPr>
      </w:pPr>
      <w:r>
        <w:rPr>
          <w:szCs w:val="24"/>
        </w:rPr>
        <w:t>2</w:t>
      </w:r>
      <w:r>
        <w:rPr>
          <w:rFonts w:hint="eastAsia"/>
          <w:szCs w:val="24"/>
        </w:rPr>
        <w:t>、水质方面</w:t>
      </w:r>
    </w:p>
    <w:p>
      <w:pPr>
        <w:ind w:firstLine="480"/>
        <w:rPr>
          <w:szCs w:val="24"/>
        </w:rPr>
      </w:pPr>
      <w:r>
        <w:rPr>
          <w:rFonts w:hint="eastAsia"/>
          <w:szCs w:val="24"/>
        </w:rPr>
        <w:t>盐井河陕西入境断面及下游入东河汇口断面水质均达到Ⅱ类水水质，但调查走访时，国华镇沿河居民反映盐井河国华场镇河段个别点位有轻微异味，主要原因为盐河新建居民楼生活污水未按照市政排水要求接入污水管道，存在零散直排下河现象。</w:t>
      </w:r>
    </w:p>
    <w:p>
      <w:pPr>
        <w:ind w:firstLine="480"/>
      </w:pPr>
      <w:r>
        <w:rPr>
          <w:rFonts w:hint="eastAsia"/>
        </w:rPr>
        <w:t>3、水生方面</w:t>
      </w:r>
    </w:p>
    <w:p>
      <w:pPr>
        <w:ind w:firstLine="480"/>
      </w:pPr>
      <w:r>
        <w:rPr>
          <w:rFonts w:hint="eastAsia"/>
        </w:rPr>
        <w:t>（1）福鑫电站对水生生物的影响</w:t>
      </w:r>
    </w:p>
    <w:p>
      <w:pPr>
        <w:ind w:firstLine="480"/>
      </w:pPr>
      <w:r>
        <w:t>本次调查</w:t>
      </w:r>
      <w:r>
        <w:rPr>
          <w:rFonts w:hint="eastAsia"/>
        </w:rPr>
        <w:t>了解到</w:t>
      </w:r>
      <w:r>
        <w:t>，大鲵</w:t>
      </w:r>
      <w:r>
        <w:rPr>
          <w:rFonts w:hint="eastAsia"/>
        </w:rPr>
        <w:t>主要分布</w:t>
      </w:r>
      <w:r>
        <w:t>在</w:t>
      </w:r>
      <w:r>
        <w:rPr>
          <w:rFonts w:hint="eastAsia"/>
          <w:szCs w:val="24"/>
        </w:rPr>
        <w:t>盐河镇以上的</w:t>
      </w:r>
      <w:r>
        <w:rPr>
          <w:rFonts w:hint="eastAsia"/>
        </w:rPr>
        <w:t>盐井河上游</w:t>
      </w:r>
      <w:r>
        <w:rPr>
          <w:rFonts w:hint="eastAsia"/>
          <w:szCs w:val="24"/>
        </w:rPr>
        <w:t>河段</w:t>
      </w:r>
      <w:r>
        <w:t>。该河段</w:t>
      </w:r>
      <w:r>
        <w:rPr>
          <w:rFonts w:hint="eastAsia"/>
        </w:rPr>
        <w:t>水质清澈，</w:t>
      </w:r>
      <w:r>
        <w:t>滩、潭、沱交错，生境复杂多样，是</w:t>
      </w:r>
      <w:r>
        <w:rPr>
          <w:rFonts w:hint="eastAsia"/>
        </w:rPr>
        <w:t>盐井河</w:t>
      </w:r>
      <w:r>
        <w:t>大鲵的集中分布区。</w:t>
      </w:r>
      <w:r>
        <w:rPr>
          <w:rFonts w:hint="eastAsia"/>
        </w:rPr>
        <w:t>受捕捞及其它人为因素的影响，</w:t>
      </w:r>
      <w:r>
        <w:t>大鲵资源量</w:t>
      </w:r>
      <w:r>
        <w:rPr>
          <w:rFonts w:hint="eastAsia"/>
        </w:rPr>
        <w:t>已</w:t>
      </w:r>
      <w:r>
        <w:t>日渐减少</w:t>
      </w:r>
      <w:r>
        <w:rPr>
          <w:rFonts w:hint="eastAsia"/>
        </w:rPr>
        <w:t>，目前在盐河镇上游的还有少量分布，偶尔有捕捞记录。</w:t>
      </w:r>
    </w:p>
    <w:p>
      <w:pPr>
        <w:ind w:firstLine="480"/>
      </w:pPr>
      <w:r>
        <w:rPr>
          <w:rFonts w:hint="eastAsia"/>
        </w:rPr>
        <w:t>福鑫水电站的</w:t>
      </w:r>
      <w:r>
        <w:t>建成运行，</w:t>
      </w:r>
      <w:r>
        <w:rPr>
          <w:rFonts w:hint="eastAsia"/>
        </w:rPr>
        <w:t>取水坝上游</w:t>
      </w:r>
      <w:r>
        <w:t>河段大鲵产卵场将维持原来的产卵规模</w:t>
      </w:r>
      <w:r>
        <w:rPr>
          <w:rFonts w:hint="eastAsia"/>
        </w:rPr>
        <w:t>，</w:t>
      </w:r>
      <w:r>
        <w:t>同时，库区</w:t>
      </w:r>
      <w:r>
        <w:rPr>
          <w:rFonts w:hint="eastAsia"/>
        </w:rPr>
        <w:t>河段</w:t>
      </w:r>
      <w:r>
        <w:t>尖头鱥的资源量将得到较大的提升，为大鲵提供更多的饵料资源，</w:t>
      </w:r>
      <w:r>
        <w:rPr>
          <w:rFonts w:hint="eastAsia"/>
        </w:rPr>
        <w:t>将</w:t>
      </w:r>
      <w:r>
        <w:t>有利于大鲵的生存，库区</w:t>
      </w:r>
      <w:r>
        <w:rPr>
          <w:rFonts w:hint="eastAsia"/>
        </w:rPr>
        <w:t>河段</w:t>
      </w:r>
      <w:r>
        <w:t>成为更大规模的大鲵索饵场。大鲵一般在洞缝隙中越冬，</w:t>
      </w:r>
      <w:r>
        <w:rPr>
          <w:rFonts w:hint="eastAsia"/>
        </w:rPr>
        <w:t>取水坝上</w:t>
      </w:r>
      <w:r>
        <w:t>原有的洞缝隙越冬场所被淹没，大鲵会</w:t>
      </w:r>
      <w:r>
        <w:rPr>
          <w:rFonts w:hint="eastAsia"/>
        </w:rPr>
        <w:t>被迫</w:t>
      </w:r>
      <w:r>
        <w:t>向上游水域迁移并寻找适宜的越冬水域。</w:t>
      </w:r>
    </w:p>
    <w:p>
      <w:pPr>
        <w:ind w:firstLine="480"/>
      </w:pPr>
      <w:r>
        <w:rPr>
          <w:rFonts w:hint="eastAsia"/>
          <w:kern w:val="0"/>
        </w:rPr>
        <w:t>电站取水坝下游</w:t>
      </w:r>
      <w:r>
        <w:rPr>
          <w:kern w:val="0"/>
        </w:rPr>
        <w:t>减水河段由于来水量减小，流速减缓，河道变窄，</w:t>
      </w:r>
      <w:r>
        <w:rPr>
          <w:rFonts w:hint="eastAsia"/>
        </w:rPr>
        <w:t>河段水文情势变化显著；</w:t>
      </w:r>
      <w:r>
        <w:rPr>
          <w:kern w:val="0"/>
        </w:rPr>
        <w:t>底栖动物</w:t>
      </w:r>
      <w:r>
        <w:rPr>
          <w:rFonts w:hint="eastAsia"/>
          <w:kern w:val="0"/>
        </w:rPr>
        <w:t>及鱼类</w:t>
      </w:r>
      <w:r>
        <w:rPr>
          <w:kern w:val="0"/>
        </w:rPr>
        <w:t>栖息空间相应减</w:t>
      </w:r>
      <w:r>
        <w:rPr>
          <w:rFonts w:hint="eastAsia"/>
          <w:kern w:val="0"/>
        </w:rPr>
        <w:t>小</w:t>
      </w:r>
      <w:r>
        <w:rPr>
          <w:kern w:val="0"/>
        </w:rPr>
        <w:t>，</w:t>
      </w:r>
      <w:r>
        <w:rPr>
          <w:rFonts w:hint="eastAsia"/>
        </w:rPr>
        <w:t>底栖生物和</w:t>
      </w:r>
      <w:r>
        <w:t>鱼类</w:t>
      </w:r>
      <w:r>
        <w:rPr>
          <w:rFonts w:hint="eastAsia"/>
        </w:rPr>
        <w:t>等饵料</w:t>
      </w:r>
      <w:r>
        <w:t>资源相应出现了一定幅度的减少</w:t>
      </w:r>
      <w:r>
        <w:rPr>
          <w:rFonts w:hint="eastAsia"/>
        </w:rPr>
        <w:t>，进而影响</w:t>
      </w:r>
      <w:r>
        <w:t>大鲵的栖息环境</w:t>
      </w:r>
      <w:r>
        <w:rPr>
          <w:rFonts w:hint="eastAsia"/>
        </w:rPr>
        <w:t>，不</w:t>
      </w:r>
      <w:r>
        <w:t>利于大鲵的生存和繁衍</w:t>
      </w:r>
      <w:r>
        <w:rPr>
          <w:rFonts w:hint="eastAsia"/>
        </w:rPr>
        <w:t>，其分布的区域一定程度缩小。</w:t>
      </w:r>
    </w:p>
    <w:p>
      <w:pPr>
        <w:ind w:firstLine="480"/>
      </w:pPr>
      <w:r>
        <w:rPr>
          <w:rFonts w:hint="eastAsia"/>
        </w:rPr>
        <w:t>（2）盐河电站对水生生物的影响</w:t>
      </w:r>
    </w:p>
    <w:p>
      <w:pPr>
        <w:ind w:firstLine="439" w:firstLineChars="183"/>
        <w:rPr>
          <w:szCs w:val="24"/>
        </w:rPr>
      </w:pPr>
      <w:r>
        <w:rPr>
          <w:szCs w:val="24"/>
        </w:rPr>
        <w:t>由于</w:t>
      </w:r>
      <w:r>
        <w:rPr>
          <w:rFonts w:hint="eastAsia"/>
          <w:szCs w:val="24"/>
        </w:rPr>
        <w:t>盐河</w:t>
      </w:r>
      <w:r>
        <w:rPr>
          <w:szCs w:val="24"/>
        </w:rPr>
        <w:t>电站发电取水，</w:t>
      </w:r>
      <w:r>
        <w:rPr>
          <w:rFonts w:hint="eastAsia"/>
          <w:szCs w:val="24"/>
        </w:rPr>
        <w:t>特别是在枯水期，下游减水河段</w:t>
      </w:r>
      <w:r>
        <w:rPr>
          <w:szCs w:val="24"/>
        </w:rPr>
        <w:t>河道生境萎缩，鱼类资源量在减水河段大幅度减少，鱼类</w:t>
      </w:r>
      <w:r>
        <w:rPr>
          <w:rFonts w:hint="eastAsia"/>
          <w:szCs w:val="24"/>
        </w:rPr>
        <w:t>种类简单化、</w:t>
      </w:r>
      <w:r>
        <w:rPr>
          <w:szCs w:val="24"/>
        </w:rPr>
        <w:t>小型化趋势明显。</w:t>
      </w:r>
      <w:r>
        <w:rPr>
          <w:rFonts w:hint="eastAsia"/>
          <w:szCs w:val="24"/>
        </w:rPr>
        <w:t>同时由于东河水电站大坝的阻隔，东河干流鱼类很难上溯，区间鱼类资源得不到补充，区间渔业资源量减少。</w:t>
      </w:r>
    </w:p>
    <w:p>
      <w:pPr>
        <w:ind w:firstLine="480"/>
        <w:rPr>
          <w:szCs w:val="24"/>
        </w:rPr>
      </w:pPr>
      <w:r>
        <w:rPr>
          <w:kern w:val="0"/>
          <w:szCs w:val="24"/>
        </w:rPr>
        <w:t>电站</w:t>
      </w:r>
      <w:r>
        <w:rPr>
          <w:rFonts w:hint="eastAsia"/>
          <w:kern w:val="0"/>
          <w:szCs w:val="24"/>
        </w:rPr>
        <w:t>采用</w:t>
      </w:r>
      <w:r>
        <w:rPr>
          <w:rFonts w:hint="eastAsia"/>
          <w:szCs w:val="24"/>
        </w:rPr>
        <w:t>拦河坝引水，拦河</w:t>
      </w:r>
      <w:r>
        <w:rPr>
          <w:szCs w:val="24"/>
        </w:rPr>
        <w:t>坝破坏了原有河流的生态连通体系，特别是在枯水季节对鱼类上溯阻隔特别明显。</w:t>
      </w:r>
      <w:r>
        <w:rPr>
          <w:rFonts w:hint="eastAsia"/>
          <w:szCs w:val="24"/>
        </w:rPr>
        <w:t>拦河坝上下游落差大，导致鱼类洄游通道被完全阻隔，坝址处上下游鱼类被完全隔离，导致上下游鱼类不能交流，下游溯河产卵的鱼类不能进入上游河段，上下游鱼类基因也得不到交流，鱼类遗传多样性降低。拦河坝将河道分为坝上坝下两个不连续的生境单元，鱼类生境片断化加剧，在丰水期鱼类可以自上而下单向迁移，拦河坝阻隔导致取水口上游鱼类资源得不到补充，区间鱼类资源量呈减少趋势</w:t>
      </w:r>
      <w:r>
        <w:rPr>
          <w:szCs w:val="24"/>
        </w:rPr>
        <w:t>。</w:t>
      </w:r>
    </w:p>
    <w:p>
      <w:pPr>
        <w:ind w:firstLine="480"/>
      </w:pPr>
      <w:r>
        <w:rPr>
          <w:rFonts w:hint="eastAsia"/>
        </w:rPr>
        <w:t>（3）生态流量不足</w:t>
      </w:r>
    </w:p>
    <w:p>
      <w:pPr>
        <w:ind w:firstLine="480"/>
        <w:rPr>
          <w:szCs w:val="24"/>
        </w:rPr>
      </w:pPr>
      <w:r>
        <w:rPr>
          <w:rFonts w:hint="eastAsia"/>
          <w:bCs/>
          <w:szCs w:val="24"/>
        </w:rPr>
        <w:t>福鑫电站、盐河电站均位于</w:t>
      </w:r>
      <w:r>
        <w:rPr>
          <w:rFonts w:hint="eastAsia"/>
          <w:kern w:val="0"/>
          <w:szCs w:val="24"/>
        </w:rPr>
        <w:t>东河上游特有鱼类省级水产种质资源保护区核心区</w:t>
      </w:r>
      <w:r>
        <w:rPr>
          <w:rFonts w:hint="eastAsia"/>
          <w:bCs/>
          <w:szCs w:val="24"/>
        </w:rPr>
        <w:t>河段，根据川水函</w:t>
      </w:r>
      <w:r>
        <w:rPr>
          <w:szCs w:val="24"/>
        </w:rPr>
        <w:t>[20</w:t>
      </w:r>
      <w:r>
        <w:rPr>
          <w:rFonts w:hint="eastAsia"/>
          <w:szCs w:val="24"/>
        </w:rPr>
        <w:t>18</w:t>
      </w:r>
      <w:r>
        <w:rPr>
          <w:szCs w:val="24"/>
        </w:rPr>
        <w:t>]</w:t>
      </w:r>
      <w:r>
        <w:rPr>
          <w:rFonts w:hint="eastAsia"/>
          <w:bCs/>
          <w:szCs w:val="24"/>
        </w:rPr>
        <w:t>720号文件“关于开展全省水电站下泄生态流量问题整改工作的通知”，应按取水口15%比例下泄生态流量，</w:t>
      </w:r>
      <w:r>
        <w:rPr>
          <w:rFonts w:hint="eastAsia"/>
        </w:rPr>
        <w:t>福鑫电站现下泄生态流量为多年平均流量的1</w:t>
      </w:r>
      <w:r>
        <w:t>0.56</w:t>
      </w:r>
      <w:r>
        <w:rPr>
          <w:rFonts w:hint="eastAsia"/>
        </w:rPr>
        <w:t>%，盐河电站现下泄生态流量为多年平均流量的1</w:t>
      </w:r>
      <w:r>
        <w:t>0.52</w:t>
      </w:r>
      <w:r>
        <w:rPr>
          <w:rFonts w:hint="eastAsia"/>
        </w:rPr>
        <w:t>%，未达</w:t>
      </w:r>
      <w:r>
        <w:rPr>
          <w:rFonts w:hint="eastAsia"/>
          <w:bCs/>
          <w:szCs w:val="24"/>
        </w:rPr>
        <w:t>川水函</w:t>
      </w:r>
      <w:r>
        <w:rPr>
          <w:szCs w:val="24"/>
        </w:rPr>
        <w:t>[20</w:t>
      </w:r>
      <w:r>
        <w:rPr>
          <w:rFonts w:hint="eastAsia"/>
          <w:szCs w:val="24"/>
        </w:rPr>
        <w:t>18</w:t>
      </w:r>
      <w:r>
        <w:rPr>
          <w:szCs w:val="24"/>
        </w:rPr>
        <w:t>]</w:t>
      </w:r>
      <w:r>
        <w:rPr>
          <w:rFonts w:hint="eastAsia"/>
          <w:bCs/>
          <w:szCs w:val="24"/>
        </w:rPr>
        <w:t>720号文件要求的1</w:t>
      </w:r>
      <w:r>
        <w:rPr>
          <w:bCs/>
          <w:szCs w:val="24"/>
        </w:rPr>
        <w:t>5</w:t>
      </w:r>
      <w:r>
        <w:rPr>
          <w:rFonts w:hint="eastAsia"/>
          <w:bCs/>
          <w:szCs w:val="24"/>
        </w:rPr>
        <w:t>%。</w:t>
      </w:r>
    </w:p>
    <w:p>
      <w:pPr>
        <w:ind w:firstLine="439" w:firstLineChars="183"/>
      </w:pPr>
      <w:r>
        <w:t>4</w:t>
      </w:r>
      <w:r>
        <w:rPr>
          <w:rFonts w:hint="eastAsia"/>
        </w:rPr>
        <w:t>、日常管理方面</w:t>
      </w:r>
    </w:p>
    <w:p>
      <w:pPr>
        <w:ind w:firstLine="480"/>
      </w:pPr>
      <w:r>
        <w:rPr>
          <w:rFonts w:hint="eastAsia"/>
        </w:rPr>
        <w:t>盐井河为跨界河流，且涉及汉王山东河湿地是省级自然保护区，本次工作过程中仅收集到盐井河2</w:t>
      </w:r>
      <w:r>
        <w:t>020</w:t>
      </w:r>
      <w:r>
        <w:rPr>
          <w:rFonts w:hint="eastAsia"/>
        </w:rPr>
        <w:t>年1</w:t>
      </w:r>
      <w:r>
        <w:t>2</w:t>
      </w:r>
      <w:r>
        <w:rPr>
          <w:rFonts w:hint="eastAsia"/>
        </w:rPr>
        <w:t>月的一次水质监测报告，且只有一个监测断面，评价认为盐井河水质监测力度较低，应适当增加监测断面和监测频率。</w:t>
      </w:r>
    </w:p>
    <w:p>
      <w:pPr>
        <w:pStyle w:val="3"/>
        <w:ind w:left="301" w:hanging="301"/>
      </w:pPr>
      <w:bookmarkStart w:id="195" w:name="_Toc86049213"/>
      <w:bookmarkStart w:id="196" w:name="_Toc80719428"/>
      <w:r>
        <w:rPr>
          <w:rFonts w:hint="eastAsia"/>
        </w:rPr>
        <w:t>保护对策及建议</w:t>
      </w:r>
      <w:bookmarkEnd w:id="195"/>
      <w:bookmarkEnd w:id="196"/>
    </w:p>
    <w:p>
      <w:pPr>
        <w:pStyle w:val="4"/>
        <w:ind w:left="240"/>
      </w:pPr>
      <w:bookmarkStart w:id="197" w:name="_Toc86049214"/>
      <w:r>
        <w:rPr>
          <w:rFonts w:hint="eastAsia"/>
        </w:rPr>
        <w:t>保护对策</w:t>
      </w:r>
      <w:bookmarkEnd w:id="197"/>
    </w:p>
    <w:p>
      <w:pPr>
        <w:ind w:firstLine="480"/>
      </w:pPr>
      <w:r>
        <w:rPr>
          <w:rFonts w:hint="eastAsia"/>
        </w:rPr>
        <w:t>（1）盐河场镇如双汇、国华、盐河等乡镇应完善市政污水收集系统，具备污水处理设施的乡镇在后续发展建设中，应落实新建住宅及商铺的污水管网建设，严格要求新建改建住宅等污水接入市政污水管网，严禁生活污水未经处理直接下河。</w:t>
      </w:r>
    </w:p>
    <w:p>
      <w:pPr>
        <w:ind w:firstLine="480"/>
        <w:rPr>
          <w:szCs w:val="24"/>
        </w:rPr>
      </w:pPr>
      <w:r>
        <w:rPr>
          <w:rFonts w:hint="eastAsia"/>
        </w:rPr>
        <w:t>（2）盐河电站拦河坝为低坝引水，最大坝高</w:t>
      </w:r>
      <w:r>
        <w:t>4</w:t>
      </w:r>
      <w:r>
        <w:rPr>
          <w:rFonts w:hint="eastAsia"/>
        </w:rPr>
        <w:t>m。在取水坝修建过鱼设施，连通上下河道不仅必要而且可行，为减小对保护区的影响，连通坝上下游河道，建议在拦河坝右岸坝顶开设</w:t>
      </w:r>
      <w:r>
        <w:t>2m宽</w:t>
      </w:r>
      <w:r>
        <w:rPr>
          <w:rFonts w:hint="eastAsia"/>
        </w:rPr>
        <w:t>的生态堰槽，在拦水坝下游采用钢筋石笼等工程方式修建鱼类上溯通道，与生态堰槽连通，为有利于鱼类上溯，生态流量及电站引水后多余弃水从该通道过流。</w:t>
      </w:r>
    </w:p>
    <w:p>
      <w:pPr>
        <w:ind w:firstLine="480"/>
      </w:pPr>
      <w:r>
        <w:rPr>
          <w:rFonts w:hint="eastAsia"/>
        </w:rPr>
        <w:t>（</w:t>
      </w:r>
      <w:r>
        <w:t>3</w:t>
      </w:r>
      <w:r>
        <w:rPr>
          <w:rFonts w:hint="eastAsia"/>
        </w:rPr>
        <w:t>）福鑫电站坝址上下游鱼类的主要繁殖期为3~6月，为避免电站调节运行频繁的水位变动对早期鱼类资源的影响，特提出，在3~6月，电站禁止调节运行，全部来水用于发电，当上游来水小于最小设计引用流量和下泄生态流量之和时，上游来水全部下泄到坝下河段，电站停止运行。</w:t>
      </w:r>
    </w:p>
    <w:p>
      <w:pPr>
        <w:ind w:firstLine="480"/>
      </w:pPr>
      <w:r>
        <w:rPr>
          <w:rFonts w:hint="eastAsia"/>
        </w:rPr>
        <w:t>（</w:t>
      </w:r>
      <w:r>
        <w:t>4</w:t>
      </w:r>
      <w:r>
        <w:rPr>
          <w:rFonts w:hint="eastAsia"/>
        </w:rPr>
        <w:t>）福鑫水电站的运行</w:t>
      </w:r>
      <w:r>
        <w:t>破坏</w:t>
      </w:r>
      <w:r>
        <w:rPr>
          <w:rFonts w:hint="eastAsia"/>
        </w:rPr>
        <w:t>了</w:t>
      </w:r>
      <w:r>
        <w:t>原有河流的生态连通体系，使保护区</w:t>
      </w:r>
      <w:r>
        <w:rPr>
          <w:rFonts w:hint="eastAsia"/>
        </w:rPr>
        <w:t>核心区</w:t>
      </w:r>
      <w:r>
        <w:t>河段水生生境片段化加剧，阻断上下游水生动物之间的迁移和交流</w:t>
      </w:r>
      <w:r>
        <w:rPr>
          <w:rFonts w:hint="eastAsia"/>
        </w:rPr>
        <w:t>。福鑫水电站拦河坝址上游主要分布的有大鲵、尖头鱥、花</w:t>
      </w:r>
      <w:r>
        <w:t>䱻</w:t>
      </w:r>
      <w:r>
        <w:rPr>
          <w:rFonts w:hint="eastAsia"/>
        </w:rPr>
        <w:t>、中华裂腹鱼等鱼类，均为定居性鱼类，即使有迁移，也是在同一河段不同的小生境之间迁移。在电站减水河段及厂房下游河段，取水坝库区及尾水上游河段均有鱼类“三场”分布，分布在坝上下游河段的鱼类均能完成生活史，修建过鱼设施对生活在坝上下游河段的鱼类的过鱼效果较差，为减小闸坝阻隔的影响，建议采取捞鱼过坝的措施扩大坝上下游河段鱼类基因的交流。</w:t>
      </w:r>
    </w:p>
    <w:p>
      <w:pPr>
        <w:ind w:firstLine="480"/>
      </w:pPr>
      <w:r>
        <w:rPr>
          <w:rFonts w:hint="eastAsia"/>
        </w:rPr>
        <w:t>（5）盐河</w:t>
      </w:r>
      <w:r>
        <w:rPr>
          <w:rFonts w:hint="eastAsia"/>
          <w:bCs/>
          <w:szCs w:val="24"/>
        </w:rPr>
        <w:t>电站、福鑫电站均位于</w:t>
      </w:r>
      <w:r>
        <w:rPr>
          <w:rFonts w:hint="eastAsia"/>
          <w:kern w:val="0"/>
          <w:szCs w:val="24"/>
        </w:rPr>
        <w:t>东河上游特有鱼类省级水产种质资源保护区核心区</w:t>
      </w:r>
      <w:r>
        <w:rPr>
          <w:rFonts w:hint="eastAsia"/>
          <w:bCs/>
          <w:szCs w:val="24"/>
        </w:rPr>
        <w:t>河段</w:t>
      </w:r>
      <w:r>
        <w:rPr>
          <w:rFonts w:hint="eastAsia"/>
          <w:szCs w:val="24"/>
        </w:rPr>
        <w:t>，</w:t>
      </w:r>
      <w:r>
        <w:rPr>
          <w:rFonts w:hint="eastAsia"/>
          <w:bCs/>
          <w:szCs w:val="24"/>
        </w:rPr>
        <w:t>根据川水函</w:t>
      </w:r>
      <w:r>
        <w:rPr>
          <w:szCs w:val="24"/>
        </w:rPr>
        <w:t>[20</w:t>
      </w:r>
      <w:r>
        <w:rPr>
          <w:rFonts w:hint="eastAsia"/>
          <w:szCs w:val="24"/>
        </w:rPr>
        <w:t>18</w:t>
      </w:r>
      <w:r>
        <w:rPr>
          <w:szCs w:val="24"/>
        </w:rPr>
        <w:t>]</w:t>
      </w:r>
      <w:r>
        <w:rPr>
          <w:rFonts w:hint="eastAsia"/>
          <w:bCs/>
          <w:szCs w:val="24"/>
        </w:rPr>
        <w:t>720号文件“关于开展全省水电站下泄生态流量问题整改工作的通知”，应按取水口15%比例下泄生态流量，加上上游天生桥水库0</w:t>
      </w:r>
      <w:r>
        <w:rPr>
          <w:bCs/>
          <w:szCs w:val="24"/>
        </w:rPr>
        <w:t>.81</w:t>
      </w:r>
      <w:r>
        <w:rPr>
          <w:rFonts w:hint="eastAsia"/>
          <w:bCs/>
          <w:szCs w:val="24"/>
        </w:rPr>
        <w:t>m</w:t>
      </w:r>
      <w:r>
        <w:rPr>
          <w:rFonts w:hint="eastAsia"/>
          <w:bCs/>
          <w:szCs w:val="24"/>
          <w:vertAlign w:val="superscript"/>
        </w:rPr>
        <w:t>3</w:t>
      </w:r>
      <w:r>
        <w:rPr>
          <w:rFonts w:hint="eastAsia"/>
          <w:bCs/>
          <w:szCs w:val="24"/>
        </w:rPr>
        <w:t>/s的下泄生态流量，福鑫、盐河两座电站的应达到2</w:t>
      </w:r>
      <w:r>
        <w:rPr>
          <w:bCs/>
          <w:szCs w:val="24"/>
        </w:rPr>
        <w:t>.40</w:t>
      </w:r>
      <w:r>
        <w:rPr>
          <w:rFonts w:hint="eastAsia"/>
          <w:bCs/>
          <w:szCs w:val="24"/>
        </w:rPr>
        <w:t xml:space="preserve"> m</w:t>
      </w:r>
      <w:r>
        <w:rPr>
          <w:rFonts w:hint="eastAsia"/>
          <w:bCs/>
          <w:szCs w:val="24"/>
          <w:vertAlign w:val="superscript"/>
        </w:rPr>
        <w:t>3</w:t>
      </w:r>
      <w:r>
        <w:rPr>
          <w:rFonts w:hint="eastAsia"/>
          <w:bCs/>
          <w:szCs w:val="24"/>
        </w:rPr>
        <w:t>/s和2</w:t>
      </w:r>
      <w:r>
        <w:rPr>
          <w:bCs/>
          <w:szCs w:val="24"/>
        </w:rPr>
        <w:t>.62</w:t>
      </w:r>
      <w:r>
        <w:rPr>
          <w:rFonts w:hint="eastAsia"/>
          <w:bCs/>
          <w:szCs w:val="24"/>
        </w:rPr>
        <w:t xml:space="preserve"> m</w:t>
      </w:r>
      <w:r>
        <w:rPr>
          <w:rFonts w:hint="eastAsia"/>
          <w:bCs/>
          <w:szCs w:val="24"/>
          <w:vertAlign w:val="superscript"/>
        </w:rPr>
        <w:t>3</w:t>
      </w:r>
      <w:r>
        <w:rPr>
          <w:rFonts w:hint="eastAsia"/>
          <w:bCs/>
          <w:szCs w:val="24"/>
        </w:rPr>
        <w:t>/s。</w:t>
      </w:r>
    </w:p>
    <w:p>
      <w:pPr>
        <w:ind w:firstLine="480"/>
        <w:rPr>
          <w:bCs/>
          <w:szCs w:val="24"/>
        </w:rPr>
      </w:pPr>
      <w:r>
        <w:rPr>
          <w:rFonts w:hint="eastAsia"/>
        </w:rPr>
        <w:t>（</w:t>
      </w:r>
      <w:r>
        <w:t>6</w:t>
      </w:r>
      <w:r>
        <w:rPr>
          <w:rFonts w:hint="eastAsia"/>
        </w:rPr>
        <w:t>）盐河电站和福鑫电站位于</w:t>
      </w:r>
      <w:r>
        <w:rPr>
          <w:rFonts w:hint="eastAsia"/>
          <w:bCs/>
          <w:szCs w:val="24"/>
        </w:rPr>
        <w:t>东河上游特有鱼类省级水产种质资源保护区核心区，两座电站均已编制水生专题影响评价报告并提出了相应的补救措施，旺苍县水利局、生态环境局、农业农村局等相关主管单位应对其加强监管、确保整改及补救措施有效实施，减少大坝阻隔对水生态环境的影响。</w:t>
      </w:r>
    </w:p>
    <w:p>
      <w:pPr>
        <w:ind w:firstLine="480"/>
      </w:pPr>
      <w:r>
        <w:rPr>
          <w:rFonts w:hint="eastAsia"/>
        </w:rPr>
        <w:t>（</w:t>
      </w:r>
      <w:r>
        <w:t>6</w:t>
      </w:r>
      <w:r>
        <w:rPr>
          <w:rFonts w:hint="eastAsia"/>
        </w:rPr>
        <w:t>）盐井河作为跨界河流，且涉及</w:t>
      </w:r>
      <w:r>
        <w:rPr>
          <w:rFonts w:hint="eastAsia"/>
          <w:bCs/>
          <w:szCs w:val="24"/>
        </w:rPr>
        <w:t>东河上游特有鱼类省级水产种质资源保护区和</w:t>
      </w:r>
      <w:r>
        <w:rPr>
          <w:rFonts w:hint="eastAsia"/>
        </w:rPr>
        <w:t>汉王山东河湿地省级自然保护区，应在入境处、稀有水生生物栖息地、汇口处等设立水质监测断面，监测频率不低于4次/年。</w:t>
      </w:r>
    </w:p>
    <w:p>
      <w:pPr>
        <w:pStyle w:val="4"/>
        <w:ind w:left="240"/>
      </w:pPr>
      <w:bookmarkStart w:id="198" w:name="_Toc86049215"/>
      <w:r>
        <w:rPr>
          <w:rFonts w:hint="eastAsia"/>
        </w:rPr>
        <w:t>对《指南》的建议</w:t>
      </w:r>
      <w:bookmarkEnd w:id="198"/>
    </w:p>
    <w:p>
      <w:pPr>
        <w:ind w:firstLine="480"/>
      </w:pPr>
      <w:r>
        <w:rPr>
          <w:rFonts w:hint="eastAsia"/>
        </w:rPr>
        <w:t>（1）水文水资源</w:t>
      </w:r>
    </w:p>
    <w:p>
      <w:pPr>
        <w:ind w:firstLine="480"/>
        <w:rPr>
          <w:szCs w:val="24"/>
        </w:rPr>
      </w:pPr>
      <w:r>
        <w:rPr>
          <w:rFonts w:hint="eastAsia"/>
        </w:rPr>
        <w:t>旺苍县盐井河河段无中大型水电开发工程，无河道取水，但由于盐井河上游陕西宁强县境内</w:t>
      </w:r>
      <w:r>
        <w:rPr>
          <w:szCs w:val="24"/>
        </w:rPr>
        <w:t>二郎坝引嘉（陵江）入汉（江）工程</w:t>
      </w:r>
      <w:r>
        <w:rPr>
          <w:rFonts w:hint="eastAsia"/>
          <w:szCs w:val="24"/>
        </w:rPr>
        <w:t>引调水影响，计算盐井河水资源开发利用率时造成该项得分较低。建议《指南》修订时考虑同流域不同省市、区县水资源开发利用对评价范围河段的直接影响，在受上游水资源开发利用影响较大时适当降低水资源开大利用率项指标权重，总而使整体评价结果符合评价河段实际情况。</w:t>
      </w:r>
    </w:p>
    <w:p>
      <w:pPr>
        <w:ind w:firstLine="480"/>
        <w:rPr>
          <w:szCs w:val="24"/>
        </w:rPr>
      </w:pPr>
      <w:r>
        <w:rPr>
          <w:rFonts w:hint="eastAsia"/>
          <w:szCs w:val="24"/>
        </w:rPr>
        <w:t>（2）物理结构</w:t>
      </w:r>
    </w:p>
    <w:p>
      <w:pPr>
        <w:ind w:firstLine="480"/>
        <w:rPr>
          <w:szCs w:val="24"/>
        </w:rPr>
      </w:pPr>
      <w:r>
        <w:rPr>
          <w:rFonts w:hint="eastAsia"/>
          <w:szCs w:val="24"/>
        </w:rPr>
        <w:t>盐井河有小型水电站两座，由于《指南（试行）》对有过鱼设施的水电站及石河堰等均不在统计范围之列，盐河、福鑫两座电站属于小型水电站，均无过鱼设施，导致河流纵向连通性项指标得分为</w:t>
      </w:r>
      <w:r>
        <w:rPr>
          <w:szCs w:val="24"/>
        </w:rPr>
        <w:t>0</w:t>
      </w:r>
      <w:r>
        <w:rPr>
          <w:rFonts w:hint="eastAsia"/>
          <w:szCs w:val="24"/>
        </w:rPr>
        <w:t>分。盐河、福鑫两座小型水电站均设置有生态流量下泄措施，且作了水生生物影响专题评价，评价结论为采取补救措施后可降低电站运行对河段水生态环境及渔业资源的影响，故建议《指南（试行）》修订时考虑对采取下泄生态流量及补救措施后对水生态环境及渔业资源影响较小的水电站及石河堰等拦河设施不计入统计范围之列或适当降低该项指标赋分权重，使整体评价结果贴合评价河段实际情况。</w:t>
      </w:r>
    </w:p>
    <w:p>
      <w:pPr>
        <w:ind w:firstLine="480"/>
        <w:rPr>
          <w:szCs w:val="24"/>
        </w:rPr>
      </w:pPr>
      <w:r>
        <w:t>（</w:t>
      </w:r>
      <w:r>
        <w:rPr>
          <w:rFonts w:hint="eastAsia"/>
        </w:rPr>
        <w:t>3</w:t>
      </w:r>
      <w:r>
        <w:t>）</w:t>
      </w:r>
      <w:r>
        <w:rPr>
          <w:rFonts w:hint="eastAsia"/>
          <w:szCs w:val="24"/>
        </w:rPr>
        <w:t>供水指标</w:t>
      </w:r>
    </w:p>
    <w:p>
      <w:pPr>
        <w:ind w:firstLine="480"/>
        <w:rPr>
          <w:szCs w:val="24"/>
        </w:rPr>
      </w:pPr>
      <w:r>
        <w:rPr>
          <w:rFonts w:hint="eastAsia"/>
          <w:szCs w:val="24"/>
        </w:rPr>
        <w:t>盐井河流域无河道外用水，区域内各乡镇取水均是取自盐井河支流支沟，本评价报告直接将此项指标作满分处理，建立《指南》对供水指标的取水范围有明确界定，对于在主河道无直接取水的评价河段，考虑该项指标的指标权重分配。</w:t>
      </w:r>
    </w:p>
    <w:p>
      <w:pPr>
        <w:ind w:firstLine="480"/>
        <w:rPr>
          <w:szCs w:val="24"/>
        </w:rPr>
      </w:pPr>
      <w:r>
        <w:rPr>
          <w:rFonts w:hint="eastAsia"/>
          <w:szCs w:val="24"/>
        </w:rPr>
        <w:t>（4）规划与符合性分析</w:t>
      </w:r>
    </w:p>
    <w:p>
      <w:pPr>
        <w:ind w:firstLine="480"/>
        <w:rPr>
          <w:szCs w:val="24"/>
        </w:rPr>
      </w:pPr>
      <w:r>
        <w:rPr>
          <w:rFonts w:hint="eastAsia"/>
          <w:szCs w:val="24"/>
        </w:rPr>
        <w:t>盐井河有小型水电站两座，其中盐河电站在</w:t>
      </w:r>
      <w:r>
        <w:rPr>
          <w:rFonts w:hint="eastAsia"/>
        </w:rPr>
        <w:t>《东河流域水电开发规划报告》编制完成时就已经建立，虽然东河流域水电开发规划编制时将其纳入盐井河梯级开发方案，但盐河电站建立时无规划依据。本报告处理此问题的方式为：盐河电站虽然没有规划依据，但后期编制《东河流域水电开发规划报告》时将其纳入盐井河梯级开发方案，又根据旺苍县小水电整改方案，盐河电站属于合理缺项予以存在的项目，故盐河电站符合性作符合规定处理。建议《指南》对先于流域规划建立水电项目适当调整评价方案及指标权重。</w:t>
      </w:r>
    </w:p>
    <w:p>
      <w:pPr>
        <w:ind w:firstLine="480"/>
      </w:pPr>
    </w:p>
    <w:p>
      <w:pPr>
        <w:ind w:firstLine="480"/>
      </w:pPr>
    </w:p>
    <w:p>
      <w:pPr>
        <w:ind w:firstLine="480"/>
        <w:sectPr>
          <w:pgSz w:w="11906" w:h="16838"/>
          <w:pgMar w:top="1417" w:right="1417" w:bottom="1417" w:left="1417" w:header="510" w:footer="1134" w:gutter="0"/>
          <w:cols w:space="0" w:num="1"/>
          <w:docGrid w:linePitch="312" w:charSpace="0"/>
        </w:sectPr>
      </w:pPr>
    </w:p>
    <w:p>
      <w:pPr>
        <w:ind w:firstLine="480"/>
      </w:pPr>
    </w:p>
    <w:p>
      <w:pPr>
        <w:pStyle w:val="2"/>
      </w:pPr>
      <w:bookmarkStart w:id="199" w:name="_Toc86049216"/>
      <w:bookmarkStart w:id="200" w:name="_Toc80719429"/>
      <w:r>
        <w:rPr>
          <w:rFonts w:hint="eastAsia"/>
        </w:rPr>
        <w:t>附表</w:t>
      </w:r>
      <w:bookmarkEnd w:id="199"/>
      <w:bookmarkEnd w:id="200"/>
    </w:p>
    <w:p>
      <w:pPr>
        <w:pStyle w:val="3"/>
        <w:numPr>
          <w:ilvl w:val="0"/>
          <w:numId w:val="0"/>
        </w:numPr>
      </w:pPr>
      <w:bookmarkStart w:id="201" w:name="_Toc80719430"/>
      <w:bookmarkStart w:id="202" w:name="_Toc86049217"/>
      <w:r>
        <w:rPr>
          <w:rFonts w:hint="eastAsia"/>
        </w:rPr>
        <w:t>附表1四川省广元市旺苍县盐井河基本特征表</w:t>
      </w:r>
      <w:bookmarkEnd w:id="201"/>
      <w:bookmarkEnd w:id="202"/>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2"/>
        <w:gridCol w:w="1023"/>
        <w:gridCol w:w="1188"/>
        <w:gridCol w:w="1085"/>
        <w:gridCol w:w="1188"/>
        <w:gridCol w:w="1179"/>
        <w:gridCol w:w="873"/>
        <w:gridCol w:w="944"/>
        <w:gridCol w:w="1548"/>
        <w:gridCol w:w="1315"/>
        <w:gridCol w:w="1590"/>
        <w:gridCol w:w="737"/>
        <w:gridCol w:w="9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 w:type="pct"/>
            <w:vMerge w:val="restart"/>
            <w:vAlign w:val="center"/>
          </w:tcPr>
          <w:p>
            <w:pPr>
              <w:pStyle w:val="43"/>
            </w:pPr>
            <w:r>
              <w:rPr>
                <w:rFonts w:hint="eastAsia"/>
              </w:rPr>
              <w:t>河流类别</w:t>
            </w:r>
          </w:p>
        </w:tc>
        <w:tc>
          <w:tcPr>
            <w:tcW w:w="361" w:type="pct"/>
            <w:vMerge w:val="restart"/>
            <w:vAlign w:val="center"/>
          </w:tcPr>
          <w:p>
            <w:pPr>
              <w:pStyle w:val="43"/>
            </w:pPr>
            <w:r>
              <w:rPr>
                <w:rFonts w:hint="eastAsia"/>
              </w:rPr>
              <w:t>开发利用任务</w:t>
            </w:r>
          </w:p>
        </w:tc>
        <w:tc>
          <w:tcPr>
            <w:tcW w:w="1637" w:type="pct"/>
            <w:gridSpan w:val="4"/>
            <w:vAlign w:val="center"/>
          </w:tcPr>
          <w:p>
            <w:pPr>
              <w:pStyle w:val="43"/>
            </w:pPr>
            <w:r>
              <w:rPr>
                <w:rFonts w:hint="eastAsia"/>
              </w:rPr>
              <w:t>评价范围</w:t>
            </w:r>
          </w:p>
        </w:tc>
        <w:tc>
          <w:tcPr>
            <w:tcW w:w="308" w:type="pct"/>
            <w:vMerge w:val="restart"/>
            <w:vAlign w:val="center"/>
          </w:tcPr>
          <w:p>
            <w:pPr>
              <w:pStyle w:val="43"/>
            </w:pPr>
            <w:r>
              <w:rPr>
                <w:rFonts w:hint="eastAsia"/>
              </w:rPr>
              <w:t>评价河段长度</w:t>
            </w:r>
          </w:p>
          <w:p>
            <w:pPr>
              <w:pStyle w:val="43"/>
            </w:pPr>
            <w:r>
              <w:rPr>
                <w:rFonts w:hint="eastAsia"/>
              </w:rPr>
              <w:t>km</w:t>
            </w:r>
          </w:p>
        </w:tc>
        <w:tc>
          <w:tcPr>
            <w:tcW w:w="1343" w:type="pct"/>
            <w:gridSpan w:val="3"/>
            <w:vAlign w:val="center"/>
          </w:tcPr>
          <w:p>
            <w:pPr>
              <w:pStyle w:val="43"/>
            </w:pPr>
            <w:r>
              <w:rPr>
                <w:rFonts w:hint="eastAsia"/>
              </w:rPr>
              <w:t>监测代表断面</w:t>
            </w:r>
          </w:p>
        </w:tc>
        <w:tc>
          <w:tcPr>
            <w:tcW w:w="821" w:type="pct"/>
            <w:gridSpan w:val="2"/>
            <w:vAlign w:val="center"/>
          </w:tcPr>
          <w:p>
            <w:pPr>
              <w:pStyle w:val="43"/>
            </w:pPr>
            <w:r>
              <w:rPr>
                <w:rFonts w:hint="eastAsia"/>
              </w:rPr>
              <w:t>水功能区划名称</w:t>
            </w:r>
          </w:p>
        </w:tc>
        <w:tc>
          <w:tcPr>
            <w:tcW w:w="325" w:type="pct"/>
            <w:vMerge w:val="restart"/>
            <w:vAlign w:val="center"/>
          </w:tcPr>
          <w:p>
            <w:pPr>
              <w:pStyle w:val="43"/>
            </w:pPr>
            <w:r>
              <w:rPr>
                <w:rFonts w:hint="eastAsia"/>
              </w:rPr>
              <w:t>水质现状类别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 w:type="pct"/>
            <w:vMerge w:val="continue"/>
            <w:vAlign w:val="center"/>
          </w:tcPr>
          <w:p>
            <w:pPr>
              <w:pStyle w:val="43"/>
            </w:pPr>
          </w:p>
        </w:tc>
        <w:tc>
          <w:tcPr>
            <w:tcW w:w="361" w:type="pct"/>
            <w:vMerge w:val="continue"/>
            <w:vAlign w:val="center"/>
          </w:tcPr>
          <w:p>
            <w:pPr>
              <w:pStyle w:val="43"/>
            </w:pPr>
          </w:p>
        </w:tc>
        <w:tc>
          <w:tcPr>
            <w:tcW w:w="802" w:type="pct"/>
            <w:gridSpan w:val="2"/>
            <w:vAlign w:val="center"/>
          </w:tcPr>
          <w:p>
            <w:pPr>
              <w:pStyle w:val="43"/>
            </w:pPr>
            <w:r>
              <w:rPr>
                <w:rFonts w:hint="eastAsia"/>
              </w:rPr>
              <w:t>起点（度分秒）</w:t>
            </w:r>
          </w:p>
        </w:tc>
        <w:tc>
          <w:tcPr>
            <w:tcW w:w="835" w:type="pct"/>
            <w:gridSpan w:val="2"/>
            <w:vAlign w:val="center"/>
          </w:tcPr>
          <w:p>
            <w:pPr>
              <w:pStyle w:val="43"/>
            </w:pPr>
            <w:r>
              <w:rPr>
                <w:rFonts w:hint="eastAsia"/>
              </w:rPr>
              <w:t>终点（度分秒）</w:t>
            </w:r>
          </w:p>
        </w:tc>
        <w:tc>
          <w:tcPr>
            <w:tcW w:w="308" w:type="pct"/>
            <w:vMerge w:val="continue"/>
            <w:vAlign w:val="center"/>
          </w:tcPr>
          <w:p>
            <w:pPr>
              <w:pStyle w:val="43"/>
            </w:pPr>
          </w:p>
        </w:tc>
        <w:tc>
          <w:tcPr>
            <w:tcW w:w="333" w:type="pct"/>
            <w:vMerge w:val="restart"/>
            <w:vAlign w:val="center"/>
          </w:tcPr>
          <w:p>
            <w:pPr>
              <w:pStyle w:val="43"/>
            </w:pPr>
            <w:r>
              <w:rPr>
                <w:rFonts w:hint="eastAsia"/>
              </w:rPr>
              <w:t>名称</w:t>
            </w:r>
          </w:p>
        </w:tc>
        <w:tc>
          <w:tcPr>
            <w:tcW w:w="1010" w:type="pct"/>
            <w:gridSpan w:val="2"/>
            <w:vAlign w:val="center"/>
          </w:tcPr>
          <w:p>
            <w:pPr>
              <w:pStyle w:val="43"/>
            </w:pPr>
            <w:r>
              <w:rPr>
                <w:rFonts w:hint="eastAsia"/>
              </w:rPr>
              <w:t>位置（度分秒）</w:t>
            </w:r>
          </w:p>
        </w:tc>
        <w:tc>
          <w:tcPr>
            <w:tcW w:w="561" w:type="pct"/>
            <w:vMerge w:val="restart"/>
            <w:vAlign w:val="center"/>
          </w:tcPr>
          <w:p>
            <w:pPr>
              <w:pStyle w:val="43"/>
            </w:pPr>
            <w:r>
              <w:rPr>
                <w:rFonts w:hint="eastAsia"/>
              </w:rPr>
              <w:t>名称</w:t>
            </w:r>
          </w:p>
        </w:tc>
        <w:tc>
          <w:tcPr>
            <w:tcW w:w="260" w:type="pct"/>
            <w:vMerge w:val="restart"/>
            <w:vAlign w:val="center"/>
          </w:tcPr>
          <w:p>
            <w:pPr>
              <w:pStyle w:val="43"/>
            </w:pPr>
            <w:r>
              <w:rPr>
                <w:rFonts w:hint="eastAsia"/>
              </w:rPr>
              <w:t>管理目标</w:t>
            </w:r>
          </w:p>
        </w:tc>
        <w:tc>
          <w:tcPr>
            <w:tcW w:w="325" w:type="pct"/>
            <w:vMerge w:val="continue"/>
            <w:vAlign w:val="center"/>
          </w:tcPr>
          <w:p>
            <w:pPr>
              <w:pStyle w:val="4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 w:type="pct"/>
            <w:vMerge w:val="continue"/>
            <w:vAlign w:val="center"/>
          </w:tcPr>
          <w:p>
            <w:pPr>
              <w:pStyle w:val="43"/>
            </w:pPr>
          </w:p>
        </w:tc>
        <w:tc>
          <w:tcPr>
            <w:tcW w:w="361" w:type="pct"/>
            <w:vMerge w:val="continue"/>
            <w:vAlign w:val="center"/>
          </w:tcPr>
          <w:p>
            <w:pPr>
              <w:pStyle w:val="43"/>
            </w:pPr>
          </w:p>
        </w:tc>
        <w:tc>
          <w:tcPr>
            <w:tcW w:w="419" w:type="pct"/>
            <w:vAlign w:val="center"/>
          </w:tcPr>
          <w:p>
            <w:pPr>
              <w:pStyle w:val="43"/>
            </w:pPr>
            <w:r>
              <w:rPr>
                <w:rFonts w:hint="eastAsia"/>
              </w:rPr>
              <w:t>东经</w:t>
            </w:r>
          </w:p>
        </w:tc>
        <w:tc>
          <w:tcPr>
            <w:tcW w:w="383" w:type="pct"/>
            <w:vAlign w:val="center"/>
          </w:tcPr>
          <w:p>
            <w:pPr>
              <w:pStyle w:val="43"/>
            </w:pPr>
            <w:r>
              <w:rPr>
                <w:rFonts w:hint="eastAsia"/>
              </w:rPr>
              <w:t>北纬</w:t>
            </w:r>
          </w:p>
        </w:tc>
        <w:tc>
          <w:tcPr>
            <w:tcW w:w="419" w:type="pct"/>
            <w:vAlign w:val="center"/>
          </w:tcPr>
          <w:p>
            <w:pPr>
              <w:pStyle w:val="43"/>
            </w:pPr>
            <w:r>
              <w:rPr>
                <w:rFonts w:hint="eastAsia"/>
              </w:rPr>
              <w:t>东经</w:t>
            </w:r>
          </w:p>
        </w:tc>
        <w:tc>
          <w:tcPr>
            <w:tcW w:w="416" w:type="pct"/>
            <w:vAlign w:val="center"/>
          </w:tcPr>
          <w:p>
            <w:pPr>
              <w:pStyle w:val="43"/>
            </w:pPr>
            <w:r>
              <w:rPr>
                <w:rFonts w:hint="eastAsia"/>
              </w:rPr>
              <w:t>北纬</w:t>
            </w:r>
          </w:p>
        </w:tc>
        <w:tc>
          <w:tcPr>
            <w:tcW w:w="308" w:type="pct"/>
            <w:vMerge w:val="continue"/>
            <w:vAlign w:val="center"/>
          </w:tcPr>
          <w:p>
            <w:pPr>
              <w:pStyle w:val="43"/>
            </w:pPr>
          </w:p>
        </w:tc>
        <w:tc>
          <w:tcPr>
            <w:tcW w:w="333" w:type="pct"/>
            <w:vMerge w:val="continue"/>
            <w:vAlign w:val="center"/>
          </w:tcPr>
          <w:p>
            <w:pPr>
              <w:pStyle w:val="43"/>
            </w:pPr>
          </w:p>
        </w:tc>
        <w:tc>
          <w:tcPr>
            <w:tcW w:w="546" w:type="pct"/>
            <w:vAlign w:val="center"/>
          </w:tcPr>
          <w:p>
            <w:pPr>
              <w:pStyle w:val="43"/>
            </w:pPr>
            <w:r>
              <w:rPr>
                <w:rFonts w:hint="eastAsia"/>
              </w:rPr>
              <w:t>东经</w:t>
            </w:r>
          </w:p>
        </w:tc>
        <w:tc>
          <w:tcPr>
            <w:tcW w:w="464" w:type="pct"/>
            <w:vAlign w:val="center"/>
          </w:tcPr>
          <w:p>
            <w:pPr>
              <w:pStyle w:val="43"/>
            </w:pPr>
            <w:r>
              <w:rPr>
                <w:rFonts w:hint="eastAsia"/>
              </w:rPr>
              <w:t>北纬</w:t>
            </w:r>
          </w:p>
        </w:tc>
        <w:tc>
          <w:tcPr>
            <w:tcW w:w="561" w:type="pct"/>
            <w:vMerge w:val="continue"/>
            <w:vAlign w:val="center"/>
          </w:tcPr>
          <w:p>
            <w:pPr>
              <w:pStyle w:val="43"/>
            </w:pPr>
          </w:p>
        </w:tc>
        <w:tc>
          <w:tcPr>
            <w:tcW w:w="260" w:type="pct"/>
            <w:vMerge w:val="continue"/>
            <w:vAlign w:val="center"/>
          </w:tcPr>
          <w:p>
            <w:pPr>
              <w:pStyle w:val="43"/>
            </w:pPr>
          </w:p>
        </w:tc>
        <w:tc>
          <w:tcPr>
            <w:tcW w:w="325" w:type="pct"/>
            <w:vMerge w:val="continue"/>
            <w:vAlign w:val="center"/>
          </w:tcPr>
          <w:p>
            <w:pPr>
              <w:pStyle w:val="4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 w:type="pct"/>
            <w:vMerge w:val="restart"/>
            <w:vAlign w:val="center"/>
          </w:tcPr>
          <w:p>
            <w:pPr>
              <w:pStyle w:val="43"/>
            </w:pPr>
            <w:r>
              <w:rPr>
                <w:rFonts w:hint="eastAsia"/>
              </w:rPr>
              <w:t>自然河流</w:t>
            </w:r>
          </w:p>
        </w:tc>
        <w:tc>
          <w:tcPr>
            <w:tcW w:w="361" w:type="pct"/>
            <w:vMerge w:val="restart"/>
            <w:vAlign w:val="center"/>
          </w:tcPr>
          <w:p>
            <w:pPr>
              <w:pStyle w:val="43"/>
            </w:pPr>
          </w:p>
        </w:tc>
        <w:tc>
          <w:tcPr>
            <w:tcW w:w="419" w:type="pct"/>
            <w:vMerge w:val="restart"/>
            <w:vAlign w:val="center"/>
          </w:tcPr>
          <w:p>
            <w:pPr>
              <w:pStyle w:val="43"/>
            </w:pPr>
            <w:r>
              <w:rPr>
                <w:shd w:val="clear" w:color="auto" w:fill="FFFFFF"/>
              </w:rPr>
              <w:t>106°20′24″</w:t>
            </w:r>
          </w:p>
        </w:tc>
        <w:tc>
          <w:tcPr>
            <w:tcW w:w="383" w:type="pct"/>
            <w:vMerge w:val="restart"/>
            <w:vAlign w:val="center"/>
          </w:tcPr>
          <w:p>
            <w:pPr>
              <w:pStyle w:val="43"/>
            </w:pPr>
            <w:r>
              <w:rPr>
                <w:shd w:val="clear" w:color="auto" w:fill="FFFFFF"/>
              </w:rPr>
              <w:t>32°40′48″</w:t>
            </w:r>
          </w:p>
        </w:tc>
        <w:tc>
          <w:tcPr>
            <w:tcW w:w="419" w:type="pct"/>
            <w:vMerge w:val="restart"/>
            <w:vAlign w:val="center"/>
          </w:tcPr>
          <w:p>
            <w:pPr>
              <w:pStyle w:val="43"/>
            </w:pPr>
            <w:r>
              <w:rPr>
                <w:shd w:val="clear" w:color="auto" w:fill="FFFFFF"/>
              </w:rPr>
              <w:t>106°17′24″</w:t>
            </w:r>
          </w:p>
        </w:tc>
        <w:tc>
          <w:tcPr>
            <w:tcW w:w="416" w:type="pct"/>
            <w:vMerge w:val="restart"/>
            <w:vAlign w:val="center"/>
          </w:tcPr>
          <w:p>
            <w:pPr>
              <w:pStyle w:val="43"/>
            </w:pPr>
            <w:r>
              <w:rPr>
                <w:shd w:val="clear" w:color="auto" w:fill="FFFFFF"/>
              </w:rPr>
              <w:t>32°21′36″</w:t>
            </w:r>
          </w:p>
        </w:tc>
        <w:tc>
          <w:tcPr>
            <w:tcW w:w="308" w:type="pct"/>
            <w:vMerge w:val="restart"/>
            <w:vAlign w:val="center"/>
          </w:tcPr>
          <w:p>
            <w:pPr>
              <w:pStyle w:val="43"/>
            </w:pPr>
            <w:r>
              <w:rPr>
                <w:rFonts w:hint="eastAsia"/>
              </w:rPr>
              <w:t>43.3</w:t>
            </w:r>
          </w:p>
        </w:tc>
        <w:tc>
          <w:tcPr>
            <w:tcW w:w="333" w:type="pct"/>
            <w:vAlign w:val="center"/>
          </w:tcPr>
          <w:p>
            <w:pPr>
              <w:pStyle w:val="43"/>
            </w:pPr>
            <w:r>
              <w:rPr>
                <w:rFonts w:hint="eastAsia"/>
              </w:rPr>
              <w:t>群建村</w:t>
            </w:r>
          </w:p>
        </w:tc>
        <w:tc>
          <w:tcPr>
            <w:tcW w:w="546" w:type="pct"/>
            <w:vAlign w:val="center"/>
          </w:tcPr>
          <w:p>
            <w:pPr>
              <w:pStyle w:val="43"/>
              <w:rPr>
                <w:shd w:val="clear" w:color="auto" w:fill="FFFFFF"/>
              </w:rPr>
            </w:pPr>
            <w:r>
              <w:rPr>
                <w:rFonts w:hint="eastAsia"/>
                <w:shd w:val="clear" w:color="auto" w:fill="FFFFFF"/>
              </w:rPr>
              <w:t>106</w:t>
            </w:r>
            <w:r>
              <w:rPr>
                <w:shd w:val="clear" w:color="auto" w:fill="FFFFFF"/>
              </w:rPr>
              <w:t>°</w:t>
            </w:r>
            <w:r>
              <w:rPr>
                <w:rFonts w:hint="eastAsia"/>
                <w:shd w:val="clear" w:color="auto" w:fill="FFFFFF"/>
              </w:rPr>
              <w:t>20</w:t>
            </w:r>
            <w:r>
              <w:rPr>
                <w:shd w:val="clear" w:color="auto" w:fill="FFFFFF"/>
              </w:rPr>
              <w:t>′</w:t>
            </w:r>
            <w:r>
              <w:rPr>
                <w:rFonts w:hint="eastAsia"/>
                <w:shd w:val="clear" w:color="auto" w:fill="FFFFFF"/>
              </w:rPr>
              <w:t>8.41″</w:t>
            </w:r>
          </w:p>
        </w:tc>
        <w:tc>
          <w:tcPr>
            <w:tcW w:w="464" w:type="pct"/>
            <w:vAlign w:val="center"/>
          </w:tcPr>
          <w:p>
            <w:pPr>
              <w:pStyle w:val="43"/>
              <w:rPr>
                <w:sz w:val="18"/>
                <w:szCs w:val="18"/>
              </w:rPr>
            </w:pPr>
            <w:r>
              <w:rPr>
                <w:rFonts w:hint="eastAsia"/>
                <w:sz w:val="18"/>
                <w:szCs w:val="18"/>
              </w:rPr>
              <w:t>32</w:t>
            </w:r>
            <w:r>
              <w:rPr>
                <w:shd w:val="clear" w:color="auto" w:fill="FFFFFF"/>
              </w:rPr>
              <w:t>°</w:t>
            </w:r>
            <w:r>
              <w:rPr>
                <w:rFonts w:hint="eastAsia"/>
                <w:sz w:val="18"/>
                <w:szCs w:val="18"/>
              </w:rPr>
              <w:t>37</w:t>
            </w:r>
            <w:r>
              <w:rPr>
                <w:shd w:val="clear" w:color="auto" w:fill="FFFFFF"/>
              </w:rPr>
              <w:t>′</w:t>
            </w:r>
            <w:r>
              <w:rPr>
                <w:rFonts w:hint="eastAsia"/>
                <w:sz w:val="18"/>
                <w:szCs w:val="18"/>
              </w:rPr>
              <w:t>15.20″</w:t>
            </w:r>
          </w:p>
        </w:tc>
        <w:tc>
          <w:tcPr>
            <w:tcW w:w="561" w:type="pct"/>
            <w:vAlign w:val="center"/>
          </w:tcPr>
          <w:p>
            <w:pPr>
              <w:pStyle w:val="43"/>
            </w:pPr>
            <w:r>
              <w:rPr>
                <w:rFonts w:hint="eastAsia"/>
              </w:rPr>
              <w:t>陕川缓冲区</w:t>
            </w:r>
          </w:p>
        </w:tc>
        <w:tc>
          <w:tcPr>
            <w:tcW w:w="260" w:type="pct"/>
            <w:vAlign w:val="center"/>
          </w:tcPr>
          <w:p>
            <w:pPr>
              <w:pStyle w:val="43"/>
            </w:pPr>
            <w:r>
              <w:rPr>
                <w:rFonts w:hint="eastAsia"/>
              </w:rPr>
              <w:t>Ⅱ</w:t>
            </w:r>
          </w:p>
        </w:tc>
        <w:tc>
          <w:tcPr>
            <w:tcW w:w="325" w:type="pct"/>
            <w:vAlign w:val="center"/>
          </w:tcPr>
          <w:p>
            <w:pPr>
              <w:pStyle w:val="43"/>
            </w:pPr>
            <w:r>
              <w:rPr>
                <w:rFonts w:hint="eastAsia"/>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 w:type="pct"/>
            <w:vMerge w:val="continue"/>
            <w:vAlign w:val="center"/>
          </w:tcPr>
          <w:p>
            <w:pPr>
              <w:pStyle w:val="43"/>
            </w:pPr>
          </w:p>
        </w:tc>
        <w:tc>
          <w:tcPr>
            <w:tcW w:w="361" w:type="pct"/>
            <w:vMerge w:val="continue"/>
            <w:vAlign w:val="center"/>
          </w:tcPr>
          <w:p>
            <w:pPr>
              <w:pStyle w:val="43"/>
            </w:pPr>
          </w:p>
        </w:tc>
        <w:tc>
          <w:tcPr>
            <w:tcW w:w="419" w:type="pct"/>
            <w:vMerge w:val="continue"/>
            <w:vAlign w:val="center"/>
          </w:tcPr>
          <w:p>
            <w:pPr>
              <w:pStyle w:val="43"/>
            </w:pPr>
          </w:p>
        </w:tc>
        <w:tc>
          <w:tcPr>
            <w:tcW w:w="383" w:type="pct"/>
            <w:vMerge w:val="continue"/>
            <w:vAlign w:val="center"/>
          </w:tcPr>
          <w:p>
            <w:pPr>
              <w:pStyle w:val="43"/>
            </w:pPr>
          </w:p>
        </w:tc>
        <w:tc>
          <w:tcPr>
            <w:tcW w:w="419" w:type="pct"/>
            <w:vMerge w:val="continue"/>
            <w:vAlign w:val="center"/>
          </w:tcPr>
          <w:p>
            <w:pPr>
              <w:pStyle w:val="43"/>
            </w:pPr>
          </w:p>
        </w:tc>
        <w:tc>
          <w:tcPr>
            <w:tcW w:w="416" w:type="pct"/>
            <w:vMerge w:val="continue"/>
            <w:vAlign w:val="center"/>
          </w:tcPr>
          <w:p>
            <w:pPr>
              <w:pStyle w:val="43"/>
            </w:pPr>
          </w:p>
        </w:tc>
        <w:tc>
          <w:tcPr>
            <w:tcW w:w="308" w:type="pct"/>
            <w:vMerge w:val="continue"/>
            <w:vAlign w:val="center"/>
          </w:tcPr>
          <w:p>
            <w:pPr>
              <w:pStyle w:val="43"/>
            </w:pPr>
          </w:p>
        </w:tc>
        <w:tc>
          <w:tcPr>
            <w:tcW w:w="333" w:type="pct"/>
            <w:vAlign w:val="center"/>
          </w:tcPr>
          <w:p>
            <w:pPr>
              <w:pStyle w:val="43"/>
            </w:pPr>
            <w:r>
              <w:rPr>
                <w:rFonts w:hint="eastAsia"/>
              </w:rPr>
              <w:t>双汇小学</w:t>
            </w:r>
          </w:p>
        </w:tc>
        <w:tc>
          <w:tcPr>
            <w:tcW w:w="546" w:type="pct"/>
            <w:vAlign w:val="center"/>
          </w:tcPr>
          <w:p>
            <w:pPr>
              <w:pStyle w:val="43"/>
            </w:pPr>
            <w:r>
              <w:rPr>
                <w:rFonts w:hint="eastAsia"/>
                <w:sz w:val="18"/>
                <w:szCs w:val="18"/>
              </w:rPr>
              <w:t>106</w:t>
            </w:r>
            <w:r>
              <w:rPr>
                <w:shd w:val="clear" w:color="auto" w:fill="FFFFFF"/>
              </w:rPr>
              <w:t>°</w:t>
            </w:r>
            <w:r>
              <w:rPr>
                <w:rFonts w:hint="eastAsia"/>
                <w:sz w:val="18"/>
                <w:szCs w:val="18"/>
              </w:rPr>
              <w:t>17</w:t>
            </w:r>
            <w:r>
              <w:rPr>
                <w:shd w:val="clear" w:color="auto" w:fill="FFFFFF"/>
              </w:rPr>
              <w:t>′</w:t>
            </w:r>
            <w:r>
              <w:rPr>
                <w:rFonts w:hint="eastAsia"/>
                <w:sz w:val="18"/>
                <w:szCs w:val="18"/>
              </w:rPr>
              <w:t>24.27″</w:t>
            </w:r>
          </w:p>
        </w:tc>
        <w:tc>
          <w:tcPr>
            <w:tcW w:w="464" w:type="pct"/>
            <w:vAlign w:val="center"/>
          </w:tcPr>
          <w:p>
            <w:pPr>
              <w:pStyle w:val="43"/>
            </w:pPr>
            <w:r>
              <w:rPr>
                <w:rFonts w:hint="eastAsia"/>
                <w:sz w:val="18"/>
                <w:szCs w:val="18"/>
              </w:rPr>
              <w:t>32</w:t>
            </w:r>
            <w:r>
              <w:rPr>
                <w:shd w:val="clear" w:color="auto" w:fill="FFFFFF"/>
              </w:rPr>
              <w:t>°</w:t>
            </w:r>
            <w:r>
              <w:rPr>
                <w:rFonts w:hint="eastAsia"/>
                <w:sz w:val="18"/>
                <w:szCs w:val="18"/>
              </w:rPr>
              <w:t>21</w:t>
            </w:r>
            <w:r>
              <w:rPr>
                <w:shd w:val="clear" w:color="auto" w:fill="FFFFFF"/>
              </w:rPr>
              <w:t>′</w:t>
            </w:r>
            <w:r>
              <w:rPr>
                <w:rFonts w:hint="eastAsia"/>
                <w:sz w:val="18"/>
                <w:szCs w:val="18"/>
              </w:rPr>
              <w:t>43.30″</w:t>
            </w:r>
          </w:p>
        </w:tc>
        <w:tc>
          <w:tcPr>
            <w:tcW w:w="561" w:type="pct"/>
            <w:vAlign w:val="center"/>
          </w:tcPr>
          <w:p>
            <w:pPr>
              <w:pStyle w:val="43"/>
            </w:pPr>
            <w:r>
              <w:rPr>
                <w:rFonts w:hint="eastAsia"/>
              </w:rPr>
              <w:t>盐井河旺苍保留区</w:t>
            </w:r>
          </w:p>
        </w:tc>
        <w:tc>
          <w:tcPr>
            <w:tcW w:w="260" w:type="pct"/>
            <w:vAlign w:val="center"/>
          </w:tcPr>
          <w:p>
            <w:pPr>
              <w:pStyle w:val="43"/>
            </w:pPr>
            <w:r>
              <w:rPr>
                <w:rFonts w:hint="eastAsia"/>
              </w:rPr>
              <w:t>Ⅲ</w:t>
            </w:r>
          </w:p>
        </w:tc>
        <w:tc>
          <w:tcPr>
            <w:tcW w:w="325" w:type="pct"/>
            <w:vAlign w:val="center"/>
          </w:tcPr>
          <w:p>
            <w:pPr>
              <w:pStyle w:val="43"/>
            </w:pPr>
            <w:r>
              <w:rPr>
                <w:rFonts w:hint="eastAsia"/>
              </w:rPr>
              <w:t>Ⅱ</w:t>
            </w:r>
          </w:p>
        </w:tc>
      </w:tr>
    </w:tbl>
    <w:p>
      <w:pPr>
        <w:ind w:firstLine="480"/>
      </w:pPr>
    </w:p>
    <w:p>
      <w:pPr>
        <w:pStyle w:val="3"/>
        <w:numPr>
          <w:ilvl w:val="0"/>
          <w:numId w:val="0"/>
        </w:numPr>
      </w:pPr>
      <w:bookmarkStart w:id="203" w:name="_Toc80719431"/>
      <w:bookmarkStart w:id="204" w:name="_Toc86049218"/>
      <w:r>
        <w:rPr>
          <w:rFonts w:hint="eastAsia"/>
        </w:rPr>
        <w:t>附表</w:t>
      </w:r>
      <w:r>
        <w:t>2</w:t>
      </w:r>
      <w:r>
        <w:rPr>
          <w:rFonts w:hint="eastAsia"/>
        </w:rPr>
        <w:t>水电站基本情况调查表</w:t>
      </w:r>
      <w:bookmarkEnd w:id="203"/>
      <w:bookmarkEnd w:id="204"/>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3"/>
        <w:gridCol w:w="1585"/>
        <w:gridCol w:w="1585"/>
        <w:gridCol w:w="1585"/>
        <w:gridCol w:w="1440"/>
        <w:gridCol w:w="1440"/>
        <w:gridCol w:w="1154"/>
        <w:gridCol w:w="46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252" w:type="pct"/>
            <w:vMerge w:val="restart"/>
            <w:vAlign w:val="center"/>
          </w:tcPr>
          <w:p>
            <w:pPr>
              <w:pStyle w:val="43"/>
            </w:pPr>
            <w:r>
              <w:rPr>
                <w:rFonts w:hint="eastAsia"/>
              </w:rPr>
              <w:t>序号</w:t>
            </w:r>
          </w:p>
        </w:tc>
        <w:tc>
          <w:tcPr>
            <w:tcW w:w="559" w:type="pct"/>
            <w:vMerge w:val="restart"/>
            <w:vAlign w:val="center"/>
          </w:tcPr>
          <w:p>
            <w:pPr>
              <w:pStyle w:val="43"/>
            </w:pPr>
            <w:r>
              <w:rPr>
                <w:rFonts w:hint="eastAsia"/>
              </w:rPr>
              <w:t>电站名称</w:t>
            </w:r>
          </w:p>
        </w:tc>
        <w:tc>
          <w:tcPr>
            <w:tcW w:w="559" w:type="pct"/>
            <w:vMerge w:val="restart"/>
            <w:vAlign w:val="center"/>
          </w:tcPr>
          <w:p>
            <w:pPr>
              <w:pStyle w:val="43"/>
            </w:pPr>
            <w:r>
              <w:rPr>
                <w:rFonts w:hint="eastAsia"/>
              </w:rPr>
              <w:t>开发方式</w:t>
            </w:r>
          </w:p>
        </w:tc>
        <w:tc>
          <w:tcPr>
            <w:tcW w:w="559" w:type="pct"/>
            <w:vMerge w:val="restart"/>
            <w:vAlign w:val="center"/>
          </w:tcPr>
          <w:p>
            <w:pPr>
              <w:pStyle w:val="43"/>
            </w:pPr>
            <w:r>
              <w:rPr>
                <w:rFonts w:hint="eastAsia"/>
              </w:rPr>
              <w:t>开发利用任务</w:t>
            </w:r>
          </w:p>
        </w:tc>
        <w:tc>
          <w:tcPr>
            <w:tcW w:w="508" w:type="pct"/>
            <w:vMerge w:val="restart"/>
            <w:vAlign w:val="center"/>
          </w:tcPr>
          <w:p>
            <w:pPr>
              <w:pStyle w:val="43"/>
            </w:pPr>
            <w:r>
              <w:rPr>
                <w:rFonts w:hint="eastAsia"/>
              </w:rPr>
              <w:t>装机容量（MW）</w:t>
            </w:r>
          </w:p>
        </w:tc>
        <w:tc>
          <w:tcPr>
            <w:tcW w:w="508" w:type="pct"/>
            <w:vMerge w:val="restart"/>
            <w:vAlign w:val="center"/>
          </w:tcPr>
          <w:p>
            <w:pPr>
              <w:pStyle w:val="43"/>
            </w:pPr>
            <w:r>
              <w:rPr>
                <w:rFonts w:hint="eastAsia"/>
              </w:rPr>
              <w:t>调节性能</w:t>
            </w:r>
          </w:p>
        </w:tc>
        <w:tc>
          <w:tcPr>
            <w:tcW w:w="2055" w:type="pct"/>
            <w:gridSpan w:val="2"/>
            <w:vAlign w:val="center"/>
          </w:tcPr>
          <w:p>
            <w:pPr>
              <w:pStyle w:val="43"/>
            </w:pPr>
            <w:r>
              <w:rPr>
                <w:rFonts w:hint="eastAsia"/>
              </w:rPr>
              <w:t>生态流量泄放方式、监控要求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252" w:type="pct"/>
            <w:vMerge w:val="continue"/>
            <w:vAlign w:val="center"/>
          </w:tcPr>
          <w:p>
            <w:pPr>
              <w:pStyle w:val="43"/>
            </w:pPr>
          </w:p>
        </w:tc>
        <w:tc>
          <w:tcPr>
            <w:tcW w:w="559" w:type="pct"/>
            <w:vMerge w:val="continue"/>
            <w:vAlign w:val="center"/>
          </w:tcPr>
          <w:p>
            <w:pPr>
              <w:pStyle w:val="43"/>
            </w:pPr>
          </w:p>
        </w:tc>
        <w:tc>
          <w:tcPr>
            <w:tcW w:w="559" w:type="pct"/>
            <w:vMerge w:val="continue"/>
            <w:vAlign w:val="center"/>
          </w:tcPr>
          <w:p>
            <w:pPr>
              <w:pStyle w:val="43"/>
            </w:pPr>
          </w:p>
        </w:tc>
        <w:tc>
          <w:tcPr>
            <w:tcW w:w="559" w:type="pct"/>
            <w:vMerge w:val="continue"/>
            <w:vAlign w:val="center"/>
          </w:tcPr>
          <w:p>
            <w:pPr>
              <w:pStyle w:val="43"/>
            </w:pPr>
          </w:p>
        </w:tc>
        <w:tc>
          <w:tcPr>
            <w:tcW w:w="508" w:type="pct"/>
            <w:vMerge w:val="continue"/>
            <w:vAlign w:val="center"/>
          </w:tcPr>
          <w:p>
            <w:pPr>
              <w:pStyle w:val="43"/>
            </w:pPr>
          </w:p>
        </w:tc>
        <w:tc>
          <w:tcPr>
            <w:tcW w:w="508" w:type="pct"/>
            <w:vMerge w:val="continue"/>
            <w:vAlign w:val="center"/>
          </w:tcPr>
          <w:p>
            <w:pPr>
              <w:pStyle w:val="43"/>
            </w:pPr>
          </w:p>
        </w:tc>
        <w:tc>
          <w:tcPr>
            <w:tcW w:w="407" w:type="pct"/>
            <w:vAlign w:val="center"/>
          </w:tcPr>
          <w:p>
            <w:pPr>
              <w:pStyle w:val="43"/>
            </w:pPr>
            <w:r>
              <w:rPr>
                <w:rFonts w:hint="eastAsia"/>
              </w:rPr>
              <w:t>m</w:t>
            </w:r>
            <w:r>
              <w:rPr>
                <w:rFonts w:hint="eastAsia"/>
                <w:vertAlign w:val="superscript"/>
              </w:rPr>
              <w:t>3</w:t>
            </w:r>
            <w:r>
              <w:rPr>
                <w:rFonts w:hint="eastAsia"/>
              </w:rPr>
              <w:t>/s</w:t>
            </w:r>
          </w:p>
        </w:tc>
        <w:tc>
          <w:tcPr>
            <w:tcW w:w="1648" w:type="pct"/>
            <w:vAlign w:val="center"/>
          </w:tcPr>
          <w:p>
            <w:pPr>
              <w:pStyle w:val="43"/>
            </w:pPr>
            <w:r>
              <w:rPr>
                <w:rFonts w:hint="eastAsia"/>
              </w:rPr>
              <w:t>泄放依据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 w:type="pct"/>
            <w:vAlign w:val="center"/>
          </w:tcPr>
          <w:p>
            <w:pPr>
              <w:pStyle w:val="43"/>
            </w:pPr>
            <w:r>
              <w:rPr>
                <w:rFonts w:hint="eastAsia"/>
              </w:rPr>
              <w:t>1</w:t>
            </w:r>
          </w:p>
        </w:tc>
        <w:tc>
          <w:tcPr>
            <w:tcW w:w="559" w:type="pct"/>
            <w:vAlign w:val="center"/>
          </w:tcPr>
          <w:p>
            <w:pPr>
              <w:pStyle w:val="43"/>
            </w:pPr>
            <w:r>
              <w:rPr>
                <w:rFonts w:hint="eastAsia"/>
              </w:rPr>
              <w:t>福鑫电站</w:t>
            </w:r>
          </w:p>
        </w:tc>
        <w:tc>
          <w:tcPr>
            <w:tcW w:w="559" w:type="pct"/>
            <w:vAlign w:val="center"/>
          </w:tcPr>
          <w:p>
            <w:pPr>
              <w:pStyle w:val="43"/>
            </w:pPr>
            <w:r>
              <w:rPr>
                <w:rFonts w:hint="eastAsia"/>
              </w:rPr>
              <w:t>引水式</w:t>
            </w:r>
          </w:p>
        </w:tc>
        <w:tc>
          <w:tcPr>
            <w:tcW w:w="559" w:type="pct"/>
            <w:vAlign w:val="center"/>
          </w:tcPr>
          <w:p>
            <w:pPr>
              <w:pStyle w:val="43"/>
            </w:pPr>
            <w:r>
              <w:rPr>
                <w:rFonts w:hint="eastAsia"/>
              </w:rPr>
              <w:t>发电</w:t>
            </w:r>
          </w:p>
        </w:tc>
        <w:tc>
          <w:tcPr>
            <w:tcW w:w="508" w:type="pct"/>
            <w:vAlign w:val="center"/>
          </w:tcPr>
          <w:p>
            <w:pPr>
              <w:pStyle w:val="43"/>
            </w:pPr>
            <w:r>
              <w:rPr>
                <w:rFonts w:hint="eastAsia"/>
              </w:rPr>
              <w:t>5</w:t>
            </w:r>
          </w:p>
        </w:tc>
        <w:tc>
          <w:tcPr>
            <w:tcW w:w="508" w:type="pct"/>
            <w:vAlign w:val="center"/>
          </w:tcPr>
          <w:p>
            <w:pPr>
              <w:pStyle w:val="43"/>
            </w:pPr>
            <w:r>
              <w:rPr>
                <w:rFonts w:hint="eastAsia"/>
              </w:rPr>
              <w:t>季调节</w:t>
            </w:r>
          </w:p>
        </w:tc>
        <w:tc>
          <w:tcPr>
            <w:tcW w:w="407" w:type="pct"/>
            <w:vAlign w:val="center"/>
          </w:tcPr>
          <w:p>
            <w:pPr>
              <w:pStyle w:val="43"/>
            </w:pPr>
            <w:r>
              <w:rPr>
                <w:rFonts w:hint="eastAsia"/>
              </w:rPr>
              <w:t>1</w:t>
            </w:r>
            <w:r>
              <w:t>.12</w:t>
            </w:r>
          </w:p>
        </w:tc>
        <w:tc>
          <w:tcPr>
            <w:tcW w:w="1648" w:type="pct"/>
            <w:vAlign w:val="center"/>
          </w:tcPr>
          <w:p>
            <w:pPr>
              <w:pStyle w:val="43"/>
            </w:pPr>
            <w:r>
              <w:rPr>
                <w:rFonts w:hint="eastAsia"/>
              </w:rPr>
              <w:t>《水电水利建设项目河道生态用水、低温水和过鱼设施环境影响评价技术指南（试行）》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 w:type="pct"/>
            <w:vAlign w:val="center"/>
          </w:tcPr>
          <w:p>
            <w:pPr>
              <w:pStyle w:val="43"/>
            </w:pPr>
            <w:r>
              <w:rPr>
                <w:rFonts w:hint="eastAsia"/>
              </w:rPr>
              <w:t>1</w:t>
            </w:r>
          </w:p>
        </w:tc>
        <w:tc>
          <w:tcPr>
            <w:tcW w:w="559" w:type="pct"/>
            <w:vAlign w:val="center"/>
          </w:tcPr>
          <w:p>
            <w:pPr>
              <w:pStyle w:val="43"/>
            </w:pPr>
            <w:r>
              <w:rPr>
                <w:rFonts w:hint="eastAsia"/>
              </w:rPr>
              <w:t>盐河电站</w:t>
            </w:r>
          </w:p>
        </w:tc>
        <w:tc>
          <w:tcPr>
            <w:tcW w:w="559" w:type="pct"/>
            <w:vAlign w:val="center"/>
          </w:tcPr>
          <w:p>
            <w:pPr>
              <w:pStyle w:val="43"/>
            </w:pPr>
            <w:r>
              <w:rPr>
                <w:rFonts w:hint="eastAsia"/>
              </w:rPr>
              <w:t>引水式</w:t>
            </w:r>
          </w:p>
        </w:tc>
        <w:tc>
          <w:tcPr>
            <w:tcW w:w="559" w:type="pct"/>
            <w:vAlign w:val="center"/>
          </w:tcPr>
          <w:p>
            <w:pPr>
              <w:pStyle w:val="43"/>
            </w:pPr>
            <w:r>
              <w:rPr>
                <w:rFonts w:hint="eastAsia"/>
              </w:rPr>
              <w:t>发电</w:t>
            </w:r>
          </w:p>
        </w:tc>
        <w:tc>
          <w:tcPr>
            <w:tcW w:w="508" w:type="pct"/>
            <w:vAlign w:val="center"/>
          </w:tcPr>
          <w:p>
            <w:pPr>
              <w:pStyle w:val="43"/>
            </w:pPr>
            <w:r>
              <w:rPr>
                <w:rFonts w:hint="eastAsia"/>
              </w:rPr>
              <w:t>1</w:t>
            </w:r>
            <w:r>
              <w:t>.26</w:t>
            </w:r>
          </w:p>
        </w:tc>
        <w:tc>
          <w:tcPr>
            <w:tcW w:w="508" w:type="pct"/>
            <w:vAlign w:val="center"/>
          </w:tcPr>
          <w:p>
            <w:pPr>
              <w:pStyle w:val="43"/>
            </w:pPr>
            <w:r>
              <w:rPr>
                <w:rFonts w:hint="eastAsia"/>
              </w:rPr>
              <w:t>/</w:t>
            </w:r>
          </w:p>
        </w:tc>
        <w:tc>
          <w:tcPr>
            <w:tcW w:w="407" w:type="pct"/>
            <w:vAlign w:val="center"/>
          </w:tcPr>
          <w:p>
            <w:pPr>
              <w:pStyle w:val="43"/>
            </w:pPr>
            <w:r>
              <w:rPr>
                <w:rFonts w:hint="eastAsia"/>
              </w:rPr>
              <w:t>1</w:t>
            </w:r>
            <w:r>
              <w:t>.27</w:t>
            </w:r>
          </w:p>
        </w:tc>
        <w:tc>
          <w:tcPr>
            <w:tcW w:w="1648" w:type="pct"/>
            <w:vAlign w:val="center"/>
          </w:tcPr>
          <w:p>
            <w:pPr>
              <w:pStyle w:val="43"/>
            </w:pPr>
            <w:r>
              <w:rPr>
                <w:rFonts w:hint="eastAsia"/>
              </w:rPr>
              <w:t>《水电水利建设项目河道生态用水、低温水和过鱼设施环境影响评价技术指南（试行）》</w:t>
            </w:r>
          </w:p>
        </w:tc>
      </w:tr>
    </w:tbl>
    <w:p>
      <w:pPr>
        <w:ind w:firstLine="0" w:firstLineChars="0"/>
      </w:pPr>
    </w:p>
    <w:p>
      <w:pPr>
        <w:ind w:firstLine="0" w:firstLineChars="0"/>
      </w:pPr>
    </w:p>
    <w:p>
      <w:pPr>
        <w:ind w:firstLine="0" w:firstLineChars="0"/>
      </w:pPr>
    </w:p>
    <w:p>
      <w:pPr>
        <w:ind w:firstLine="0" w:firstLineChars="0"/>
      </w:pPr>
    </w:p>
    <w:p>
      <w:pPr>
        <w:ind w:firstLine="0" w:firstLineChars="0"/>
      </w:pPr>
    </w:p>
    <w:p>
      <w:pPr>
        <w:pStyle w:val="3"/>
        <w:numPr>
          <w:ilvl w:val="0"/>
          <w:numId w:val="0"/>
        </w:numPr>
        <w:ind w:left="301"/>
      </w:pPr>
      <w:bookmarkStart w:id="205" w:name="_Toc80719432"/>
      <w:bookmarkStart w:id="206" w:name="_Toc86049219"/>
      <w:r>
        <w:rPr>
          <w:rFonts w:hint="eastAsia"/>
        </w:rPr>
        <w:t>附表</w:t>
      </w:r>
      <w:r>
        <w:t>3</w:t>
      </w:r>
      <w:r>
        <w:rPr>
          <w:rFonts w:hint="eastAsia"/>
        </w:rPr>
        <w:t>堤防基本情况调查表</w:t>
      </w:r>
      <w:bookmarkEnd w:id="205"/>
      <w:bookmarkEnd w:id="206"/>
    </w:p>
    <w:tbl>
      <w:tblPr>
        <w:tblStyle w:val="24"/>
        <w:tblW w:w="504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4"/>
        <w:gridCol w:w="2796"/>
        <w:gridCol w:w="1651"/>
        <w:gridCol w:w="1657"/>
        <w:gridCol w:w="1774"/>
        <w:gridCol w:w="1651"/>
        <w:gridCol w:w="1851"/>
        <w:gridCol w:w="19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351" w:type="pct"/>
            <w:vMerge w:val="restart"/>
            <w:vAlign w:val="center"/>
          </w:tcPr>
          <w:p>
            <w:pPr>
              <w:ind w:firstLine="0" w:firstLineChars="0"/>
              <w:jc w:val="center"/>
            </w:pPr>
            <w:r>
              <w:rPr>
                <w:rFonts w:hint="eastAsia"/>
              </w:rPr>
              <w:t>序号</w:t>
            </w:r>
          </w:p>
        </w:tc>
        <w:tc>
          <w:tcPr>
            <w:tcW w:w="977" w:type="pct"/>
            <w:vMerge w:val="restart"/>
            <w:vAlign w:val="center"/>
          </w:tcPr>
          <w:p>
            <w:pPr>
              <w:ind w:firstLine="0" w:firstLineChars="0"/>
              <w:jc w:val="center"/>
            </w:pPr>
            <w:r>
              <w:rPr>
                <w:rFonts w:hint="eastAsia"/>
              </w:rPr>
              <w:t>工程名称</w:t>
            </w:r>
          </w:p>
        </w:tc>
        <w:tc>
          <w:tcPr>
            <w:tcW w:w="1156" w:type="pct"/>
            <w:gridSpan w:val="2"/>
            <w:vAlign w:val="center"/>
          </w:tcPr>
          <w:p>
            <w:pPr>
              <w:ind w:firstLine="0" w:firstLineChars="0"/>
              <w:jc w:val="center"/>
            </w:pPr>
            <w:r>
              <w:rPr>
                <w:rFonts w:hint="eastAsia"/>
              </w:rPr>
              <w:t>起点（度分秒）</w:t>
            </w:r>
          </w:p>
        </w:tc>
        <w:tc>
          <w:tcPr>
            <w:tcW w:w="1197" w:type="pct"/>
            <w:gridSpan w:val="2"/>
            <w:vAlign w:val="center"/>
          </w:tcPr>
          <w:p>
            <w:pPr>
              <w:ind w:firstLine="0" w:firstLineChars="0"/>
              <w:jc w:val="center"/>
            </w:pPr>
            <w:r>
              <w:rPr>
                <w:rFonts w:hint="eastAsia"/>
              </w:rPr>
              <w:t>终点（度分秒）</w:t>
            </w:r>
          </w:p>
        </w:tc>
        <w:tc>
          <w:tcPr>
            <w:tcW w:w="647" w:type="pct"/>
            <w:vAlign w:val="center"/>
          </w:tcPr>
          <w:p>
            <w:pPr>
              <w:ind w:firstLine="0" w:firstLineChars="0"/>
              <w:jc w:val="center"/>
            </w:pPr>
            <w:r>
              <w:rPr>
                <w:rFonts w:hint="eastAsia"/>
              </w:rPr>
              <w:t>长度</w:t>
            </w:r>
          </w:p>
        </w:tc>
        <w:tc>
          <w:tcPr>
            <w:tcW w:w="672" w:type="pct"/>
            <w:vAlign w:val="center"/>
          </w:tcPr>
          <w:p>
            <w:pPr>
              <w:ind w:firstLine="0" w:firstLineChars="0"/>
              <w:jc w:val="center"/>
            </w:pPr>
            <w:r>
              <w:rPr>
                <w:rFonts w:hint="eastAsia"/>
              </w:rPr>
              <w:t>现状防洪标准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351" w:type="pct"/>
            <w:vMerge w:val="continue"/>
            <w:vAlign w:val="center"/>
          </w:tcPr>
          <w:p>
            <w:pPr>
              <w:ind w:firstLine="0" w:firstLineChars="0"/>
              <w:jc w:val="center"/>
            </w:pPr>
          </w:p>
        </w:tc>
        <w:tc>
          <w:tcPr>
            <w:tcW w:w="977" w:type="pct"/>
            <w:vMerge w:val="continue"/>
            <w:vAlign w:val="center"/>
          </w:tcPr>
          <w:p>
            <w:pPr>
              <w:ind w:firstLine="0" w:firstLineChars="0"/>
              <w:jc w:val="center"/>
            </w:pPr>
          </w:p>
        </w:tc>
        <w:tc>
          <w:tcPr>
            <w:tcW w:w="577" w:type="pct"/>
            <w:vAlign w:val="center"/>
          </w:tcPr>
          <w:p>
            <w:pPr>
              <w:ind w:firstLine="0" w:firstLineChars="0"/>
              <w:jc w:val="center"/>
            </w:pPr>
            <w:r>
              <w:rPr>
                <w:rFonts w:hint="eastAsia"/>
              </w:rPr>
              <w:t>东经</w:t>
            </w:r>
          </w:p>
        </w:tc>
        <w:tc>
          <w:tcPr>
            <w:tcW w:w="579" w:type="pct"/>
            <w:vAlign w:val="center"/>
          </w:tcPr>
          <w:p>
            <w:pPr>
              <w:ind w:firstLine="0" w:firstLineChars="0"/>
              <w:jc w:val="center"/>
            </w:pPr>
            <w:r>
              <w:rPr>
                <w:rFonts w:hint="eastAsia"/>
              </w:rPr>
              <w:t>北纬</w:t>
            </w:r>
          </w:p>
        </w:tc>
        <w:tc>
          <w:tcPr>
            <w:tcW w:w="620" w:type="pct"/>
            <w:vAlign w:val="center"/>
          </w:tcPr>
          <w:p>
            <w:pPr>
              <w:ind w:firstLine="0" w:firstLineChars="0"/>
              <w:jc w:val="center"/>
            </w:pPr>
            <w:r>
              <w:rPr>
                <w:rFonts w:hint="eastAsia"/>
              </w:rPr>
              <w:t>东经</w:t>
            </w:r>
          </w:p>
        </w:tc>
        <w:tc>
          <w:tcPr>
            <w:tcW w:w="577" w:type="pct"/>
            <w:vAlign w:val="center"/>
          </w:tcPr>
          <w:p>
            <w:pPr>
              <w:ind w:firstLine="0" w:firstLineChars="0"/>
              <w:jc w:val="center"/>
            </w:pPr>
            <w:r>
              <w:rPr>
                <w:rFonts w:hint="eastAsia"/>
              </w:rPr>
              <w:t>北纬</w:t>
            </w:r>
          </w:p>
        </w:tc>
        <w:tc>
          <w:tcPr>
            <w:tcW w:w="647" w:type="pct"/>
            <w:vAlign w:val="center"/>
          </w:tcPr>
          <w:p>
            <w:pPr>
              <w:ind w:firstLine="0" w:firstLineChars="0"/>
              <w:jc w:val="center"/>
            </w:pPr>
            <w:r>
              <w:rPr>
                <w:rFonts w:hint="eastAsia"/>
              </w:rPr>
              <w:t>km</w:t>
            </w:r>
          </w:p>
        </w:tc>
        <w:tc>
          <w:tcPr>
            <w:tcW w:w="672" w:type="pct"/>
            <w:vAlign w:val="center"/>
          </w:tcPr>
          <w:p>
            <w:pPr>
              <w:ind w:firstLine="0" w:firstLineChars="0"/>
              <w:jc w:val="cente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 w:type="pct"/>
            <w:vAlign w:val="center"/>
          </w:tcPr>
          <w:p>
            <w:pPr>
              <w:ind w:firstLine="0" w:firstLineChars="0"/>
              <w:jc w:val="center"/>
            </w:pPr>
            <w:r>
              <w:rPr>
                <w:rFonts w:hint="eastAsia"/>
              </w:rPr>
              <w:t>1</w:t>
            </w:r>
          </w:p>
        </w:tc>
        <w:tc>
          <w:tcPr>
            <w:tcW w:w="977" w:type="pct"/>
            <w:vAlign w:val="center"/>
          </w:tcPr>
          <w:p>
            <w:pPr>
              <w:ind w:firstLine="0" w:firstLineChars="0"/>
              <w:jc w:val="center"/>
            </w:pPr>
            <w:r>
              <w:rPr>
                <w:rFonts w:hint="eastAsia"/>
              </w:rPr>
              <w:t>四川省旺苍县盐井河国华镇防洪治理工程</w:t>
            </w:r>
          </w:p>
        </w:tc>
        <w:tc>
          <w:tcPr>
            <w:tcW w:w="577" w:type="pct"/>
            <w:vAlign w:val="center"/>
          </w:tcPr>
          <w:p>
            <w:pPr>
              <w:ind w:firstLine="0" w:firstLineChars="0"/>
              <w:jc w:val="center"/>
            </w:pPr>
            <w:r>
              <w:rPr>
                <w:rFonts w:hint="eastAsia"/>
              </w:rPr>
              <w:t>106</w:t>
            </w:r>
            <w:r>
              <w:rPr>
                <w:rFonts w:cs="Times New Roman"/>
                <w:shd w:val="clear" w:color="auto" w:fill="FFFFFF"/>
              </w:rPr>
              <w:t>°</w:t>
            </w:r>
            <w:r>
              <w:rPr>
                <w:rFonts w:hint="eastAsia"/>
              </w:rPr>
              <w:t>18</w:t>
            </w:r>
            <w:r>
              <w:rPr>
                <w:rFonts w:cs="Times New Roman"/>
                <w:shd w:val="clear" w:color="auto" w:fill="FFFFFF"/>
              </w:rPr>
              <w:t>′</w:t>
            </w:r>
            <w:r>
              <w:rPr>
                <w:rFonts w:hint="eastAsia"/>
              </w:rPr>
              <w:t>0.90″</w:t>
            </w:r>
          </w:p>
        </w:tc>
        <w:tc>
          <w:tcPr>
            <w:tcW w:w="579" w:type="pct"/>
            <w:vAlign w:val="center"/>
          </w:tcPr>
          <w:p>
            <w:pPr>
              <w:ind w:firstLine="0" w:firstLineChars="0"/>
              <w:jc w:val="center"/>
            </w:pPr>
            <w:r>
              <w:rPr>
                <w:rFonts w:hint="eastAsia"/>
              </w:rPr>
              <w:t>32</w:t>
            </w:r>
            <w:r>
              <w:rPr>
                <w:rFonts w:cs="Times New Roman"/>
                <w:shd w:val="clear" w:color="auto" w:fill="FFFFFF"/>
              </w:rPr>
              <w:t>°</w:t>
            </w:r>
            <w:r>
              <w:rPr>
                <w:rFonts w:hint="eastAsia"/>
              </w:rPr>
              <w:t>28</w:t>
            </w:r>
            <w:r>
              <w:rPr>
                <w:rFonts w:cs="Times New Roman"/>
                <w:shd w:val="clear" w:color="auto" w:fill="FFFFFF"/>
              </w:rPr>
              <w:t>′</w:t>
            </w:r>
            <w:r>
              <w:rPr>
                <w:rFonts w:hint="eastAsia"/>
              </w:rPr>
              <w:t>59.50″</w:t>
            </w:r>
          </w:p>
        </w:tc>
        <w:tc>
          <w:tcPr>
            <w:tcW w:w="620" w:type="pct"/>
            <w:vAlign w:val="center"/>
          </w:tcPr>
          <w:p>
            <w:pPr>
              <w:ind w:firstLine="0" w:firstLineChars="0"/>
              <w:jc w:val="center"/>
            </w:pPr>
            <w:r>
              <w:rPr>
                <w:rFonts w:hint="eastAsia"/>
              </w:rPr>
              <w:t>106</w:t>
            </w:r>
            <w:r>
              <w:rPr>
                <w:rFonts w:cs="Times New Roman"/>
                <w:shd w:val="clear" w:color="auto" w:fill="FFFFFF"/>
              </w:rPr>
              <w:t>°</w:t>
            </w:r>
            <w:r>
              <w:rPr>
                <w:rFonts w:hint="eastAsia"/>
              </w:rPr>
              <w:t>17</w:t>
            </w:r>
            <w:r>
              <w:rPr>
                <w:rFonts w:cs="Times New Roman"/>
                <w:shd w:val="clear" w:color="auto" w:fill="FFFFFF"/>
              </w:rPr>
              <w:t>′</w:t>
            </w:r>
            <w:r>
              <w:rPr>
                <w:rFonts w:hint="eastAsia"/>
              </w:rPr>
              <w:t>24.35″</w:t>
            </w:r>
          </w:p>
        </w:tc>
        <w:tc>
          <w:tcPr>
            <w:tcW w:w="577" w:type="pct"/>
            <w:vAlign w:val="center"/>
          </w:tcPr>
          <w:p>
            <w:pPr>
              <w:ind w:firstLine="0" w:firstLineChars="0"/>
              <w:jc w:val="center"/>
            </w:pPr>
            <w:r>
              <w:rPr>
                <w:rFonts w:hint="eastAsia"/>
              </w:rPr>
              <w:t>32</w:t>
            </w:r>
            <w:r>
              <w:rPr>
                <w:rFonts w:cs="Times New Roman"/>
                <w:shd w:val="clear" w:color="auto" w:fill="FFFFFF"/>
              </w:rPr>
              <w:t>°</w:t>
            </w:r>
            <w:r>
              <w:rPr>
                <w:rFonts w:hint="eastAsia"/>
              </w:rPr>
              <w:t>28</w:t>
            </w:r>
            <w:r>
              <w:rPr>
                <w:rFonts w:cs="Times New Roman"/>
                <w:shd w:val="clear" w:color="auto" w:fill="FFFFFF"/>
              </w:rPr>
              <w:t>′</w:t>
            </w:r>
            <w:r>
              <w:rPr>
                <w:rFonts w:hint="eastAsia"/>
              </w:rPr>
              <w:t>14.17″</w:t>
            </w:r>
          </w:p>
        </w:tc>
        <w:tc>
          <w:tcPr>
            <w:tcW w:w="647" w:type="pct"/>
            <w:vAlign w:val="center"/>
          </w:tcPr>
          <w:p>
            <w:pPr>
              <w:ind w:firstLine="0" w:firstLineChars="0"/>
              <w:jc w:val="center"/>
            </w:pPr>
            <w:r>
              <w:rPr>
                <w:rFonts w:hint="eastAsia"/>
              </w:rPr>
              <w:t>2</w:t>
            </w:r>
            <w:r>
              <w:t>.</w:t>
            </w:r>
            <w:r>
              <w:rPr>
                <w:rFonts w:hint="eastAsia"/>
              </w:rPr>
              <w:t>3</w:t>
            </w:r>
            <w:r>
              <w:t>2</w:t>
            </w:r>
          </w:p>
        </w:tc>
        <w:tc>
          <w:tcPr>
            <w:tcW w:w="672" w:type="pct"/>
            <w:vAlign w:val="center"/>
          </w:tcPr>
          <w:p>
            <w:pPr>
              <w:ind w:firstLine="0" w:firstLineChars="0"/>
              <w:jc w:val="center"/>
            </w:pPr>
            <w:r>
              <w:rPr>
                <w:rFonts w:hint="eastAsia"/>
              </w:rPr>
              <w:t>1</w:t>
            </w:r>
            <w:r>
              <w:t>0</w:t>
            </w:r>
          </w:p>
        </w:tc>
      </w:tr>
    </w:tbl>
    <w:p>
      <w:pPr>
        <w:ind w:firstLine="0" w:firstLineChars="0"/>
      </w:pPr>
    </w:p>
    <w:p>
      <w:pPr>
        <w:ind w:firstLine="0" w:firstLineChars="0"/>
      </w:pPr>
    </w:p>
    <w:p>
      <w:pPr>
        <w:ind w:firstLine="0" w:firstLineChars="0"/>
      </w:pPr>
    </w:p>
    <w:p>
      <w:pPr>
        <w:pStyle w:val="2"/>
      </w:pPr>
      <w:bookmarkStart w:id="207" w:name="_Toc86049220"/>
      <w:bookmarkStart w:id="208" w:name="_Toc80719434"/>
      <w:r>
        <w:rPr>
          <w:rFonts w:hint="eastAsia"/>
        </w:rPr>
        <w:t>附图</w:t>
      </w:r>
      <w:bookmarkEnd w:id="207"/>
      <w:bookmarkEnd w:id="208"/>
    </w:p>
    <w:p>
      <w:pPr>
        <w:ind w:firstLine="0" w:firstLineChars="0"/>
      </w:pPr>
    </w:p>
    <w:p>
      <w:pPr>
        <w:ind w:firstLine="560"/>
        <w:jc w:val="center"/>
        <w:rPr>
          <w:rFonts w:ascii="华文新魏" w:eastAsia="华文新魏"/>
          <w:sz w:val="28"/>
          <w:szCs w:val="28"/>
        </w:rPr>
      </w:pPr>
    </w:p>
    <w:sectPr>
      <w:pgSz w:w="16838" w:h="11906" w:orient="landscape"/>
      <w:pgMar w:top="1800" w:right="1440" w:bottom="1800" w:left="1440" w:header="851" w:footer="992" w:gutter="0"/>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modern"/>
    <w:pitch w:val="default"/>
    <w:sig w:usb0="800002BF" w:usb1="38CF7CFA" w:usb2="00000016" w:usb3="00000000" w:csb0="00040001" w:csb1="00000000"/>
  </w:font>
  <w:font w:name="Calibri Light">
    <w:altName w:val="Calibri"/>
    <w:panose1 w:val="020F0302020204030204"/>
    <w:charset w:val="00"/>
    <w:family w:val="swiss"/>
    <w:pitch w:val="default"/>
    <w:sig w:usb0="00000000" w:usb1="00000000" w:usb2="00000000" w:usb3="00000000" w:csb0="2000019F" w:csb1="00000000"/>
  </w:font>
  <w:font w:name="华文楷体">
    <w:altName w:val="宋体"/>
    <w:panose1 w:val="02010600040101010101"/>
    <w:charset w:val="86"/>
    <w:family w:val="auto"/>
    <w:pitch w:val="default"/>
    <w:sig w:usb0="00000000" w:usb1="00000000" w:usb2="00000010" w:usb3="00000000" w:csb0="0004009F" w:csb1="00000000"/>
  </w:font>
  <w:font w:name="Arial Unicode MS">
    <w:altName w:val="宋体"/>
    <w:panose1 w:val="020B0604020202020204"/>
    <w:charset w:val="86"/>
    <w:family w:val="swiss"/>
    <w:pitch w:val="default"/>
    <w:sig w:usb0="00000000" w:usb1="00000000" w:usb2="0000003F" w:usb3="00000000" w:csb0="603F01FF" w:csb1="FFFF0000"/>
  </w:font>
  <w:font w:name="楷体_GB2312">
    <w:altName w:val="楷体"/>
    <w:panose1 w:val="00000000000000000000"/>
    <w:charset w:val="86"/>
    <w:family w:val="auto"/>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华文新魏">
    <w:altName w:val="宋体"/>
    <w:panose1 w:val="02010800040101010101"/>
    <w:charset w:val="86"/>
    <w:family w:val="auto"/>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华文中宋">
    <w:altName w:val="宋体"/>
    <w:panose1 w:val="02010600040101010101"/>
    <w:charset w:val="86"/>
    <w:family w:val="auto"/>
    <w:pitch w:val="default"/>
    <w:sig w:usb0="00000000" w:usb1="00000000" w:usb2="00000010" w:usb3="00000000" w:csb0="0004009F" w:csb1="00000000"/>
  </w:font>
  <w:font w:name="Cambria Math">
    <w:panose1 w:val="02040503050406030204"/>
    <w:charset w:val="00"/>
    <w:family w:val="roman"/>
    <w:pitch w:val="default"/>
    <w:sig w:usb0="E00002FF" w:usb1="42002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等线">
    <w:altName w:val="微软雅黑"/>
    <w:panose1 w:val="02010600030101010101"/>
    <w:charset w:val="86"/>
    <w:family w:val="auto"/>
    <w:pitch w:val="default"/>
    <w:sig w:usb0="00000000" w:usb1="00000000"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89420576"/>
      <w:docPartObj>
        <w:docPartGallery w:val="autotext"/>
      </w:docPartObj>
    </w:sdtPr>
    <w:sdtContent>
      <w:p>
        <w:pPr>
          <w:pStyle w:val="19"/>
          <w:ind w:firstLine="360"/>
          <w:jc w:val="center"/>
        </w:pPr>
        <w:r>
          <w:fldChar w:fldCharType="begin"/>
        </w:r>
        <w:r>
          <w:instrText xml:space="preserve">PAGE   \* MERGEFORMAT</w:instrText>
        </w:r>
        <w:r>
          <w:fldChar w:fldCharType="separate"/>
        </w:r>
        <w:r>
          <w:rPr>
            <w:lang w:val="zh-CN"/>
          </w:rPr>
          <w:t>2</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0" w:firstLineChars="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45807486"/>
      <w:docPartObj>
        <w:docPartGallery w:val="autotext"/>
      </w:docPartObj>
    </w:sdtPr>
    <w:sdtContent>
      <w:p>
        <w:pPr>
          <w:pStyle w:val="19"/>
          <w:ind w:firstLine="360"/>
          <w:jc w:val="center"/>
        </w:pPr>
        <w:r>
          <w:fldChar w:fldCharType="begin"/>
        </w:r>
        <w:r>
          <w:instrText xml:space="preserve">PAGE   \* MERGEFORMAT</w:instrText>
        </w:r>
        <w:r>
          <w:fldChar w:fldCharType="separate"/>
        </w:r>
        <w:r>
          <w:rPr>
            <w:lang w:val="zh-CN"/>
          </w:rPr>
          <w:t>2</w:t>
        </w:r>
        <w:r>
          <w:fldChar w:fldCharType="end"/>
        </w:r>
      </w:p>
    </w:sdtContent>
  </w:sdt>
  <w:p>
    <w:pPr>
      <w:pStyle w:val="1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9583214"/>
    </w:sdtPr>
    <w:sdtContent>
      <w:p>
        <w:pPr>
          <w:pStyle w:val="19"/>
          <w:ind w:firstLine="360"/>
        </w:pPr>
        <w:r>
          <w:fldChar w:fldCharType="begin"/>
        </w:r>
        <w:r>
          <w:instrText xml:space="preserve">PAGE   \* MERGEFORMAT</w:instrText>
        </w:r>
        <w:r>
          <w:fldChar w:fldCharType="separate"/>
        </w:r>
        <w:r>
          <w:rPr>
            <w:lang w:val="zh-CN"/>
          </w:rPr>
          <w:t>90</w:t>
        </w:r>
        <w:r>
          <w:rPr>
            <w:lang w:val="zh-CN"/>
          </w:rPr>
          <w:fldChar w:fldCharType="end"/>
        </w:r>
      </w:p>
    </w:sdtContent>
  </w:sdt>
  <w:p>
    <w:pPr>
      <w:pStyle w:val="19"/>
      <w:tabs>
        <w:tab w:val="center" w:pos="4535"/>
        <w:tab w:val="clear" w:pos="4153"/>
        <w:tab w:val="clear" w:pos="8306"/>
      </w:tabs>
      <w:ind w:firstLine="360"/>
      <w:jc w:val="both"/>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2"/>
      <w:pBdr>
        <w:bottom w:val="single" w:color="auto" w:sz="4" w:space="0"/>
      </w:pBdr>
      <w:tabs>
        <w:tab w:val="center" w:pos="4515"/>
        <w:tab w:val="right" w:pos="9030"/>
      </w:tabs>
      <w:spacing w:line="240" w:lineRule="auto"/>
      <w:jc w:val="right"/>
    </w:pPr>
  </w:p>
  <w:p>
    <w:pPr>
      <w:pStyle w:val="52"/>
      <w:pBdr>
        <w:bottom w:val="single" w:color="auto" w:sz="4" w:space="0"/>
      </w:pBdr>
      <w:tabs>
        <w:tab w:val="center" w:pos="4515"/>
        <w:tab w:val="right" w:pos="9030"/>
      </w:tabs>
      <w:spacing w:before="130" w:line="240" w:lineRule="auto"/>
      <w:jc w:val="right"/>
    </w:pPr>
    <w:r>
      <w:rPr>
        <w:rFonts w:hint="eastAsia"/>
      </w:rPr>
      <w:t>第二章基础情况</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C039B4"/>
    <w:multiLevelType w:val="multilevel"/>
    <w:tmpl w:val="0DC039B4"/>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329C4460"/>
    <w:multiLevelType w:val="multilevel"/>
    <w:tmpl w:val="329C4460"/>
    <w:lvl w:ilvl="0" w:tentative="0">
      <w:start w:val="1"/>
      <w:numFmt w:val="decimal"/>
      <w:lvlText w:val="%1、"/>
      <w:lvlJc w:val="left"/>
      <w:pPr>
        <w:ind w:left="857" w:hanging="375"/>
      </w:pPr>
      <w:rPr>
        <w:rFonts w:hint="default"/>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2">
    <w:nsid w:val="55AB4A23"/>
    <w:multiLevelType w:val="multilevel"/>
    <w:tmpl w:val="55AB4A23"/>
    <w:lvl w:ilvl="0" w:tentative="0">
      <w:start w:val="1"/>
      <w:numFmt w:val="decimal"/>
      <w:pStyle w:val="2"/>
      <w:lvlText w:val="%1"/>
      <w:lvlJc w:val="left"/>
      <w:pPr>
        <w:ind w:left="432" w:hanging="432"/>
      </w:pPr>
      <w:rPr>
        <w:rFonts w:hint="default"/>
        <w:b/>
        <w:i w:val="0"/>
        <w:sz w:val="36"/>
        <w:szCs w:val="32"/>
      </w:rPr>
    </w:lvl>
    <w:lvl w:ilvl="1" w:tentative="0">
      <w:start w:val="1"/>
      <w:numFmt w:val="decimal"/>
      <w:pStyle w:val="3"/>
      <w:lvlText w:val="%1.%2"/>
      <w:lvlJc w:val="left"/>
      <w:pPr>
        <w:ind w:left="576" w:hanging="576"/>
      </w:pPr>
      <w:rPr>
        <w:rFonts w:hint="default"/>
        <w:b/>
        <w:i w:val="0"/>
        <w:color w:val="auto"/>
        <w:sz w:val="32"/>
        <w:szCs w:val="28"/>
        <w:u w:val="none"/>
      </w:rPr>
    </w:lvl>
    <w:lvl w:ilvl="2" w:tentative="0">
      <w:start w:val="1"/>
      <w:numFmt w:val="decimal"/>
      <w:pStyle w:val="4"/>
      <w:lvlText w:val="%1.%2.%3"/>
      <w:lvlJc w:val="left"/>
      <w:pPr>
        <w:ind w:left="720" w:hanging="720"/>
      </w:pPr>
      <w:rPr>
        <w:rFonts w:hint="default"/>
        <w:b/>
        <w:i w:val="0"/>
        <w:sz w:val="28"/>
        <w:szCs w:val="24"/>
      </w:rPr>
    </w:lvl>
    <w:lvl w:ilvl="3" w:tentative="0">
      <w:start w:val="1"/>
      <w:numFmt w:val="decimal"/>
      <w:pStyle w:val="5"/>
      <w:lvlText w:val="%1.%2.%3.%4"/>
      <w:lvlJc w:val="left"/>
      <w:pPr>
        <w:ind w:left="864" w:hanging="864"/>
      </w:pPr>
      <w:rPr>
        <w:rFonts w:hint="default"/>
        <w:b w:val="0"/>
        <w:i w:val="0"/>
        <w:sz w:val="28"/>
      </w:rPr>
    </w:lvl>
    <w:lvl w:ilvl="4" w:tentative="0">
      <w:start w:val="1"/>
      <w:numFmt w:val="decimal"/>
      <w:pStyle w:val="6"/>
      <w:lvlText w:val="%1.%2.%3.%4.%5"/>
      <w:lvlJc w:val="left"/>
      <w:pPr>
        <w:ind w:left="1008" w:hanging="1008"/>
      </w:pPr>
      <w:rPr>
        <w:rFonts w:hint="default"/>
        <w:b w:val="0"/>
        <w:i w:val="0"/>
        <w:sz w:val="28"/>
      </w:rPr>
    </w:lvl>
    <w:lvl w:ilvl="5" w:tentative="0">
      <w:start w:val="1"/>
      <w:numFmt w:val="decimal"/>
      <w:pStyle w:val="7"/>
      <w:lvlText w:val="%1.%2.%3.%4.%5.%6"/>
      <w:lvlJc w:val="left"/>
      <w:pPr>
        <w:ind w:left="1152" w:hanging="1152"/>
      </w:pPr>
      <w:rPr>
        <w:rFonts w:hint="default"/>
        <w:b w:val="0"/>
        <w:i w:val="0"/>
        <w:sz w:val="28"/>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eastAsia"/>
        <w:b w:val="0"/>
        <w:i w:val="0"/>
        <w:sz w:val="24"/>
      </w:rPr>
    </w:lvl>
    <w:lvl w:ilvl="8" w:tentative="0">
      <w:start w:val="1"/>
      <w:numFmt w:val="decimal"/>
      <w:pStyle w:val="10"/>
      <w:lvlText w:val="%1.%2.%3.%4.%5.%6.%7.%8.%9"/>
      <w:lvlJc w:val="left"/>
      <w:pPr>
        <w:ind w:left="1584" w:hanging="1584"/>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val="1"/>
  <w:bordersDoNotSurroundFooter w:val="1"/>
  <w:hideSpellingErrors/>
  <w:documentProtection w:enforcement="0"/>
  <w:defaultTabStop w:val="42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5DDA"/>
    <w:rsid w:val="00006CD9"/>
    <w:rsid w:val="00014BA0"/>
    <w:rsid w:val="00032C32"/>
    <w:rsid w:val="00040D34"/>
    <w:rsid w:val="0005013E"/>
    <w:rsid w:val="00051153"/>
    <w:rsid w:val="00053176"/>
    <w:rsid w:val="00057982"/>
    <w:rsid w:val="00064742"/>
    <w:rsid w:val="00067068"/>
    <w:rsid w:val="000743F7"/>
    <w:rsid w:val="00074693"/>
    <w:rsid w:val="00080542"/>
    <w:rsid w:val="00081192"/>
    <w:rsid w:val="0008119B"/>
    <w:rsid w:val="00081957"/>
    <w:rsid w:val="00085E50"/>
    <w:rsid w:val="0009024B"/>
    <w:rsid w:val="00090B7E"/>
    <w:rsid w:val="0009216B"/>
    <w:rsid w:val="00097B89"/>
    <w:rsid w:val="000A1B07"/>
    <w:rsid w:val="000A4E5C"/>
    <w:rsid w:val="000A6722"/>
    <w:rsid w:val="000B318C"/>
    <w:rsid w:val="000C1148"/>
    <w:rsid w:val="000C309D"/>
    <w:rsid w:val="000C3EA0"/>
    <w:rsid w:val="000C6318"/>
    <w:rsid w:val="000D2E14"/>
    <w:rsid w:val="000D3CD3"/>
    <w:rsid w:val="000D5018"/>
    <w:rsid w:val="000E165B"/>
    <w:rsid w:val="000E1F1D"/>
    <w:rsid w:val="000E2BF2"/>
    <w:rsid w:val="000E2FBA"/>
    <w:rsid w:val="000F064F"/>
    <w:rsid w:val="000F52BD"/>
    <w:rsid w:val="000F727F"/>
    <w:rsid w:val="00101726"/>
    <w:rsid w:val="001039B0"/>
    <w:rsid w:val="0010674D"/>
    <w:rsid w:val="00113C65"/>
    <w:rsid w:val="00113CD9"/>
    <w:rsid w:val="00115B2B"/>
    <w:rsid w:val="0012169E"/>
    <w:rsid w:val="0012337E"/>
    <w:rsid w:val="001303FD"/>
    <w:rsid w:val="00131238"/>
    <w:rsid w:val="00137E04"/>
    <w:rsid w:val="00145DF3"/>
    <w:rsid w:val="0014681D"/>
    <w:rsid w:val="00156FCF"/>
    <w:rsid w:val="00165ECD"/>
    <w:rsid w:val="001705BE"/>
    <w:rsid w:val="00171693"/>
    <w:rsid w:val="001734E4"/>
    <w:rsid w:val="00177358"/>
    <w:rsid w:val="00181694"/>
    <w:rsid w:val="00185D8A"/>
    <w:rsid w:val="001901B2"/>
    <w:rsid w:val="001A6D5F"/>
    <w:rsid w:val="001A6FC4"/>
    <w:rsid w:val="001B4990"/>
    <w:rsid w:val="001B6BAB"/>
    <w:rsid w:val="001C2808"/>
    <w:rsid w:val="001C32CC"/>
    <w:rsid w:val="001C638E"/>
    <w:rsid w:val="001C7A63"/>
    <w:rsid w:val="001C7B7F"/>
    <w:rsid w:val="001D108A"/>
    <w:rsid w:val="001D53D3"/>
    <w:rsid w:val="001E274C"/>
    <w:rsid w:val="001E2F70"/>
    <w:rsid w:val="001E668E"/>
    <w:rsid w:val="001E67CF"/>
    <w:rsid w:val="001E7BAA"/>
    <w:rsid w:val="001F0138"/>
    <w:rsid w:val="001F2412"/>
    <w:rsid w:val="001F322A"/>
    <w:rsid w:val="001F38C6"/>
    <w:rsid w:val="001F4F78"/>
    <w:rsid w:val="001F5A4B"/>
    <w:rsid w:val="00215DB7"/>
    <w:rsid w:val="0021631E"/>
    <w:rsid w:val="00220290"/>
    <w:rsid w:val="002272F7"/>
    <w:rsid w:val="00227766"/>
    <w:rsid w:val="0022787C"/>
    <w:rsid w:val="0023126A"/>
    <w:rsid w:val="002354F5"/>
    <w:rsid w:val="00235929"/>
    <w:rsid w:val="0025586B"/>
    <w:rsid w:val="002558AC"/>
    <w:rsid w:val="00255B1B"/>
    <w:rsid w:val="00256961"/>
    <w:rsid w:val="0026210A"/>
    <w:rsid w:val="00264493"/>
    <w:rsid w:val="002650C0"/>
    <w:rsid w:val="002663CF"/>
    <w:rsid w:val="00266599"/>
    <w:rsid w:val="00270E63"/>
    <w:rsid w:val="00275B77"/>
    <w:rsid w:val="00280F4E"/>
    <w:rsid w:val="00284B22"/>
    <w:rsid w:val="00286F77"/>
    <w:rsid w:val="0029129B"/>
    <w:rsid w:val="002A0DDA"/>
    <w:rsid w:val="002A4E1F"/>
    <w:rsid w:val="002A6D72"/>
    <w:rsid w:val="002A7761"/>
    <w:rsid w:val="002B0038"/>
    <w:rsid w:val="002B269F"/>
    <w:rsid w:val="002D31CA"/>
    <w:rsid w:val="002D3FB7"/>
    <w:rsid w:val="002D7A00"/>
    <w:rsid w:val="002E5526"/>
    <w:rsid w:val="002E561A"/>
    <w:rsid w:val="002E64B8"/>
    <w:rsid w:val="002F4AF7"/>
    <w:rsid w:val="00311293"/>
    <w:rsid w:val="00323BE1"/>
    <w:rsid w:val="00332116"/>
    <w:rsid w:val="00333FF8"/>
    <w:rsid w:val="00343508"/>
    <w:rsid w:val="00344FB9"/>
    <w:rsid w:val="00350339"/>
    <w:rsid w:val="0035056D"/>
    <w:rsid w:val="00351CF7"/>
    <w:rsid w:val="00353C10"/>
    <w:rsid w:val="00353C5D"/>
    <w:rsid w:val="00354920"/>
    <w:rsid w:val="003667B9"/>
    <w:rsid w:val="00371361"/>
    <w:rsid w:val="00371675"/>
    <w:rsid w:val="003735C2"/>
    <w:rsid w:val="00376ABC"/>
    <w:rsid w:val="00377C67"/>
    <w:rsid w:val="00382B51"/>
    <w:rsid w:val="003876C9"/>
    <w:rsid w:val="00390EF3"/>
    <w:rsid w:val="00395DDA"/>
    <w:rsid w:val="003A4230"/>
    <w:rsid w:val="003A6ABB"/>
    <w:rsid w:val="003B6E7F"/>
    <w:rsid w:val="003C0FFD"/>
    <w:rsid w:val="003C4658"/>
    <w:rsid w:val="003D20C3"/>
    <w:rsid w:val="003D47F4"/>
    <w:rsid w:val="003D5063"/>
    <w:rsid w:val="003E6B53"/>
    <w:rsid w:val="003E6DF4"/>
    <w:rsid w:val="003F15D0"/>
    <w:rsid w:val="003F34AF"/>
    <w:rsid w:val="003F42E1"/>
    <w:rsid w:val="004009FA"/>
    <w:rsid w:val="00406F9B"/>
    <w:rsid w:val="004101A1"/>
    <w:rsid w:val="004230EB"/>
    <w:rsid w:val="00425689"/>
    <w:rsid w:val="004258ED"/>
    <w:rsid w:val="00425BF7"/>
    <w:rsid w:val="00426E96"/>
    <w:rsid w:val="0043041A"/>
    <w:rsid w:val="004306D6"/>
    <w:rsid w:val="00435425"/>
    <w:rsid w:val="00461190"/>
    <w:rsid w:val="00461A21"/>
    <w:rsid w:val="00462075"/>
    <w:rsid w:val="00464905"/>
    <w:rsid w:val="00464911"/>
    <w:rsid w:val="004709DC"/>
    <w:rsid w:val="00477193"/>
    <w:rsid w:val="00477AA9"/>
    <w:rsid w:val="00480B7C"/>
    <w:rsid w:val="00480E51"/>
    <w:rsid w:val="004834A0"/>
    <w:rsid w:val="00490DA8"/>
    <w:rsid w:val="00497CE3"/>
    <w:rsid w:val="004A107D"/>
    <w:rsid w:val="004A1C5A"/>
    <w:rsid w:val="004A6501"/>
    <w:rsid w:val="004B2D1F"/>
    <w:rsid w:val="004B2DFF"/>
    <w:rsid w:val="004B6A14"/>
    <w:rsid w:val="004C1D0D"/>
    <w:rsid w:val="004C3E61"/>
    <w:rsid w:val="004C6787"/>
    <w:rsid w:val="004D0B4D"/>
    <w:rsid w:val="004D52D2"/>
    <w:rsid w:val="004E0A7A"/>
    <w:rsid w:val="004E249F"/>
    <w:rsid w:val="004E3F29"/>
    <w:rsid w:val="004E469F"/>
    <w:rsid w:val="004F3468"/>
    <w:rsid w:val="004F602D"/>
    <w:rsid w:val="0050184C"/>
    <w:rsid w:val="00503919"/>
    <w:rsid w:val="005050F8"/>
    <w:rsid w:val="005073EE"/>
    <w:rsid w:val="005136DD"/>
    <w:rsid w:val="005163A9"/>
    <w:rsid w:val="00521D40"/>
    <w:rsid w:val="0052618C"/>
    <w:rsid w:val="00527059"/>
    <w:rsid w:val="0053586E"/>
    <w:rsid w:val="00535B05"/>
    <w:rsid w:val="0053693F"/>
    <w:rsid w:val="00537AE8"/>
    <w:rsid w:val="00541E31"/>
    <w:rsid w:val="00554555"/>
    <w:rsid w:val="005573CF"/>
    <w:rsid w:val="005623E7"/>
    <w:rsid w:val="00563454"/>
    <w:rsid w:val="005666EF"/>
    <w:rsid w:val="00572632"/>
    <w:rsid w:val="00577459"/>
    <w:rsid w:val="00577FD7"/>
    <w:rsid w:val="005814CB"/>
    <w:rsid w:val="00586435"/>
    <w:rsid w:val="00587A5F"/>
    <w:rsid w:val="00591C42"/>
    <w:rsid w:val="00592123"/>
    <w:rsid w:val="00595179"/>
    <w:rsid w:val="00595338"/>
    <w:rsid w:val="0059576F"/>
    <w:rsid w:val="005A7D8A"/>
    <w:rsid w:val="005A7FF0"/>
    <w:rsid w:val="005B6AAB"/>
    <w:rsid w:val="005C72A5"/>
    <w:rsid w:val="005C7CFB"/>
    <w:rsid w:val="005D67F1"/>
    <w:rsid w:val="005D7836"/>
    <w:rsid w:val="005E5A15"/>
    <w:rsid w:val="005E6655"/>
    <w:rsid w:val="005E7D7B"/>
    <w:rsid w:val="005F04FE"/>
    <w:rsid w:val="005F3489"/>
    <w:rsid w:val="005F6E38"/>
    <w:rsid w:val="00601E20"/>
    <w:rsid w:val="00603DCD"/>
    <w:rsid w:val="006041B7"/>
    <w:rsid w:val="00613EF6"/>
    <w:rsid w:val="00632788"/>
    <w:rsid w:val="00633068"/>
    <w:rsid w:val="0063448B"/>
    <w:rsid w:val="0063515C"/>
    <w:rsid w:val="00640FFC"/>
    <w:rsid w:val="00641F37"/>
    <w:rsid w:val="00643AE1"/>
    <w:rsid w:val="00643BCA"/>
    <w:rsid w:val="00644071"/>
    <w:rsid w:val="00655AB1"/>
    <w:rsid w:val="006600A2"/>
    <w:rsid w:val="00662D13"/>
    <w:rsid w:val="00663C86"/>
    <w:rsid w:val="0066737B"/>
    <w:rsid w:val="00671AC5"/>
    <w:rsid w:val="006727FC"/>
    <w:rsid w:val="00677682"/>
    <w:rsid w:val="006867A4"/>
    <w:rsid w:val="00687D85"/>
    <w:rsid w:val="00690056"/>
    <w:rsid w:val="00690183"/>
    <w:rsid w:val="006A46A7"/>
    <w:rsid w:val="006A5DED"/>
    <w:rsid w:val="006D4790"/>
    <w:rsid w:val="006D6463"/>
    <w:rsid w:val="006D66BA"/>
    <w:rsid w:val="006D7951"/>
    <w:rsid w:val="006D7F60"/>
    <w:rsid w:val="006E501F"/>
    <w:rsid w:val="006F28BF"/>
    <w:rsid w:val="006F590E"/>
    <w:rsid w:val="00701B48"/>
    <w:rsid w:val="00703B67"/>
    <w:rsid w:val="00706012"/>
    <w:rsid w:val="00710453"/>
    <w:rsid w:val="00710D33"/>
    <w:rsid w:val="00713CD3"/>
    <w:rsid w:val="007141FF"/>
    <w:rsid w:val="00715A41"/>
    <w:rsid w:val="00716968"/>
    <w:rsid w:val="00723505"/>
    <w:rsid w:val="00723D86"/>
    <w:rsid w:val="00724333"/>
    <w:rsid w:val="00740425"/>
    <w:rsid w:val="00742597"/>
    <w:rsid w:val="00744518"/>
    <w:rsid w:val="00746A04"/>
    <w:rsid w:val="007559CF"/>
    <w:rsid w:val="00760422"/>
    <w:rsid w:val="007651E0"/>
    <w:rsid w:val="00772335"/>
    <w:rsid w:val="00775D90"/>
    <w:rsid w:val="00782953"/>
    <w:rsid w:val="00782BBA"/>
    <w:rsid w:val="00785E7B"/>
    <w:rsid w:val="00787458"/>
    <w:rsid w:val="0078778C"/>
    <w:rsid w:val="007905B0"/>
    <w:rsid w:val="00791668"/>
    <w:rsid w:val="00795468"/>
    <w:rsid w:val="007975FD"/>
    <w:rsid w:val="007A78ED"/>
    <w:rsid w:val="007C1715"/>
    <w:rsid w:val="007C23BD"/>
    <w:rsid w:val="007C3D5A"/>
    <w:rsid w:val="007C3E02"/>
    <w:rsid w:val="007C6A75"/>
    <w:rsid w:val="007C73BE"/>
    <w:rsid w:val="007D239D"/>
    <w:rsid w:val="007D5D72"/>
    <w:rsid w:val="007E5D13"/>
    <w:rsid w:val="007E5E28"/>
    <w:rsid w:val="007F466F"/>
    <w:rsid w:val="007F4739"/>
    <w:rsid w:val="007F6A5B"/>
    <w:rsid w:val="007F6B4E"/>
    <w:rsid w:val="007F79DB"/>
    <w:rsid w:val="008021EC"/>
    <w:rsid w:val="00806A8A"/>
    <w:rsid w:val="008165CA"/>
    <w:rsid w:val="00816BA1"/>
    <w:rsid w:val="00823275"/>
    <w:rsid w:val="00825B36"/>
    <w:rsid w:val="008261D3"/>
    <w:rsid w:val="0082739A"/>
    <w:rsid w:val="008277A9"/>
    <w:rsid w:val="00831C7B"/>
    <w:rsid w:val="00831CDD"/>
    <w:rsid w:val="00832679"/>
    <w:rsid w:val="00837E53"/>
    <w:rsid w:val="008419BB"/>
    <w:rsid w:val="00841D2F"/>
    <w:rsid w:val="008448E1"/>
    <w:rsid w:val="00846595"/>
    <w:rsid w:val="0084774A"/>
    <w:rsid w:val="00852EBD"/>
    <w:rsid w:val="00860126"/>
    <w:rsid w:val="0086334E"/>
    <w:rsid w:val="00877BAC"/>
    <w:rsid w:val="00882EE3"/>
    <w:rsid w:val="00886F96"/>
    <w:rsid w:val="008904FD"/>
    <w:rsid w:val="00893C98"/>
    <w:rsid w:val="008958B7"/>
    <w:rsid w:val="00897573"/>
    <w:rsid w:val="008A02FE"/>
    <w:rsid w:val="008A071A"/>
    <w:rsid w:val="008A0F25"/>
    <w:rsid w:val="008A4D94"/>
    <w:rsid w:val="008A6E43"/>
    <w:rsid w:val="008B0D9A"/>
    <w:rsid w:val="008B285B"/>
    <w:rsid w:val="008B4113"/>
    <w:rsid w:val="008C0122"/>
    <w:rsid w:val="008C0B7F"/>
    <w:rsid w:val="008C7FB9"/>
    <w:rsid w:val="008D176A"/>
    <w:rsid w:val="008D2401"/>
    <w:rsid w:val="008E015B"/>
    <w:rsid w:val="008E3A64"/>
    <w:rsid w:val="008E4960"/>
    <w:rsid w:val="008F340C"/>
    <w:rsid w:val="009123CE"/>
    <w:rsid w:val="0091249F"/>
    <w:rsid w:val="00912EE1"/>
    <w:rsid w:val="00913936"/>
    <w:rsid w:val="0091509C"/>
    <w:rsid w:val="00920BA0"/>
    <w:rsid w:val="0094257E"/>
    <w:rsid w:val="00950DC6"/>
    <w:rsid w:val="00950EFF"/>
    <w:rsid w:val="00952602"/>
    <w:rsid w:val="00956010"/>
    <w:rsid w:val="00960773"/>
    <w:rsid w:val="009753DA"/>
    <w:rsid w:val="00977080"/>
    <w:rsid w:val="00980D4F"/>
    <w:rsid w:val="00981A4F"/>
    <w:rsid w:val="009843A6"/>
    <w:rsid w:val="00984741"/>
    <w:rsid w:val="009852F1"/>
    <w:rsid w:val="00986AFB"/>
    <w:rsid w:val="00991163"/>
    <w:rsid w:val="00991849"/>
    <w:rsid w:val="0099234F"/>
    <w:rsid w:val="00993B83"/>
    <w:rsid w:val="009A3605"/>
    <w:rsid w:val="009A3E41"/>
    <w:rsid w:val="009A5F02"/>
    <w:rsid w:val="009A7110"/>
    <w:rsid w:val="009A7809"/>
    <w:rsid w:val="009A790E"/>
    <w:rsid w:val="009B10E4"/>
    <w:rsid w:val="009B1A99"/>
    <w:rsid w:val="009B21E3"/>
    <w:rsid w:val="009C03A7"/>
    <w:rsid w:val="009C573D"/>
    <w:rsid w:val="009D0220"/>
    <w:rsid w:val="009D0A4F"/>
    <w:rsid w:val="009D598C"/>
    <w:rsid w:val="009E056E"/>
    <w:rsid w:val="009E0BA1"/>
    <w:rsid w:val="009F4E50"/>
    <w:rsid w:val="00A02371"/>
    <w:rsid w:val="00A03F9A"/>
    <w:rsid w:val="00A04FFC"/>
    <w:rsid w:val="00A05593"/>
    <w:rsid w:val="00A12999"/>
    <w:rsid w:val="00A27410"/>
    <w:rsid w:val="00A275D9"/>
    <w:rsid w:val="00A30631"/>
    <w:rsid w:val="00A33C41"/>
    <w:rsid w:val="00A40F5B"/>
    <w:rsid w:val="00A46389"/>
    <w:rsid w:val="00A46F30"/>
    <w:rsid w:val="00A47171"/>
    <w:rsid w:val="00A61BFD"/>
    <w:rsid w:val="00A64635"/>
    <w:rsid w:val="00A723A5"/>
    <w:rsid w:val="00A72CC8"/>
    <w:rsid w:val="00A81708"/>
    <w:rsid w:val="00A8722B"/>
    <w:rsid w:val="00A87DA6"/>
    <w:rsid w:val="00A91604"/>
    <w:rsid w:val="00A928FF"/>
    <w:rsid w:val="00AA3BDD"/>
    <w:rsid w:val="00AB0C53"/>
    <w:rsid w:val="00AB2B08"/>
    <w:rsid w:val="00AB44D4"/>
    <w:rsid w:val="00AC18FE"/>
    <w:rsid w:val="00AC4484"/>
    <w:rsid w:val="00AD6109"/>
    <w:rsid w:val="00AD7B0C"/>
    <w:rsid w:val="00AD7FE4"/>
    <w:rsid w:val="00AE18B2"/>
    <w:rsid w:val="00AE5349"/>
    <w:rsid w:val="00AE5E65"/>
    <w:rsid w:val="00AE6585"/>
    <w:rsid w:val="00B04802"/>
    <w:rsid w:val="00B06C76"/>
    <w:rsid w:val="00B07844"/>
    <w:rsid w:val="00B1182D"/>
    <w:rsid w:val="00B11CD8"/>
    <w:rsid w:val="00B170CC"/>
    <w:rsid w:val="00B21295"/>
    <w:rsid w:val="00B23D17"/>
    <w:rsid w:val="00B33002"/>
    <w:rsid w:val="00B41AAC"/>
    <w:rsid w:val="00B42BC3"/>
    <w:rsid w:val="00B42D44"/>
    <w:rsid w:val="00B43BA4"/>
    <w:rsid w:val="00B45C26"/>
    <w:rsid w:val="00B46F3A"/>
    <w:rsid w:val="00B5186C"/>
    <w:rsid w:val="00B527D4"/>
    <w:rsid w:val="00B57ECC"/>
    <w:rsid w:val="00B620B9"/>
    <w:rsid w:val="00B71B2F"/>
    <w:rsid w:val="00B73D02"/>
    <w:rsid w:val="00B7462D"/>
    <w:rsid w:val="00B75276"/>
    <w:rsid w:val="00B81358"/>
    <w:rsid w:val="00B841CE"/>
    <w:rsid w:val="00B8494B"/>
    <w:rsid w:val="00B8524A"/>
    <w:rsid w:val="00B87BD1"/>
    <w:rsid w:val="00B9231E"/>
    <w:rsid w:val="00B93D95"/>
    <w:rsid w:val="00B94032"/>
    <w:rsid w:val="00BA07FD"/>
    <w:rsid w:val="00BA142D"/>
    <w:rsid w:val="00BB0B3B"/>
    <w:rsid w:val="00BB19B5"/>
    <w:rsid w:val="00BB3CAE"/>
    <w:rsid w:val="00BC09DD"/>
    <w:rsid w:val="00BC0B4A"/>
    <w:rsid w:val="00BC2916"/>
    <w:rsid w:val="00BC2D31"/>
    <w:rsid w:val="00BC3861"/>
    <w:rsid w:val="00BC6696"/>
    <w:rsid w:val="00BC7153"/>
    <w:rsid w:val="00BE7F7E"/>
    <w:rsid w:val="00BF5C48"/>
    <w:rsid w:val="00C03BC2"/>
    <w:rsid w:val="00C058A4"/>
    <w:rsid w:val="00C0623C"/>
    <w:rsid w:val="00C06548"/>
    <w:rsid w:val="00C150BE"/>
    <w:rsid w:val="00C179A6"/>
    <w:rsid w:val="00C20E8E"/>
    <w:rsid w:val="00C21C1C"/>
    <w:rsid w:val="00C2643D"/>
    <w:rsid w:val="00C27B33"/>
    <w:rsid w:val="00C3018A"/>
    <w:rsid w:val="00C30E02"/>
    <w:rsid w:val="00C32C81"/>
    <w:rsid w:val="00C34F86"/>
    <w:rsid w:val="00C42B04"/>
    <w:rsid w:val="00C46F3B"/>
    <w:rsid w:val="00C544D9"/>
    <w:rsid w:val="00C65025"/>
    <w:rsid w:val="00C673E5"/>
    <w:rsid w:val="00C72AFA"/>
    <w:rsid w:val="00C7319F"/>
    <w:rsid w:val="00C747D7"/>
    <w:rsid w:val="00C8031B"/>
    <w:rsid w:val="00C857D2"/>
    <w:rsid w:val="00CA3B44"/>
    <w:rsid w:val="00CA787B"/>
    <w:rsid w:val="00CB55B7"/>
    <w:rsid w:val="00CB65D5"/>
    <w:rsid w:val="00CC6A25"/>
    <w:rsid w:val="00CD126E"/>
    <w:rsid w:val="00CD1BD1"/>
    <w:rsid w:val="00CD2EDE"/>
    <w:rsid w:val="00CD791A"/>
    <w:rsid w:val="00CD7E8B"/>
    <w:rsid w:val="00CE2190"/>
    <w:rsid w:val="00CE2263"/>
    <w:rsid w:val="00CF0ABA"/>
    <w:rsid w:val="00CF483D"/>
    <w:rsid w:val="00D01C29"/>
    <w:rsid w:val="00D02A00"/>
    <w:rsid w:val="00D03E89"/>
    <w:rsid w:val="00D04501"/>
    <w:rsid w:val="00D07C7C"/>
    <w:rsid w:val="00D14E5D"/>
    <w:rsid w:val="00D158D8"/>
    <w:rsid w:val="00D25ECB"/>
    <w:rsid w:val="00D2716B"/>
    <w:rsid w:val="00D272D3"/>
    <w:rsid w:val="00D41CD9"/>
    <w:rsid w:val="00D43366"/>
    <w:rsid w:val="00D46098"/>
    <w:rsid w:val="00D52C4E"/>
    <w:rsid w:val="00D73E57"/>
    <w:rsid w:val="00D7536B"/>
    <w:rsid w:val="00D7724E"/>
    <w:rsid w:val="00D80D04"/>
    <w:rsid w:val="00D832C3"/>
    <w:rsid w:val="00D94736"/>
    <w:rsid w:val="00D96061"/>
    <w:rsid w:val="00DA09DD"/>
    <w:rsid w:val="00DA1A5F"/>
    <w:rsid w:val="00DB2E61"/>
    <w:rsid w:val="00DC1D77"/>
    <w:rsid w:val="00DD24FF"/>
    <w:rsid w:val="00DD2E7D"/>
    <w:rsid w:val="00DD3184"/>
    <w:rsid w:val="00DD7DBD"/>
    <w:rsid w:val="00DD7E82"/>
    <w:rsid w:val="00DE0824"/>
    <w:rsid w:val="00DE2945"/>
    <w:rsid w:val="00DE6FE3"/>
    <w:rsid w:val="00DF1104"/>
    <w:rsid w:val="00DF27D5"/>
    <w:rsid w:val="00DF32C1"/>
    <w:rsid w:val="00E03E6E"/>
    <w:rsid w:val="00E14446"/>
    <w:rsid w:val="00E20D2A"/>
    <w:rsid w:val="00E23DA8"/>
    <w:rsid w:val="00E51CF4"/>
    <w:rsid w:val="00E5269C"/>
    <w:rsid w:val="00E5275D"/>
    <w:rsid w:val="00E52BBE"/>
    <w:rsid w:val="00E7094C"/>
    <w:rsid w:val="00E72B87"/>
    <w:rsid w:val="00E77C77"/>
    <w:rsid w:val="00E80C2B"/>
    <w:rsid w:val="00E81798"/>
    <w:rsid w:val="00E915C8"/>
    <w:rsid w:val="00E94E68"/>
    <w:rsid w:val="00EB382B"/>
    <w:rsid w:val="00EB4D52"/>
    <w:rsid w:val="00EC677A"/>
    <w:rsid w:val="00ED0E8E"/>
    <w:rsid w:val="00ED3CB6"/>
    <w:rsid w:val="00ED464D"/>
    <w:rsid w:val="00EE2C0F"/>
    <w:rsid w:val="00EF08D6"/>
    <w:rsid w:val="00EF2EB0"/>
    <w:rsid w:val="00EF45D7"/>
    <w:rsid w:val="00EF5AE3"/>
    <w:rsid w:val="00F0016F"/>
    <w:rsid w:val="00F02CA2"/>
    <w:rsid w:val="00F049DE"/>
    <w:rsid w:val="00F05693"/>
    <w:rsid w:val="00F05FFB"/>
    <w:rsid w:val="00F075B1"/>
    <w:rsid w:val="00F11BA4"/>
    <w:rsid w:val="00F12EAF"/>
    <w:rsid w:val="00F20EE5"/>
    <w:rsid w:val="00F210C8"/>
    <w:rsid w:val="00F21375"/>
    <w:rsid w:val="00F220FB"/>
    <w:rsid w:val="00F23E9B"/>
    <w:rsid w:val="00F2480F"/>
    <w:rsid w:val="00F3105A"/>
    <w:rsid w:val="00F35102"/>
    <w:rsid w:val="00F36485"/>
    <w:rsid w:val="00F46B13"/>
    <w:rsid w:val="00F53864"/>
    <w:rsid w:val="00F559A6"/>
    <w:rsid w:val="00F65212"/>
    <w:rsid w:val="00F73137"/>
    <w:rsid w:val="00F776BE"/>
    <w:rsid w:val="00F77E11"/>
    <w:rsid w:val="00F77ED9"/>
    <w:rsid w:val="00F77F40"/>
    <w:rsid w:val="00F82CB1"/>
    <w:rsid w:val="00F8763E"/>
    <w:rsid w:val="00F9042E"/>
    <w:rsid w:val="00F911A7"/>
    <w:rsid w:val="00F91FEE"/>
    <w:rsid w:val="00F9205F"/>
    <w:rsid w:val="00F97342"/>
    <w:rsid w:val="00F976FA"/>
    <w:rsid w:val="00FA228B"/>
    <w:rsid w:val="00FA290E"/>
    <w:rsid w:val="00FA49C5"/>
    <w:rsid w:val="00FB20BF"/>
    <w:rsid w:val="00FB2CCB"/>
    <w:rsid w:val="00FB4BC2"/>
    <w:rsid w:val="00FB6624"/>
    <w:rsid w:val="00FC30D4"/>
    <w:rsid w:val="00FC401A"/>
    <w:rsid w:val="00FC4C9B"/>
    <w:rsid w:val="00FD4AD4"/>
    <w:rsid w:val="00FD7A2E"/>
    <w:rsid w:val="00FE030D"/>
    <w:rsid w:val="00FE1DBB"/>
    <w:rsid w:val="00FE2AA5"/>
    <w:rsid w:val="00FE6299"/>
    <w:rsid w:val="00FE68D3"/>
    <w:rsid w:val="00FF4290"/>
    <w:rsid w:val="1755760B"/>
    <w:rsid w:val="2F85199F"/>
    <w:rsid w:val="36033569"/>
    <w:rsid w:val="379F0DE7"/>
    <w:rsid w:val="454A2F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99"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200" w:firstLineChars="200"/>
      <w:jc w:val="both"/>
    </w:pPr>
    <w:rPr>
      <w:rFonts w:ascii="Times New Roman" w:hAnsi="Times New Roman" w:eastAsia="仿宋" w:cstheme="minorBidi"/>
      <w:kern w:val="2"/>
      <w:sz w:val="24"/>
      <w:szCs w:val="22"/>
      <w:lang w:val="en-US" w:eastAsia="zh-CN" w:bidi="ar-SA"/>
    </w:rPr>
  </w:style>
  <w:style w:type="paragraph" w:styleId="2">
    <w:name w:val="heading 1"/>
    <w:basedOn w:val="1"/>
    <w:next w:val="1"/>
    <w:link w:val="28"/>
    <w:qFormat/>
    <w:uiPriority w:val="0"/>
    <w:pPr>
      <w:keepNext/>
      <w:keepLines/>
      <w:numPr>
        <w:ilvl w:val="0"/>
        <w:numId w:val="1"/>
      </w:numPr>
      <w:ind w:left="567" w:hanging="567" w:firstLineChars="0"/>
      <w:jc w:val="center"/>
      <w:outlineLvl w:val="0"/>
    </w:pPr>
    <w:rPr>
      <w:b/>
      <w:bCs/>
      <w:kern w:val="44"/>
      <w:sz w:val="44"/>
      <w:szCs w:val="44"/>
    </w:rPr>
  </w:style>
  <w:style w:type="paragraph" w:styleId="3">
    <w:name w:val="heading 2"/>
    <w:basedOn w:val="1"/>
    <w:next w:val="1"/>
    <w:link w:val="29"/>
    <w:unhideWhenUsed/>
    <w:qFormat/>
    <w:uiPriority w:val="0"/>
    <w:pPr>
      <w:numPr>
        <w:ilvl w:val="1"/>
        <w:numId w:val="1"/>
      </w:numPr>
      <w:ind w:left="100" w:hanging="100" w:hangingChars="100"/>
      <w:outlineLvl w:val="1"/>
    </w:pPr>
    <w:rPr>
      <w:rFonts w:cstheme="majorBidi"/>
      <w:b/>
      <w:bCs/>
      <w:sz w:val="30"/>
      <w:szCs w:val="24"/>
    </w:rPr>
  </w:style>
  <w:style w:type="paragraph" w:styleId="4">
    <w:name w:val="heading 3"/>
    <w:basedOn w:val="1"/>
    <w:next w:val="1"/>
    <w:link w:val="30"/>
    <w:unhideWhenUsed/>
    <w:qFormat/>
    <w:uiPriority w:val="0"/>
    <w:pPr>
      <w:numPr>
        <w:ilvl w:val="2"/>
        <w:numId w:val="1"/>
      </w:numPr>
      <w:ind w:left="100" w:leftChars="100" w:firstLine="0" w:firstLineChars="0"/>
      <w:jc w:val="left"/>
      <w:outlineLvl w:val="2"/>
    </w:pPr>
    <w:rPr>
      <w:b/>
      <w:bCs/>
      <w:sz w:val="28"/>
      <w:szCs w:val="32"/>
    </w:rPr>
  </w:style>
  <w:style w:type="paragraph" w:styleId="5">
    <w:name w:val="heading 4"/>
    <w:basedOn w:val="1"/>
    <w:next w:val="1"/>
    <w:link w:val="31"/>
    <w:unhideWhenUsed/>
    <w:qFormat/>
    <w:uiPriority w:val="0"/>
    <w:pPr>
      <w:keepNext/>
      <w:keepLines/>
      <w:numPr>
        <w:ilvl w:val="3"/>
        <w:numId w:val="1"/>
      </w:numPr>
      <w:ind w:firstLine="0" w:firstLineChars="0"/>
      <w:jc w:val="left"/>
      <w:outlineLvl w:val="3"/>
    </w:pPr>
    <w:rPr>
      <w:rFonts w:asciiTheme="majorHAnsi" w:hAnsiTheme="majorHAnsi" w:cstheme="majorBidi"/>
      <w:b/>
      <w:bCs/>
      <w:szCs w:val="28"/>
    </w:rPr>
  </w:style>
  <w:style w:type="paragraph" w:styleId="6">
    <w:name w:val="heading 5"/>
    <w:basedOn w:val="1"/>
    <w:next w:val="1"/>
    <w:link w:val="32"/>
    <w:semiHidden/>
    <w:unhideWhenUsed/>
    <w:qFormat/>
    <w:uiPriority w:val="9"/>
    <w:pPr>
      <w:keepNext/>
      <w:keepLines/>
      <w:numPr>
        <w:ilvl w:val="4"/>
        <w:numId w:val="1"/>
      </w:numPr>
      <w:spacing w:before="280" w:after="290" w:line="376" w:lineRule="auto"/>
      <w:ind w:firstLine="0" w:firstLineChars="0"/>
      <w:outlineLvl w:val="4"/>
    </w:pPr>
    <w:rPr>
      <w:b/>
      <w:bCs/>
      <w:sz w:val="28"/>
      <w:szCs w:val="28"/>
    </w:rPr>
  </w:style>
  <w:style w:type="paragraph" w:styleId="7">
    <w:name w:val="heading 6"/>
    <w:basedOn w:val="1"/>
    <w:next w:val="1"/>
    <w:link w:val="33"/>
    <w:semiHidden/>
    <w:unhideWhenUsed/>
    <w:qFormat/>
    <w:uiPriority w:val="9"/>
    <w:pPr>
      <w:keepNext/>
      <w:keepLines/>
      <w:numPr>
        <w:ilvl w:val="5"/>
        <w:numId w:val="1"/>
      </w:numPr>
      <w:spacing w:before="240" w:after="64" w:line="320" w:lineRule="auto"/>
      <w:ind w:firstLine="0" w:firstLineChars="0"/>
      <w:outlineLvl w:val="5"/>
    </w:pPr>
    <w:rPr>
      <w:rFonts w:asciiTheme="majorHAnsi" w:hAnsiTheme="majorHAnsi" w:eastAsiaTheme="majorEastAsia" w:cstheme="majorBidi"/>
      <w:b/>
      <w:bCs/>
      <w:szCs w:val="24"/>
    </w:rPr>
  </w:style>
  <w:style w:type="paragraph" w:styleId="8">
    <w:name w:val="heading 7"/>
    <w:basedOn w:val="1"/>
    <w:next w:val="1"/>
    <w:link w:val="34"/>
    <w:semiHidden/>
    <w:unhideWhenUsed/>
    <w:qFormat/>
    <w:uiPriority w:val="9"/>
    <w:pPr>
      <w:keepNext/>
      <w:keepLines/>
      <w:numPr>
        <w:ilvl w:val="6"/>
        <w:numId w:val="1"/>
      </w:numPr>
      <w:spacing w:before="240" w:after="64" w:line="320" w:lineRule="auto"/>
      <w:ind w:firstLine="0" w:firstLineChars="0"/>
      <w:outlineLvl w:val="6"/>
    </w:pPr>
    <w:rPr>
      <w:b/>
      <w:bCs/>
      <w:szCs w:val="24"/>
    </w:rPr>
  </w:style>
  <w:style w:type="paragraph" w:styleId="9">
    <w:name w:val="heading 8"/>
    <w:basedOn w:val="1"/>
    <w:next w:val="1"/>
    <w:link w:val="35"/>
    <w:semiHidden/>
    <w:unhideWhenUsed/>
    <w:qFormat/>
    <w:uiPriority w:val="9"/>
    <w:pPr>
      <w:keepNext/>
      <w:keepLines/>
      <w:numPr>
        <w:ilvl w:val="7"/>
        <w:numId w:val="1"/>
      </w:numPr>
      <w:spacing w:before="240" w:after="64" w:line="320" w:lineRule="auto"/>
      <w:ind w:firstLine="0" w:firstLineChars="0"/>
      <w:outlineLvl w:val="7"/>
    </w:pPr>
    <w:rPr>
      <w:rFonts w:asciiTheme="majorHAnsi" w:hAnsiTheme="majorHAnsi" w:eastAsiaTheme="majorEastAsia" w:cstheme="majorBidi"/>
      <w:szCs w:val="24"/>
    </w:rPr>
  </w:style>
  <w:style w:type="paragraph" w:styleId="10">
    <w:name w:val="heading 9"/>
    <w:basedOn w:val="1"/>
    <w:next w:val="1"/>
    <w:link w:val="36"/>
    <w:semiHidden/>
    <w:unhideWhenUsed/>
    <w:qFormat/>
    <w:uiPriority w:val="9"/>
    <w:pPr>
      <w:keepNext/>
      <w:keepLines/>
      <w:numPr>
        <w:ilvl w:val="8"/>
        <w:numId w:val="1"/>
      </w:numPr>
      <w:spacing w:before="240" w:after="64" w:line="320" w:lineRule="auto"/>
      <w:ind w:firstLine="0" w:firstLineChars="0"/>
      <w:outlineLvl w:val="8"/>
    </w:pPr>
    <w:rPr>
      <w:rFonts w:asciiTheme="majorHAnsi" w:hAnsiTheme="majorHAnsi" w:eastAsiaTheme="majorEastAsia" w:cstheme="majorBidi"/>
      <w:sz w:val="21"/>
      <w:szCs w:val="21"/>
    </w:rPr>
  </w:style>
  <w:style w:type="character" w:default="1" w:styleId="26">
    <w:name w:val="Default Paragraph Font"/>
    <w:semiHidden/>
    <w:unhideWhenUsed/>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11">
    <w:name w:val="caption"/>
    <w:basedOn w:val="1"/>
    <w:next w:val="1"/>
    <w:unhideWhenUsed/>
    <w:qFormat/>
    <w:uiPriority w:val="35"/>
    <w:rPr>
      <w:rFonts w:eastAsia="黑体" w:asciiTheme="majorHAnsi" w:hAnsiTheme="majorHAnsi" w:cstheme="majorBidi"/>
      <w:sz w:val="20"/>
      <w:szCs w:val="20"/>
    </w:rPr>
  </w:style>
  <w:style w:type="paragraph" w:styleId="12">
    <w:name w:val="annotation text"/>
    <w:basedOn w:val="1"/>
    <w:link w:val="60"/>
    <w:semiHidden/>
    <w:unhideWhenUsed/>
    <w:uiPriority w:val="99"/>
    <w:pPr>
      <w:jc w:val="left"/>
    </w:pPr>
    <w:rPr>
      <w:rFonts w:cs="Times New Roman"/>
    </w:rPr>
  </w:style>
  <w:style w:type="paragraph" w:styleId="13">
    <w:name w:val="Body Text"/>
    <w:basedOn w:val="1"/>
    <w:link w:val="42"/>
    <w:qFormat/>
    <w:uiPriority w:val="99"/>
    <w:pPr>
      <w:adjustRightInd/>
      <w:snapToGrid/>
      <w:spacing w:after="120"/>
      <w:ind w:firstLine="420"/>
    </w:pPr>
    <w:rPr>
      <w:rFonts w:ascii="Calibri" w:hAnsi="Calibri" w:eastAsia="宋体"/>
    </w:rPr>
  </w:style>
  <w:style w:type="paragraph" w:styleId="14">
    <w:name w:val="Body Text Indent"/>
    <w:basedOn w:val="1"/>
    <w:link w:val="64"/>
    <w:semiHidden/>
    <w:unhideWhenUsed/>
    <w:qFormat/>
    <w:uiPriority w:val="99"/>
    <w:pPr>
      <w:spacing w:after="120"/>
      <w:ind w:left="420" w:leftChars="200"/>
    </w:pPr>
  </w:style>
  <w:style w:type="paragraph" w:styleId="15">
    <w:name w:val="toc 3"/>
    <w:basedOn w:val="1"/>
    <w:next w:val="1"/>
    <w:unhideWhenUsed/>
    <w:qFormat/>
    <w:uiPriority w:val="39"/>
    <w:pPr>
      <w:tabs>
        <w:tab w:val="left" w:pos="2070"/>
        <w:tab w:val="right" w:leader="dot" w:pos="8296"/>
      </w:tabs>
      <w:ind w:left="960" w:leftChars="400" w:firstLine="480"/>
      <w:jc w:val="left"/>
    </w:pPr>
  </w:style>
  <w:style w:type="paragraph" w:styleId="16">
    <w:name w:val="Date"/>
    <w:basedOn w:val="1"/>
    <w:next w:val="1"/>
    <w:link w:val="39"/>
    <w:semiHidden/>
    <w:unhideWhenUsed/>
    <w:uiPriority w:val="99"/>
    <w:pPr>
      <w:ind w:left="100" w:leftChars="2500"/>
    </w:pPr>
  </w:style>
  <w:style w:type="paragraph" w:styleId="17">
    <w:name w:val="Body Text Indent 2"/>
    <w:basedOn w:val="1"/>
    <w:link w:val="47"/>
    <w:semiHidden/>
    <w:unhideWhenUsed/>
    <w:qFormat/>
    <w:uiPriority w:val="99"/>
    <w:pPr>
      <w:spacing w:after="120" w:line="480" w:lineRule="auto"/>
      <w:ind w:left="420" w:leftChars="200"/>
    </w:pPr>
  </w:style>
  <w:style w:type="paragraph" w:styleId="18">
    <w:name w:val="Balloon Text"/>
    <w:basedOn w:val="1"/>
    <w:link w:val="53"/>
    <w:semiHidden/>
    <w:unhideWhenUsed/>
    <w:qFormat/>
    <w:uiPriority w:val="99"/>
    <w:pPr>
      <w:spacing w:line="240" w:lineRule="auto"/>
    </w:pPr>
    <w:rPr>
      <w:sz w:val="18"/>
      <w:szCs w:val="18"/>
    </w:rPr>
  </w:style>
  <w:style w:type="paragraph" w:styleId="19">
    <w:name w:val="footer"/>
    <w:basedOn w:val="1"/>
    <w:link w:val="38"/>
    <w:unhideWhenUsed/>
    <w:qFormat/>
    <w:uiPriority w:val="99"/>
    <w:pPr>
      <w:tabs>
        <w:tab w:val="center" w:pos="4153"/>
        <w:tab w:val="right" w:pos="8306"/>
      </w:tabs>
      <w:jc w:val="left"/>
    </w:pPr>
    <w:rPr>
      <w:sz w:val="18"/>
      <w:szCs w:val="18"/>
    </w:rPr>
  </w:style>
  <w:style w:type="paragraph" w:styleId="20">
    <w:name w:val="header"/>
    <w:basedOn w:val="1"/>
    <w:link w:val="37"/>
    <w:unhideWhenUsed/>
    <w:qFormat/>
    <w:uiPriority w:val="99"/>
    <w:pPr>
      <w:pBdr>
        <w:bottom w:val="single" w:color="auto" w:sz="6" w:space="1"/>
      </w:pBdr>
      <w:tabs>
        <w:tab w:val="center" w:pos="4153"/>
        <w:tab w:val="right" w:pos="8306"/>
      </w:tabs>
      <w:jc w:val="center"/>
    </w:pPr>
    <w:rPr>
      <w:sz w:val="18"/>
      <w:szCs w:val="18"/>
    </w:rPr>
  </w:style>
  <w:style w:type="paragraph" w:styleId="21">
    <w:name w:val="toc 1"/>
    <w:basedOn w:val="1"/>
    <w:next w:val="1"/>
    <w:unhideWhenUsed/>
    <w:qFormat/>
    <w:uiPriority w:val="39"/>
    <w:pPr>
      <w:tabs>
        <w:tab w:val="right" w:leader="dot" w:pos="8296"/>
      </w:tabs>
      <w:ind w:firstLine="562"/>
      <w:jc w:val="center"/>
    </w:pPr>
    <w:rPr>
      <w:b/>
      <w:sz w:val="28"/>
      <w:szCs w:val="28"/>
    </w:rPr>
  </w:style>
  <w:style w:type="paragraph" w:styleId="22">
    <w:name w:val="toc 2"/>
    <w:basedOn w:val="1"/>
    <w:next w:val="1"/>
    <w:unhideWhenUsed/>
    <w:qFormat/>
    <w:uiPriority w:val="39"/>
    <w:pPr>
      <w:ind w:left="420" w:leftChars="200"/>
    </w:pPr>
  </w:style>
  <w:style w:type="paragraph" w:styleId="23">
    <w:name w:val="Title"/>
    <w:basedOn w:val="1"/>
    <w:next w:val="1"/>
    <w:link w:val="40"/>
    <w:qFormat/>
    <w:uiPriority w:val="10"/>
    <w:pPr>
      <w:ind w:left="432" w:firstLine="0" w:firstLineChars="0"/>
      <w:jc w:val="center"/>
      <w:outlineLvl w:val="0"/>
    </w:pPr>
    <w:rPr>
      <w:rFonts w:eastAsia="华文楷体" w:cstheme="majorBidi"/>
      <w:b/>
      <w:bCs/>
      <w:sz w:val="72"/>
      <w:szCs w:val="72"/>
    </w:rPr>
  </w:style>
  <w:style w:type="table" w:styleId="25">
    <w:name w:val="Table Grid"/>
    <w:basedOn w:val="24"/>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Hyperlink"/>
    <w:basedOn w:val="26"/>
    <w:unhideWhenUsed/>
    <w:qFormat/>
    <w:uiPriority w:val="99"/>
    <w:rPr>
      <w:color w:val="0563C1" w:themeColor="hyperlink"/>
      <w:u w:val="single"/>
      <w14:textFill>
        <w14:solidFill>
          <w14:schemeClr w14:val="hlink"/>
        </w14:solidFill>
      </w14:textFill>
    </w:rPr>
  </w:style>
  <w:style w:type="character" w:customStyle="1" w:styleId="28">
    <w:name w:val="标题 1 字符"/>
    <w:basedOn w:val="26"/>
    <w:link w:val="2"/>
    <w:qFormat/>
    <w:uiPriority w:val="0"/>
    <w:rPr>
      <w:rFonts w:ascii="Times New Roman" w:hAnsi="Times New Roman" w:eastAsia="仿宋"/>
      <w:b/>
      <w:bCs/>
      <w:kern w:val="44"/>
      <w:sz w:val="44"/>
      <w:szCs w:val="44"/>
    </w:rPr>
  </w:style>
  <w:style w:type="character" w:customStyle="1" w:styleId="29">
    <w:name w:val="标题 2 字符"/>
    <w:basedOn w:val="26"/>
    <w:link w:val="3"/>
    <w:qFormat/>
    <w:uiPriority w:val="0"/>
    <w:rPr>
      <w:rFonts w:ascii="Times New Roman" w:hAnsi="Times New Roman" w:eastAsia="仿宋" w:cstheme="majorBidi"/>
      <w:b/>
      <w:bCs/>
      <w:sz w:val="30"/>
      <w:szCs w:val="24"/>
    </w:rPr>
  </w:style>
  <w:style w:type="character" w:customStyle="1" w:styleId="30">
    <w:name w:val="标题 3 字符"/>
    <w:basedOn w:val="26"/>
    <w:link w:val="4"/>
    <w:qFormat/>
    <w:uiPriority w:val="0"/>
    <w:rPr>
      <w:rFonts w:ascii="Times New Roman" w:hAnsi="Times New Roman" w:eastAsia="仿宋"/>
      <w:b/>
      <w:bCs/>
      <w:sz w:val="28"/>
      <w:szCs w:val="32"/>
    </w:rPr>
  </w:style>
  <w:style w:type="character" w:customStyle="1" w:styleId="31">
    <w:name w:val="标题 4 字符"/>
    <w:basedOn w:val="26"/>
    <w:link w:val="5"/>
    <w:qFormat/>
    <w:uiPriority w:val="9"/>
    <w:rPr>
      <w:rFonts w:eastAsia="仿宋" w:asciiTheme="majorHAnsi" w:hAnsiTheme="majorHAnsi" w:cstheme="majorBidi"/>
      <w:b/>
      <w:bCs/>
      <w:sz w:val="24"/>
      <w:szCs w:val="28"/>
    </w:rPr>
  </w:style>
  <w:style w:type="character" w:customStyle="1" w:styleId="32">
    <w:name w:val="标题 5 字符"/>
    <w:basedOn w:val="26"/>
    <w:link w:val="6"/>
    <w:semiHidden/>
    <w:qFormat/>
    <w:uiPriority w:val="9"/>
    <w:rPr>
      <w:rFonts w:ascii="Times New Roman" w:hAnsi="Times New Roman" w:eastAsia="仿宋"/>
      <w:b/>
      <w:bCs/>
      <w:sz w:val="28"/>
      <w:szCs w:val="28"/>
    </w:rPr>
  </w:style>
  <w:style w:type="character" w:customStyle="1" w:styleId="33">
    <w:name w:val="标题 6 字符"/>
    <w:basedOn w:val="26"/>
    <w:link w:val="7"/>
    <w:semiHidden/>
    <w:qFormat/>
    <w:uiPriority w:val="9"/>
    <w:rPr>
      <w:rFonts w:asciiTheme="majorHAnsi" w:hAnsiTheme="majorHAnsi" w:eastAsiaTheme="majorEastAsia" w:cstheme="majorBidi"/>
      <w:b/>
      <w:bCs/>
      <w:sz w:val="24"/>
      <w:szCs w:val="24"/>
    </w:rPr>
  </w:style>
  <w:style w:type="character" w:customStyle="1" w:styleId="34">
    <w:name w:val="标题 7 字符"/>
    <w:basedOn w:val="26"/>
    <w:link w:val="8"/>
    <w:semiHidden/>
    <w:qFormat/>
    <w:uiPriority w:val="9"/>
    <w:rPr>
      <w:rFonts w:ascii="Times New Roman" w:hAnsi="Times New Roman" w:eastAsia="仿宋"/>
      <w:b/>
      <w:bCs/>
      <w:sz w:val="24"/>
      <w:szCs w:val="24"/>
    </w:rPr>
  </w:style>
  <w:style w:type="character" w:customStyle="1" w:styleId="35">
    <w:name w:val="标题 8 字符"/>
    <w:basedOn w:val="26"/>
    <w:link w:val="9"/>
    <w:semiHidden/>
    <w:uiPriority w:val="9"/>
    <w:rPr>
      <w:rFonts w:asciiTheme="majorHAnsi" w:hAnsiTheme="majorHAnsi" w:eastAsiaTheme="majorEastAsia" w:cstheme="majorBidi"/>
      <w:sz w:val="24"/>
      <w:szCs w:val="24"/>
    </w:rPr>
  </w:style>
  <w:style w:type="character" w:customStyle="1" w:styleId="36">
    <w:name w:val="标题 9 字符"/>
    <w:basedOn w:val="26"/>
    <w:link w:val="10"/>
    <w:semiHidden/>
    <w:qFormat/>
    <w:uiPriority w:val="9"/>
    <w:rPr>
      <w:rFonts w:asciiTheme="majorHAnsi" w:hAnsiTheme="majorHAnsi" w:eastAsiaTheme="majorEastAsia" w:cstheme="majorBidi"/>
      <w:szCs w:val="21"/>
    </w:rPr>
  </w:style>
  <w:style w:type="character" w:customStyle="1" w:styleId="37">
    <w:name w:val="页眉 字符"/>
    <w:basedOn w:val="26"/>
    <w:link w:val="20"/>
    <w:qFormat/>
    <w:uiPriority w:val="99"/>
    <w:rPr>
      <w:sz w:val="18"/>
      <w:szCs w:val="18"/>
    </w:rPr>
  </w:style>
  <w:style w:type="character" w:customStyle="1" w:styleId="38">
    <w:name w:val="页脚 字符"/>
    <w:basedOn w:val="26"/>
    <w:link w:val="19"/>
    <w:qFormat/>
    <w:uiPriority w:val="99"/>
    <w:rPr>
      <w:sz w:val="18"/>
      <w:szCs w:val="18"/>
    </w:rPr>
  </w:style>
  <w:style w:type="character" w:customStyle="1" w:styleId="39">
    <w:name w:val="日期 字符"/>
    <w:basedOn w:val="26"/>
    <w:link w:val="16"/>
    <w:semiHidden/>
    <w:qFormat/>
    <w:uiPriority w:val="99"/>
  </w:style>
  <w:style w:type="character" w:customStyle="1" w:styleId="40">
    <w:name w:val="标题 字符"/>
    <w:basedOn w:val="26"/>
    <w:link w:val="23"/>
    <w:qFormat/>
    <w:uiPriority w:val="10"/>
    <w:rPr>
      <w:rFonts w:ascii="Times New Roman" w:hAnsi="Times New Roman" w:eastAsia="华文楷体" w:cstheme="majorBidi"/>
      <w:b/>
      <w:bCs/>
      <w:sz w:val="72"/>
      <w:szCs w:val="72"/>
    </w:rPr>
  </w:style>
  <w:style w:type="paragraph" w:customStyle="1" w:styleId="41">
    <w:name w:val="TOC Heading"/>
    <w:basedOn w:val="2"/>
    <w:next w:val="1"/>
    <w:unhideWhenUsed/>
    <w:qFormat/>
    <w:uiPriority w:val="39"/>
    <w:pPr>
      <w:widowControl/>
      <w:adjustRightInd/>
      <w:snapToGrid/>
      <w:spacing w:before="24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42">
    <w:name w:val="正文文本 字符"/>
    <w:basedOn w:val="26"/>
    <w:link w:val="13"/>
    <w:qFormat/>
    <w:uiPriority w:val="99"/>
    <w:rPr>
      <w:rFonts w:ascii="Calibri" w:hAnsi="Calibri" w:eastAsia="宋体"/>
      <w:sz w:val="24"/>
    </w:rPr>
  </w:style>
  <w:style w:type="paragraph" w:customStyle="1" w:styleId="43">
    <w:name w:val="表内文字"/>
    <w:basedOn w:val="1"/>
    <w:qFormat/>
    <w:uiPriority w:val="0"/>
    <w:pPr>
      <w:spacing w:line="240" w:lineRule="auto"/>
      <w:ind w:firstLine="0" w:firstLineChars="0"/>
      <w:jc w:val="center"/>
      <w:textAlignment w:val="center"/>
    </w:pPr>
    <w:rPr>
      <w:rFonts w:cs="Times New Roman"/>
      <w:snapToGrid w:val="0"/>
      <w:kern w:val="0"/>
      <w:sz w:val="21"/>
      <w:szCs w:val="20"/>
    </w:rPr>
  </w:style>
  <w:style w:type="paragraph" w:customStyle="1" w:styleId="44">
    <w:name w:val="Default"/>
    <w:qFormat/>
    <w:uiPriority w:val="0"/>
    <w:pPr>
      <w:widowControl w:val="0"/>
      <w:autoSpaceDE w:val="0"/>
      <w:autoSpaceDN w:val="0"/>
      <w:adjustRightInd w:val="0"/>
    </w:pPr>
    <w:rPr>
      <w:rFonts w:ascii="Times New Roman" w:hAnsi="Times New Roman" w:cs="Times New Roman" w:eastAsiaTheme="minorEastAsia"/>
      <w:color w:val="000000"/>
      <w:kern w:val="0"/>
      <w:sz w:val="24"/>
      <w:szCs w:val="24"/>
      <w:lang w:val="en-US" w:eastAsia="zh-CN" w:bidi="ar-SA"/>
    </w:rPr>
  </w:style>
  <w:style w:type="character" w:styleId="45">
    <w:name w:val="Placeholder Text"/>
    <w:basedOn w:val="26"/>
    <w:semiHidden/>
    <w:qFormat/>
    <w:uiPriority w:val="99"/>
    <w:rPr>
      <w:color w:val="808080"/>
    </w:rPr>
  </w:style>
  <w:style w:type="paragraph" w:styleId="46">
    <w:name w:val="List Paragraph"/>
    <w:basedOn w:val="1"/>
    <w:qFormat/>
    <w:uiPriority w:val="34"/>
    <w:pPr>
      <w:ind w:firstLine="420"/>
    </w:pPr>
  </w:style>
  <w:style w:type="character" w:customStyle="1" w:styleId="47">
    <w:name w:val="正文文本缩进 2 字符"/>
    <w:basedOn w:val="26"/>
    <w:link w:val="17"/>
    <w:semiHidden/>
    <w:qFormat/>
    <w:uiPriority w:val="99"/>
    <w:rPr>
      <w:rFonts w:ascii="Times New Roman" w:hAnsi="Times New Roman" w:eastAsia="仿宋"/>
      <w:sz w:val="24"/>
    </w:rPr>
  </w:style>
  <w:style w:type="character" w:customStyle="1" w:styleId="48">
    <w:name w:val="页脚 Char"/>
    <w:link w:val="49"/>
    <w:qFormat/>
    <w:uiPriority w:val="0"/>
    <w:rPr>
      <w:rFonts w:ascii="Calibri" w:hAnsi="Calibri"/>
      <w:sz w:val="18"/>
      <w:szCs w:val="18"/>
    </w:rPr>
  </w:style>
  <w:style w:type="paragraph" w:customStyle="1" w:styleId="49">
    <w:name w:val="页脚1"/>
    <w:basedOn w:val="1"/>
    <w:link w:val="48"/>
    <w:qFormat/>
    <w:uiPriority w:val="0"/>
    <w:pPr>
      <w:tabs>
        <w:tab w:val="center" w:pos="4153"/>
        <w:tab w:val="right" w:pos="8306"/>
      </w:tabs>
      <w:adjustRightInd/>
      <w:spacing w:line="400" w:lineRule="exact"/>
      <w:jc w:val="left"/>
    </w:pPr>
    <w:rPr>
      <w:rFonts w:ascii="Calibri" w:hAnsi="Calibri" w:eastAsiaTheme="minorEastAsia"/>
      <w:sz w:val="18"/>
      <w:szCs w:val="18"/>
    </w:rPr>
  </w:style>
  <w:style w:type="paragraph" w:customStyle="1" w:styleId="50">
    <w:name w:val="中文段落（P）"/>
    <w:basedOn w:val="13"/>
    <w:link w:val="51"/>
    <w:qFormat/>
    <w:uiPriority w:val="0"/>
    <w:pPr>
      <w:tabs>
        <w:tab w:val="left" w:pos="420"/>
      </w:tabs>
      <w:spacing w:after="0" w:line="560" w:lineRule="exact"/>
      <w:ind w:firstLine="560"/>
    </w:pPr>
    <w:rPr>
      <w:rFonts w:ascii="Times New Roman" w:hAnsi="Times New Roman" w:cs="Arial Unicode MS"/>
      <w:kern w:val="0"/>
      <w:szCs w:val="28"/>
    </w:rPr>
  </w:style>
  <w:style w:type="character" w:customStyle="1" w:styleId="51">
    <w:name w:val="中文段落（P） 字符"/>
    <w:link w:val="50"/>
    <w:qFormat/>
    <w:uiPriority w:val="0"/>
    <w:rPr>
      <w:rFonts w:ascii="Times New Roman" w:hAnsi="Times New Roman" w:eastAsia="宋体" w:cs="Arial Unicode MS"/>
      <w:kern w:val="0"/>
      <w:sz w:val="24"/>
      <w:szCs w:val="28"/>
    </w:rPr>
  </w:style>
  <w:style w:type="paragraph" w:customStyle="1" w:styleId="52">
    <w:name w:val="页眉右-A4竖向"/>
    <w:basedOn w:val="20"/>
    <w:qFormat/>
    <w:uiPriority w:val="0"/>
    <w:pPr>
      <w:pBdr>
        <w:bottom w:val="none" w:color="auto" w:sz="0" w:space="0"/>
      </w:pBdr>
      <w:tabs>
        <w:tab w:val="right" w:pos="8400"/>
        <w:tab w:val="clear" w:pos="4153"/>
        <w:tab w:val="clear" w:pos="8306"/>
      </w:tabs>
      <w:adjustRightInd/>
      <w:spacing w:line="560" w:lineRule="exact"/>
      <w:ind w:firstLine="0" w:firstLineChars="0"/>
      <w:textAlignment w:val="bottom"/>
    </w:pPr>
    <w:rPr>
      <w:rFonts w:eastAsia="宋体" w:cs="Times New Roman"/>
      <w:kern w:val="0"/>
    </w:rPr>
  </w:style>
  <w:style w:type="character" w:customStyle="1" w:styleId="53">
    <w:name w:val="批注框文本 字符"/>
    <w:basedOn w:val="26"/>
    <w:link w:val="18"/>
    <w:semiHidden/>
    <w:qFormat/>
    <w:uiPriority w:val="99"/>
    <w:rPr>
      <w:rFonts w:ascii="Times New Roman" w:hAnsi="Times New Roman" w:eastAsia="仿宋"/>
      <w:sz w:val="18"/>
      <w:szCs w:val="18"/>
    </w:rPr>
  </w:style>
  <w:style w:type="paragraph" w:customStyle="1" w:styleId="54">
    <w:name w:val="表格五号"/>
    <w:qFormat/>
    <w:uiPriority w:val="0"/>
    <w:pPr>
      <w:spacing w:line="280" w:lineRule="exact"/>
      <w:contextualSpacing/>
      <w:jc w:val="center"/>
    </w:pPr>
    <w:rPr>
      <w:rFonts w:ascii="Times New Roman" w:hAnsi="Times New Roman" w:cs="Times New Roman" w:eastAsiaTheme="minorEastAsia"/>
      <w:kern w:val="0"/>
      <w:sz w:val="21"/>
      <w:szCs w:val="24"/>
      <w:lang w:val="en-US" w:eastAsia="zh-CN" w:bidi="ar-SA"/>
    </w:rPr>
  </w:style>
  <w:style w:type="paragraph" w:customStyle="1" w:styleId="55">
    <w:name w:val="5级编号序列"/>
    <w:basedOn w:val="6"/>
    <w:next w:val="50"/>
    <w:qFormat/>
    <w:uiPriority w:val="0"/>
    <w:pPr>
      <w:tabs>
        <w:tab w:val="left" w:pos="210"/>
        <w:tab w:val="left" w:pos="420"/>
        <w:tab w:val="left" w:pos="630"/>
        <w:tab w:val="left" w:pos="840"/>
        <w:tab w:val="left" w:pos="1050"/>
      </w:tabs>
      <w:spacing w:before="0" w:after="0" w:line="560" w:lineRule="exact"/>
      <w:jc w:val="left"/>
      <w:outlineLvl w:val="9"/>
    </w:pPr>
    <w:rPr>
      <w:rFonts w:cs="Times New Roman" w:eastAsiaTheme="minorEastAsia"/>
      <w:b w:val="0"/>
      <w:kern w:val="0"/>
    </w:rPr>
  </w:style>
  <w:style w:type="paragraph" w:customStyle="1" w:styleId="56">
    <w:name w:val="6级编号序列"/>
    <w:basedOn w:val="7"/>
    <w:next w:val="50"/>
    <w:qFormat/>
    <w:uiPriority w:val="0"/>
    <w:pPr>
      <w:tabs>
        <w:tab w:val="left" w:pos="210"/>
        <w:tab w:val="left" w:pos="420"/>
        <w:tab w:val="left" w:pos="630"/>
        <w:tab w:val="left" w:pos="840"/>
        <w:tab w:val="left" w:pos="1050"/>
        <w:tab w:val="left" w:pos="1260"/>
        <w:tab w:val="left" w:pos="1470"/>
        <w:tab w:val="left" w:pos="1680"/>
        <w:tab w:val="left" w:pos="1890"/>
        <w:tab w:val="left" w:pos="2100"/>
      </w:tabs>
      <w:adjustRightInd/>
      <w:snapToGrid/>
      <w:spacing w:before="0" w:after="0" w:line="560" w:lineRule="exact"/>
      <w:outlineLvl w:val="9"/>
    </w:pPr>
    <w:rPr>
      <w:rFonts w:ascii="楷体_GB2312" w:hAnsi="楷体_GB2312" w:eastAsia="楷体_GB2312" w:cs="黑体"/>
      <w:b w:val="0"/>
      <w:kern w:val="0"/>
      <w:sz w:val="28"/>
    </w:rPr>
  </w:style>
  <w:style w:type="paragraph" w:customStyle="1" w:styleId="57">
    <w:name w:val="图名（I）"/>
    <w:basedOn w:val="11"/>
    <w:next w:val="50"/>
    <w:qFormat/>
    <w:uiPriority w:val="0"/>
    <w:pPr>
      <w:tabs>
        <w:tab w:val="center" w:pos="4515"/>
        <w:tab w:val="right" w:pos="8925"/>
      </w:tabs>
      <w:adjustRightInd/>
      <w:snapToGrid/>
      <w:spacing w:after="120" w:line="240" w:lineRule="auto"/>
      <w:ind w:firstLine="0" w:firstLineChars="0"/>
      <w:jc w:val="center"/>
    </w:pPr>
    <w:rPr>
      <w:rFonts w:ascii="Times New Roman" w:hAnsi="Times New Roman" w:eastAsia="仿宋" w:cs="Arial"/>
      <w:b/>
      <w:kern w:val="0"/>
      <w:sz w:val="24"/>
    </w:rPr>
  </w:style>
  <w:style w:type="paragraph" w:customStyle="1" w:styleId="58">
    <w:name w:val="表名（B)"/>
    <w:basedOn w:val="11"/>
    <w:next w:val="1"/>
    <w:qFormat/>
    <w:uiPriority w:val="0"/>
    <w:pPr>
      <w:keepNext/>
      <w:tabs>
        <w:tab w:val="center" w:pos="4515"/>
        <w:tab w:val="right" w:pos="8925"/>
      </w:tabs>
      <w:adjustRightInd/>
      <w:ind w:firstLine="0" w:firstLineChars="0"/>
      <w:jc w:val="center"/>
    </w:pPr>
    <w:rPr>
      <w:rFonts w:ascii="Times New Roman" w:hAnsi="Times New Roman" w:eastAsia="仿宋" w:cs="Times New Roman"/>
      <w:b/>
      <w:color w:val="000000" w:themeColor="text1"/>
      <w:kern w:val="0"/>
      <w:sz w:val="24"/>
      <w:szCs w:val="21"/>
      <w14:textFill>
        <w14:solidFill>
          <w14:schemeClr w14:val="tx1"/>
        </w14:solidFill>
      </w14:textFill>
    </w:rPr>
  </w:style>
  <w:style w:type="paragraph" w:customStyle="1" w:styleId="59">
    <w:name w:val="7级编号序列"/>
    <w:basedOn w:val="8"/>
    <w:qFormat/>
    <w:uiPriority w:val="0"/>
    <w:pPr>
      <w:adjustRightInd/>
      <w:snapToGrid/>
      <w:spacing w:before="0" w:after="0" w:line="560" w:lineRule="exact"/>
    </w:pPr>
    <w:rPr>
      <w:rFonts w:eastAsia="仿宋_GB2312" w:cs="Times New Roman"/>
      <w:b w:val="0"/>
      <w:kern w:val="0"/>
      <w:sz w:val="28"/>
    </w:rPr>
  </w:style>
  <w:style w:type="character" w:customStyle="1" w:styleId="60">
    <w:name w:val="批注文字 字符1"/>
    <w:basedOn w:val="26"/>
    <w:link w:val="12"/>
    <w:semiHidden/>
    <w:qFormat/>
    <w:uiPriority w:val="99"/>
    <w:rPr>
      <w:rFonts w:ascii="Times New Roman" w:hAnsi="Times New Roman" w:eastAsia="仿宋" w:cs="Times New Roman"/>
      <w:sz w:val="24"/>
    </w:rPr>
  </w:style>
  <w:style w:type="character" w:customStyle="1" w:styleId="61">
    <w:name w:val="批注文字 字符"/>
    <w:basedOn w:val="26"/>
    <w:semiHidden/>
    <w:qFormat/>
    <w:uiPriority w:val="99"/>
    <w:rPr>
      <w:rFonts w:ascii="Times New Roman" w:hAnsi="Times New Roman" w:eastAsia="仿宋"/>
      <w:sz w:val="24"/>
    </w:rPr>
  </w:style>
  <w:style w:type="character" w:customStyle="1" w:styleId="62">
    <w:name w:val="批注文字 Char"/>
    <w:semiHidden/>
    <w:qFormat/>
    <w:uiPriority w:val="99"/>
    <w:rPr>
      <w:rFonts w:ascii="Times New Roman" w:hAnsi="Times New Roman" w:eastAsia="仿宋"/>
      <w:kern w:val="2"/>
      <w:sz w:val="24"/>
      <w:szCs w:val="22"/>
    </w:rPr>
  </w:style>
  <w:style w:type="character" w:customStyle="1" w:styleId="63">
    <w:name w:val="Unresolved Mention"/>
    <w:basedOn w:val="26"/>
    <w:semiHidden/>
    <w:unhideWhenUsed/>
    <w:qFormat/>
    <w:uiPriority w:val="99"/>
    <w:rPr>
      <w:color w:val="605E5C"/>
      <w:shd w:val="clear" w:color="auto" w:fill="E1DFDD"/>
    </w:rPr>
  </w:style>
  <w:style w:type="character" w:customStyle="1" w:styleId="64">
    <w:name w:val="正文文本缩进 字符"/>
    <w:basedOn w:val="26"/>
    <w:link w:val="14"/>
    <w:semiHidden/>
    <w:qFormat/>
    <w:uiPriority w:val="99"/>
    <w:rPr>
      <w:rFonts w:ascii="Times New Roman" w:hAnsi="Times New Roman" w:eastAsia="仿宋"/>
      <w:sz w:val="24"/>
    </w:rPr>
  </w:style>
  <w:style w:type="paragraph" w:customStyle="1" w:styleId="65">
    <w:name w:val="A-正文"/>
    <w:basedOn w:val="1"/>
    <w:qFormat/>
    <w:uiPriority w:val="0"/>
    <w:pPr>
      <w:adjustRightInd/>
      <w:snapToGrid/>
    </w:pPr>
    <w:rPr>
      <w:rFonts w:eastAsia="宋体" w:cs="Times New Roman"/>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2" Type="http://schemas.openxmlformats.org/officeDocument/2006/relationships/fontTable" Target="fontTable.xml"/><Relationship Id="rId51" Type="http://schemas.openxmlformats.org/officeDocument/2006/relationships/customXml" Target="../customXml/item2.xml"/><Relationship Id="rId50" Type="http://schemas.openxmlformats.org/officeDocument/2006/relationships/numbering" Target="numbering.xml"/><Relationship Id="rId5" Type="http://schemas.openxmlformats.org/officeDocument/2006/relationships/header" Target="header3.xml"/><Relationship Id="rId49" Type="http://schemas.openxmlformats.org/officeDocument/2006/relationships/customXml" Target="../customXml/item1.xml"/><Relationship Id="rId48" Type="http://schemas.openxmlformats.org/officeDocument/2006/relationships/chart" Target="charts/chart2.xml"/><Relationship Id="rId47" Type="http://schemas.openxmlformats.org/officeDocument/2006/relationships/chart" Target="charts/chart1.xml"/><Relationship Id="rId46" Type="http://schemas.openxmlformats.org/officeDocument/2006/relationships/image" Target="media/image24.wmf"/><Relationship Id="rId45" Type="http://schemas.openxmlformats.org/officeDocument/2006/relationships/oleObject" Target="embeddings/oleObject10.bin"/><Relationship Id="rId44" Type="http://schemas.openxmlformats.org/officeDocument/2006/relationships/image" Target="media/image23.wmf"/><Relationship Id="rId43" Type="http://schemas.openxmlformats.org/officeDocument/2006/relationships/oleObject" Target="embeddings/oleObject9.bin"/><Relationship Id="rId42" Type="http://schemas.openxmlformats.org/officeDocument/2006/relationships/oleObject" Target="embeddings/oleObject8.bin"/><Relationship Id="rId41" Type="http://schemas.openxmlformats.org/officeDocument/2006/relationships/image" Target="media/image22.wmf"/><Relationship Id="rId40" Type="http://schemas.openxmlformats.org/officeDocument/2006/relationships/oleObject" Target="embeddings/oleObject7.bin"/><Relationship Id="rId4" Type="http://schemas.openxmlformats.org/officeDocument/2006/relationships/header" Target="header2.xml"/><Relationship Id="rId39" Type="http://schemas.openxmlformats.org/officeDocument/2006/relationships/image" Target="media/image21.wmf"/><Relationship Id="rId38" Type="http://schemas.openxmlformats.org/officeDocument/2006/relationships/oleObject" Target="embeddings/oleObject6.bin"/><Relationship Id="rId37" Type="http://schemas.openxmlformats.org/officeDocument/2006/relationships/image" Target="media/image20.wmf"/><Relationship Id="rId36" Type="http://schemas.openxmlformats.org/officeDocument/2006/relationships/oleObject" Target="embeddings/oleObject5.bin"/><Relationship Id="rId35" Type="http://schemas.openxmlformats.org/officeDocument/2006/relationships/image" Target="media/image19.wmf"/><Relationship Id="rId34" Type="http://schemas.openxmlformats.org/officeDocument/2006/relationships/oleObject" Target="embeddings/oleObject4.bin"/><Relationship Id="rId33" Type="http://schemas.openxmlformats.org/officeDocument/2006/relationships/image" Target="media/image18.wmf"/><Relationship Id="rId32" Type="http://schemas.openxmlformats.org/officeDocument/2006/relationships/oleObject" Target="embeddings/oleObject3.bin"/><Relationship Id="rId31" Type="http://schemas.openxmlformats.org/officeDocument/2006/relationships/image" Target="media/image17.wmf"/><Relationship Id="rId30" Type="http://schemas.openxmlformats.org/officeDocument/2006/relationships/oleObject" Target="embeddings/oleObject2.bin"/><Relationship Id="rId3" Type="http://schemas.openxmlformats.org/officeDocument/2006/relationships/header" Target="header1.xml"/><Relationship Id="rId29" Type="http://schemas.openxmlformats.org/officeDocument/2006/relationships/image" Target="media/image16.jpeg"/><Relationship Id="rId28" Type="http://schemas.openxmlformats.org/officeDocument/2006/relationships/image" Target="media/image15.jpeg"/><Relationship Id="rId27" Type="http://schemas.openxmlformats.org/officeDocument/2006/relationships/image" Target="media/image14.jpeg"/><Relationship Id="rId26" Type="http://schemas.openxmlformats.org/officeDocument/2006/relationships/image" Target="media/image13.jpeg"/><Relationship Id="rId25" Type="http://schemas.openxmlformats.org/officeDocument/2006/relationships/image" Target="media/image12.jpeg"/><Relationship Id="rId24" Type="http://schemas.openxmlformats.org/officeDocument/2006/relationships/image" Target="media/image11.jpeg"/><Relationship Id="rId23" Type="http://schemas.openxmlformats.org/officeDocument/2006/relationships/image" Target="media/image10.png"/><Relationship Id="rId22" Type="http://schemas.openxmlformats.org/officeDocument/2006/relationships/image" Target="media/image9.jpeg"/><Relationship Id="rId21" Type="http://schemas.openxmlformats.org/officeDocument/2006/relationships/image" Target="media/image8.pn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emf"/><Relationship Id="rId16" Type="http://schemas.openxmlformats.org/officeDocument/2006/relationships/image" Target="media/image3.wmf"/><Relationship Id="rId15" Type="http://schemas.openxmlformats.org/officeDocument/2006/relationships/oleObject" Target="embeddings/oleObject1.bin"/><Relationship Id="rId14" Type="http://schemas.openxmlformats.org/officeDocument/2006/relationships/image" Target="media/image2.emf"/><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E:\2021&#24037;&#20316;\&#26106;&#33485;&#21439;&#27827;&#28246;&#20581;&#24247;&#35780;&#20215;\&#36171;&#20998;&#35745;&#31639;.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E:\2021&#24037;&#20316;\&#26106;&#33485;&#21439;&#27827;&#28246;&#20581;&#24247;&#35780;&#20215;\&#36171;&#20998;&#35745;&#3163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15875" cap="rnd">
              <a:solidFill>
                <a:schemeClr val="accent1"/>
              </a:solidFill>
              <a:round/>
            </a:ln>
            <a:effectLst/>
          </c:spPr>
          <c:marker>
            <c:symbol val="none"/>
          </c:marker>
          <c:dLbls>
            <c:delete val="1"/>
          </c:dLbls>
          <c:cat>
            <c:strRef>
              <c:f>赋分雷达图!$K$3:$K$15</c:f>
              <c:strCache>
                <c:ptCount val="13"/>
                <c:pt idx="0">
                  <c:v>水资源开发利用率</c:v>
                </c:pt>
                <c:pt idx="1">
                  <c:v>生态用水满足程度</c:v>
                </c:pt>
                <c:pt idx="2">
                  <c:v>河岸稳定性指标</c:v>
                </c:pt>
                <c:pt idx="3">
                  <c:v>河流纵向连通指数</c:v>
                </c:pt>
                <c:pt idx="4">
                  <c:v>水体整洁程度</c:v>
                </c:pt>
                <c:pt idx="5">
                  <c:v>水质优劣程度</c:v>
                </c:pt>
                <c:pt idx="6">
                  <c:v>水质变化趋势</c:v>
                </c:pt>
                <c:pt idx="7">
                  <c:v>鱼类保有指数</c:v>
                </c:pt>
                <c:pt idx="8">
                  <c:v>外来水生动植物</c:v>
                </c:pt>
                <c:pt idx="9">
                  <c:v>公众满意度</c:v>
                </c:pt>
                <c:pt idx="10">
                  <c:v>防洪指标</c:v>
                </c:pt>
                <c:pt idx="11">
                  <c:v>供水指标</c:v>
                </c:pt>
                <c:pt idx="12">
                  <c:v>开发利用与规划的符合性分析</c:v>
                </c:pt>
              </c:strCache>
            </c:strRef>
          </c:cat>
          <c:val>
            <c:numRef>
              <c:f>赋分雷达图!$L$3:$L$15</c:f>
              <c:numCache>
                <c:formatCode>General</c:formatCode>
                <c:ptCount val="13"/>
                <c:pt idx="0">
                  <c:v>80</c:v>
                </c:pt>
                <c:pt idx="1">
                  <c:v>40</c:v>
                </c:pt>
                <c:pt idx="2">
                  <c:v>65</c:v>
                </c:pt>
                <c:pt idx="3">
                  <c:v>0</c:v>
                </c:pt>
                <c:pt idx="4">
                  <c:v>87</c:v>
                </c:pt>
                <c:pt idx="5">
                  <c:v>100</c:v>
                </c:pt>
                <c:pt idx="6">
                  <c:v>100</c:v>
                </c:pt>
                <c:pt idx="7">
                  <c:v>80</c:v>
                </c:pt>
                <c:pt idx="8">
                  <c:v>100</c:v>
                </c:pt>
                <c:pt idx="9">
                  <c:v>80</c:v>
                </c:pt>
                <c:pt idx="10">
                  <c:v>100</c:v>
                </c:pt>
                <c:pt idx="11">
                  <c:v>100</c:v>
                </c:pt>
                <c:pt idx="12">
                  <c:v>93</c:v>
                </c:pt>
              </c:numCache>
            </c:numRef>
          </c:val>
        </c:ser>
        <c:dLbls>
          <c:showLegendKey val="0"/>
          <c:showVal val="0"/>
          <c:showCatName val="0"/>
          <c:showSerName val="0"/>
          <c:showPercent val="0"/>
          <c:showBubbleSize val="0"/>
        </c:dLbls>
        <c:axId val="1140627936"/>
        <c:axId val="1012661360"/>
      </c:radarChart>
      <c:catAx>
        <c:axId val="1140627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仿宋" panose="02010609060101010101" pitchFamily="3" charset="-122"/>
                <a:ea typeface="仿宋" panose="02010609060101010101" pitchFamily="3" charset="-122"/>
                <a:cs typeface="+mn-cs"/>
              </a:defRPr>
            </a:pPr>
          </a:p>
        </c:txPr>
        <c:crossAx val="1012661360"/>
        <c:crosses val="autoZero"/>
        <c:auto val="1"/>
        <c:lblAlgn val="ctr"/>
        <c:lblOffset val="100"/>
        <c:noMultiLvlLbl val="0"/>
      </c:catAx>
      <c:valAx>
        <c:axId val="101266136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8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p>
        </c:txPr>
        <c:crossAx val="1140627936"/>
        <c:crosses val="autoZero"/>
        <c:crossBetween val="between"/>
        <c:majorUnit val="10"/>
        <c:minorUnit val="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1"/>
          <c:order val="0"/>
          <c:spPr>
            <a:ln w="15875" cap="rnd">
              <a:solidFill>
                <a:srgbClr val="0070C0"/>
              </a:solidFill>
              <a:round/>
            </a:ln>
            <a:effectLst/>
          </c:spPr>
          <c:marker>
            <c:symbol val="none"/>
          </c:marker>
          <c:dLbls>
            <c:delete val="1"/>
          </c:dLbls>
          <c:cat>
            <c:strRef>
              <c:f>赋分雷达图!$I$3:$I$15</c:f>
              <c:strCache>
                <c:ptCount val="5"/>
                <c:pt idx="0">
                  <c:v>水文水资源</c:v>
                </c:pt>
                <c:pt idx="1">
                  <c:v>物理结构</c:v>
                </c:pt>
                <c:pt idx="2">
                  <c:v>水质</c:v>
                </c:pt>
                <c:pt idx="3">
                  <c:v>生物</c:v>
                </c:pt>
                <c:pt idx="4">
                  <c:v>河湖管理与社会服务功能</c:v>
                </c:pt>
              </c:strCache>
            </c:strRef>
          </c:cat>
          <c:val>
            <c:numRef>
              <c:f>赋分雷达图!$J$3:$J$15</c:f>
              <c:numCache>
                <c:formatCode>General</c:formatCode>
                <c:ptCount val="5"/>
                <c:pt idx="0">
                  <c:v>50</c:v>
                </c:pt>
                <c:pt idx="1">
                  <c:v>32.5</c:v>
                </c:pt>
                <c:pt idx="2">
                  <c:v>100</c:v>
                </c:pt>
                <c:pt idx="3">
                  <c:v>90</c:v>
                </c:pt>
                <c:pt idx="4" c:formatCode="0">
                  <c:v>91</c:v>
                </c:pt>
              </c:numCache>
            </c:numRef>
          </c:val>
        </c:ser>
        <c:dLbls>
          <c:showLegendKey val="0"/>
          <c:showVal val="0"/>
          <c:showCatName val="0"/>
          <c:showSerName val="0"/>
          <c:showPercent val="0"/>
          <c:showBubbleSize val="0"/>
        </c:dLbls>
        <c:axId val="1014970256"/>
        <c:axId val="1012659696"/>
      </c:radarChart>
      <c:catAx>
        <c:axId val="1014970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仿宋" panose="02010609060101010101" pitchFamily="3" charset="-122"/>
                <a:ea typeface="仿宋" panose="02010609060101010101" pitchFamily="3" charset="-122"/>
                <a:cs typeface="+mn-cs"/>
              </a:defRPr>
            </a:pPr>
          </a:p>
        </c:txPr>
        <c:crossAx val="1012659696"/>
        <c:crosses val="autoZero"/>
        <c:auto val="1"/>
        <c:lblAlgn val="ctr"/>
        <c:lblOffset val="100"/>
        <c:noMultiLvlLbl val="0"/>
      </c:catAx>
      <c:valAx>
        <c:axId val="1012659696"/>
        <c:scaling>
          <c:orientation val="minMax"/>
          <c:min val="2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8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p>
        </c:txPr>
        <c:crossAx val="1014970256"/>
        <c:crosses val="autoZero"/>
        <c:crossBetween val="between"/>
        <c:majorUnit val="10"/>
      </c:valAx>
      <c:spPr>
        <a:noFill/>
        <a:ln>
          <a:noFill/>
        </a:ln>
        <a:effectLst/>
      </c:spPr>
    </c:plotArea>
    <c:plotVisOnly val="1"/>
    <c:dispBlanksAs val="gap"/>
    <c:showDLblsOverMax val="0"/>
  </c:chart>
  <c:spPr>
    <a:solidFill>
      <a:schemeClr val="bg1"/>
    </a:solidFill>
    <a:ln w="12700"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448C928-C3A4-4E2A-A4D3-1A36BA9FA38D}">
  <ds:schemaRefs/>
</ds:datastoreItem>
</file>

<file path=docProps/app.xml><?xml version="1.0" encoding="utf-8"?>
<Properties xmlns="http://schemas.openxmlformats.org/officeDocument/2006/extended-properties" xmlns:vt="http://schemas.openxmlformats.org/officeDocument/2006/docPropsVTypes">
  <Template>Normal.dotm</Template>
  <Pages>82</Pages>
  <Words>9931</Words>
  <Characters>56607</Characters>
  <Lines>471</Lines>
  <Paragraphs>132</Paragraphs>
  <TotalTime>7448</TotalTime>
  <ScaleCrop>false</ScaleCrop>
  <LinksUpToDate>false</LinksUpToDate>
  <CharactersWithSpaces>66406</CharactersWithSpaces>
  <Application>WPS Office_11.8.6.9023_F1E327BC-269C-435d-A152-05C5408002CA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2021-07-15T02:16:00Z</dcterms:created>
  <dc:creator>个人用户</dc:creator>
  <cp:lastModifiedBy>Q</cp:lastModifiedBy>
  <cp:lastPrinted>2021-10-25T02:22:00Z</cp:lastPrinted>
  <dcterms:modified xsi:type="dcterms:W3CDTF">2025-01-07T07:30:27Z</dcterms:modified>
  <cp:revision>197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2052-11.8.6.9023</vt:lpwstr>
  </property>
  <property fmtid="{D5CDD505-2E9C-101B-9397-08002B2CF9AE}" pid="3" name="ICV">
    <vt:lpwstr>6CE3735428994BA88281BD7FDDE206A7</vt:lpwstr>
  </property>
</Properties>
</file>