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华文中宋" w:eastAsia="方正小标宋简体"/>
          <w:b/>
          <w:sz w:val="44"/>
          <w:szCs w:val="44"/>
          <w:lang w:eastAsia="zh-CN"/>
        </w:rPr>
      </w:pPr>
      <w:r>
        <w:rPr>
          <w:rFonts w:hint="eastAsia" w:ascii="方正小标宋简体" w:hAnsi="华文中宋" w:eastAsia="方正小标宋简体"/>
          <w:b/>
          <w:sz w:val="44"/>
          <w:szCs w:val="44"/>
          <w:lang w:eastAsia="zh-CN"/>
        </w:rPr>
        <w:t>旺苍县交通运输局</w:t>
      </w:r>
    </w:p>
    <w:p>
      <w:pPr>
        <w:jc w:val="center"/>
        <w:rPr>
          <w:rFonts w:hint="eastAsia" w:ascii="方正小标宋简体" w:hAnsi="华文中宋" w:eastAsia="方正小标宋简体"/>
          <w:b/>
          <w:sz w:val="44"/>
          <w:szCs w:val="44"/>
        </w:rPr>
      </w:pPr>
      <w:r>
        <w:rPr>
          <w:rFonts w:hint="eastAsia" w:ascii="方正小标宋简体" w:hAnsi="华文中宋" w:eastAsia="方正小标宋简体"/>
          <w:b/>
          <w:sz w:val="44"/>
          <w:szCs w:val="44"/>
        </w:rPr>
        <w:t>部门整体支出绩效评价自评报告</w:t>
      </w:r>
    </w:p>
    <w:p>
      <w:pPr>
        <w:spacing w:line="560" w:lineRule="exact"/>
        <w:ind w:firstLine="640" w:firstLineChars="200"/>
        <w:rPr>
          <w:rFonts w:hint="eastAsia" w:ascii="仿宋_GB2312" w:eastAsia="仿宋_GB2312"/>
          <w:sz w:val="32"/>
          <w:szCs w:val="32"/>
        </w:rPr>
      </w:pPr>
    </w:p>
    <w:p>
      <w:pPr>
        <w:spacing w:line="560" w:lineRule="exact"/>
        <w:ind w:firstLine="640" w:firstLineChars="200"/>
        <w:rPr>
          <w:rFonts w:hint="eastAsia" w:ascii="黑体" w:hAnsi="黑体" w:eastAsia="黑体"/>
          <w:sz w:val="32"/>
          <w:szCs w:val="32"/>
        </w:rPr>
      </w:pPr>
      <w:r>
        <w:rPr>
          <w:rFonts w:hint="eastAsia" w:ascii="黑体" w:hAnsi="黑体" w:eastAsia="黑体"/>
          <w:sz w:val="32"/>
          <w:szCs w:val="32"/>
        </w:rPr>
        <w:t>一、部门概况</w:t>
      </w:r>
    </w:p>
    <w:p>
      <w:pPr>
        <w:spacing w:line="560" w:lineRule="exact"/>
        <w:ind w:firstLine="643" w:firstLineChars="200"/>
        <w:rPr>
          <w:rFonts w:hint="eastAsia" w:ascii="楷体_GB2312" w:eastAsia="楷体_GB2312"/>
          <w:b/>
          <w:sz w:val="32"/>
          <w:szCs w:val="32"/>
        </w:rPr>
      </w:pPr>
      <w:r>
        <w:rPr>
          <w:rFonts w:hint="eastAsia" w:ascii="楷体_GB2312" w:eastAsia="楷体_GB2312"/>
          <w:b/>
          <w:sz w:val="32"/>
          <w:szCs w:val="32"/>
        </w:rPr>
        <w:t>（一）机构构成</w:t>
      </w:r>
    </w:p>
    <w:p>
      <w:pPr>
        <w:snapToGrid w:val="0"/>
        <w:spacing w:line="520" w:lineRule="exact"/>
        <w:ind w:firstLine="640" w:firstLineChars="200"/>
        <w:rPr>
          <w:rFonts w:hint="eastAsia" w:ascii="仿宋_GB2312" w:hAnsi="仿宋" w:eastAsia="仿宋_GB2312" w:cs="Times New Roman"/>
          <w:sz w:val="32"/>
          <w:szCs w:val="32"/>
          <w:lang w:eastAsia="zh-CN"/>
        </w:rPr>
      </w:pPr>
      <w:r>
        <w:rPr>
          <w:rFonts w:hint="eastAsia" w:ascii="仿宋_GB2312" w:hAnsi="仿宋" w:eastAsia="仿宋_GB2312" w:cs="Times New Roman"/>
          <w:sz w:val="32"/>
          <w:szCs w:val="32"/>
        </w:rPr>
        <w:t xml:space="preserve"> 旺苍县</w:t>
      </w:r>
      <w:r>
        <w:rPr>
          <w:rFonts w:hint="eastAsia" w:ascii="仿宋_GB2312" w:hAnsi="仿宋" w:eastAsia="仿宋_GB2312" w:cs="Times New Roman"/>
          <w:sz w:val="32"/>
          <w:szCs w:val="32"/>
          <w:lang w:eastAsia="zh-CN"/>
        </w:rPr>
        <w:t>交通运输局</w:t>
      </w:r>
      <w:r>
        <w:rPr>
          <w:rFonts w:hint="eastAsia" w:ascii="仿宋_GB2312" w:hAnsi="仿宋" w:eastAsia="仿宋_GB2312" w:cs="Times New Roman"/>
          <w:sz w:val="32"/>
          <w:szCs w:val="32"/>
        </w:rPr>
        <w:t>下属二级预算单位</w:t>
      </w:r>
      <w:r>
        <w:rPr>
          <w:rFonts w:hint="eastAsia" w:ascii="仿宋_GB2312" w:hAnsi="仿宋" w:eastAsia="仿宋_GB2312" w:cs="Times New Roman"/>
          <w:sz w:val="32"/>
          <w:szCs w:val="32"/>
          <w:lang w:eastAsia="zh-CN"/>
        </w:rPr>
        <w:t>旺苍县公路养护管理局（段）。</w:t>
      </w:r>
    </w:p>
    <w:p>
      <w:pPr>
        <w:numPr>
          <w:ilvl w:val="0"/>
          <w:numId w:val="1"/>
        </w:numPr>
        <w:spacing w:line="560" w:lineRule="exact"/>
        <w:ind w:firstLine="643" w:firstLineChars="200"/>
        <w:rPr>
          <w:rFonts w:hint="eastAsia" w:ascii="楷体_GB2312" w:eastAsia="楷体_GB2312"/>
          <w:b/>
          <w:sz w:val="32"/>
          <w:szCs w:val="32"/>
        </w:rPr>
      </w:pPr>
      <w:r>
        <w:rPr>
          <w:rFonts w:hint="eastAsia" w:ascii="楷体_GB2312" w:eastAsia="楷体_GB2312"/>
          <w:b/>
          <w:sz w:val="32"/>
          <w:szCs w:val="32"/>
          <w:lang w:eastAsia="zh-CN"/>
        </w:rPr>
        <w:t>基</w:t>
      </w:r>
      <w:r>
        <w:rPr>
          <w:rFonts w:hint="eastAsia" w:ascii="楷体_GB2312" w:eastAsia="楷体_GB2312"/>
          <w:b/>
          <w:sz w:val="32"/>
          <w:szCs w:val="32"/>
        </w:rPr>
        <w:t>本职能</w:t>
      </w:r>
    </w:p>
    <w:p>
      <w:pPr>
        <w:snapToGrid w:val="0"/>
        <w:spacing w:line="520" w:lineRule="exact"/>
        <w:ind w:firstLine="640" w:firstLineChars="200"/>
        <w:rPr>
          <w:rFonts w:hint="eastAsia" w:ascii="楷体_GB2312" w:eastAsia="楷体_GB2312"/>
          <w:b/>
          <w:sz w:val="32"/>
          <w:szCs w:val="32"/>
        </w:rPr>
      </w:pPr>
      <w:r>
        <w:rPr>
          <w:rFonts w:hint="eastAsia" w:ascii="仿宋_GB2312" w:hAnsi="仿宋" w:eastAsia="仿宋_GB2312"/>
          <w:sz w:val="32"/>
          <w:szCs w:val="32"/>
        </w:rPr>
        <w:t>贯彻执行国家有关交通运输行业的方针、政策和法律、法规。组织拟订并监督实施公路、水路等行业规划、政策和标准，会同相关部门组织编制综合运输体系规划，参与拟订物流业发展战略和规划。拟订全县交通运输政策规定，负责本系统、本部门依法行政工作，落实行政执法责任制。指导公路、水路行业有关体制改革工作。承担地方高速公路管理的有关工作。 承担道路、水路交通运输市场监管责任，组织制订道路、水路运输有关政策并监督实施。指导城乡客运管理工作，指导出租汽车行业管理工作，会同相关部门制定运输价格。 </w:t>
      </w:r>
    </w:p>
    <w:p>
      <w:pPr>
        <w:numPr>
          <w:ilvl w:val="0"/>
          <w:numId w:val="1"/>
        </w:numPr>
        <w:spacing w:line="560" w:lineRule="exact"/>
        <w:ind w:left="0" w:leftChars="0" w:firstLine="643" w:firstLineChars="200"/>
        <w:rPr>
          <w:rFonts w:hint="eastAsia" w:ascii="楷体_GB2312" w:eastAsia="楷体_GB2312"/>
          <w:b/>
          <w:sz w:val="32"/>
          <w:szCs w:val="32"/>
        </w:rPr>
      </w:pPr>
      <w:r>
        <w:rPr>
          <w:rFonts w:hint="eastAsia" w:ascii="楷体_GB2312" w:eastAsia="楷体_GB2312"/>
          <w:b/>
          <w:sz w:val="32"/>
          <w:szCs w:val="32"/>
        </w:rPr>
        <w:t>人员结构及相关情况</w:t>
      </w:r>
    </w:p>
    <w:p>
      <w:pPr>
        <w:numPr>
          <w:ilvl w:val="0"/>
          <w:numId w:val="0"/>
        </w:numPr>
        <w:snapToGrid w:val="0"/>
        <w:spacing w:line="520" w:lineRule="exact"/>
        <w:ind w:leftChars="200" w:firstLine="640" w:firstLineChars="200"/>
        <w:rPr>
          <w:rFonts w:hint="eastAsia"/>
        </w:rPr>
      </w:pPr>
      <w:r>
        <w:rPr>
          <w:rFonts w:hint="eastAsia" w:ascii="仿宋_GB2312" w:hAnsi="仿宋" w:eastAsia="仿宋_GB2312"/>
          <w:sz w:val="32"/>
          <w:szCs w:val="32"/>
        </w:rPr>
        <w:t>20</w:t>
      </w:r>
      <w:r>
        <w:rPr>
          <w:rFonts w:hint="eastAsia" w:ascii="仿宋_GB2312" w:hAnsi="仿宋" w:eastAsia="仿宋_GB2312"/>
          <w:sz w:val="32"/>
          <w:szCs w:val="32"/>
          <w:lang w:val="en-US" w:eastAsia="zh-CN"/>
        </w:rPr>
        <w:t>20</w:t>
      </w:r>
      <w:r>
        <w:rPr>
          <w:rFonts w:hint="eastAsia" w:ascii="仿宋_GB2312" w:hAnsi="仿宋" w:eastAsia="仿宋_GB2312"/>
          <w:sz w:val="32"/>
          <w:szCs w:val="32"/>
        </w:rPr>
        <w:t>年财政补助开支实有人数20</w:t>
      </w:r>
      <w:r>
        <w:rPr>
          <w:rFonts w:hint="eastAsia" w:ascii="仿宋_GB2312" w:hAnsi="仿宋" w:eastAsia="仿宋_GB2312"/>
          <w:sz w:val="32"/>
          <w:szCs w:val="32"/>
          <w:lang w:val="en-US" w:eastAsia="zh-CN"/>
        </w:rPr>
        <w:t>5</w:t>
      </w:r>
      <w:r>
        <w:rPr>
          <w:rFonts w:hint="eastAsia" w:ascii="仿宋_GB2312" w:hAnsi="仿宋" w:eastAsia="仿宋_GB2312"/>
          <w:sz w:val="32"/>
          <w:szCs w:val="32"/>
        </w:rPr>
        <w:t>人。编制人数2</w:t>
      </w:r>
      <w:r>
        <w:rPr>
          <w:rFonts w:hint="eastAsia" w:ascii="仿宋_GB2312" w:hAnsi="仿宋" w:eastAsia="仿宋_GB2312"/>
          <w:sz w:val="32"/>
          <w:szCs w:val="32"/>
          <w:lang w:val="en-US" w:eastAsia="zh-CN"/>
        </w:rPr>
        <w:t>31</w:t>
      </w:r>
      <w:r>
        <w:rPr>
          <w:rFonts w:hint="eastAsia" w:ascii="仿宋_GB2312" w:hAnsi="仿宋" w:eastAsia="仿宋_GB2312"/>
          <w:sz w:val="32"/>
          <w:szCs w:val="32"/>
        </w:rPr>
        <w:t>人，其中：交通局机关实有年末人数</w:t>
      </w:r>
      <w:r>
        <w:rPr>
          <w:rFonts w:hint="eastAsia" w:ascii="仿宋_GB2312" w:hAnsi="仿宋" w:eastAsia="仿宋_GB2312"/>
          <w:sz w:val="32"/>
          <w:szCs w:val="32"/>
          <w:lang w:val="en-US" w:eastAsia="zh-CN"/>
        </w:rPr>
        <w:t>53</w:t>
      </w:r>
      <w:r>
        <w:rPr>
          <w:rFonts w:hint="eastAsia" w:ascii="仿宋_GB2312" w:hAnsi="仿宋" w:eastAsia="仿宋_GB2312"/>
          <w:sz w:val="32"/>
          <w:szCs w:val="32"/>
        </w:rPr>
        <w:t>人，财政拨款开支人员</w:t>
      </w:r>
      <w:r>
        <w:rPr>
          <w:rFonts w:hint="eastAsia" w:ascii="仿宋_GB2312" w:hAnsi="仿宋" w:eastAsia="仿宋_GB2312"/>
          <w:sz w:val="32"/>
          <w:szCs w:val="32"/>
          <w:lang w:val="en-US" w:eastAsia="zh-CN"/>
        </w:rPr>
        <w:t>53</w:t>
      </w:r>
      <w:r>
        <w:rPr>
          <w:rFonts w:hint="eastAsia" w:ascii="仿宋_GB2312" w:hAnsi="仿宋" w:eastAsia="仿宋_GB2312"/>
          <w:sz w:val="32"/>
          <w:szCs w:val="32"/>
        </w:rPr>
        <w:t>人。</w:t>
      </w:r>
      <w:r>
        <w:rPr>
          <w:rFonts w:hint="eastAsia" w:ascii="仿宋_GB2312" w:hAnsi="仿宋" w:eastAsia="仿宋_GB2312"/>
          <w:sz w:val="32"/>
          <w:szCs w:val="32"/>
          <w:lang w:eastAsia="zh-CN"/>
        </w:rPr>
        <w:t>旺苍县</w:t>
      </w:r>
      <w:r>
        <w:rPr>
          <w:rFonts w:hint="eastAsia" w:ascii="仿宋_GB2312" w:hAnsi="仿宋" w:eastAsia="仿宋_GB2312"/>
          <w:sz w:val="32"/>
          <w:szCs w:val="32"/>
        </w:rPr>
        <w:t>公路养护</w:t>
      </w:r>
      <w:r>
        <w:rPr>
          <w:rFonts w:hint="eastAsia" w:ascii="仿宋_GB2312" w:hAnsi="仿宋" w:eastAsia="仿宋_GB2312"/>
          <w:sz w:val="32"/>
          <w:szCs w:val="32"/>
          <w:lang w:eastAsia="zh-CN"/>
        </w:rPr>
        <w:t>管理局</w:t>
      </w:r>
      <w:r>
        <w:rPr>
          <w:rFonts w:hint="eastAsia" w:ascii="仿宋_GB2312" w:hAnsi="仿宋" w:eastAsia="仿宋_GB2312"/>
          <w:sz w:val="32"/>
          <w:szCs w:val="32"/>
          <w:lang w:val="en-US" w:eastAsia="zh-CN"/>
        </w:rPr>
        <w:t>(段）</w:t>
      </w:r>
      <w:r>
        <w:rPr>
          <w:rFonts w:hint="eastAsia" w:ascii="仿宋_GB2312" w:hAnsi="仿宋" w:eastAsia="仿宋_GB2312"/>
          <w:sz w:val="32"/>
          <w:szCs w:val="32"/>
        </w:rPr>
        <w:t>编制数</w:t>
      </w:r>
      <w:r>
        <w:rPr>
          <w:rFonts w:hint="eastAsia" w:ascii="仿宋_GB2312" w:hAnsi="仿宋" w:eastAsia="仿宋_GB2312"/>
          <w:sz w:val="32"/>
          <w:szCs w:val="32"/>
          <w:lang w:val="en-US" w:eastAsia="zh-CN"/>
        </w:rPr>
        <w:t>174</w:t>
      </w:r>
      <w:r>
        <w:rPr>
          <w:rFonts w:hint="eastAsia" w:ascii="仿宋_GB2312" w:hAnsi="仿宋" w:eastAsia="仿宋_GB2312"/>
          <w:sz w:val="32"/>
          <w:szCs w:val="32"/>
        </w:rPr>
        <w:t>人，实有年末人数</w:t>
      </w:r>
      <w:r>
        <w:rPr>
          <w:rFonts w:hint="eastAsia" w:ascii="仿宋_GB2312" w:hAnsi="仿宋" w:eastAsia="仿宋_GB2312"/>
          <w:sz w:val="32"/>
          <w:szCs w:val="32"/>
          <w:lang w:val="en-US" w:eastAsia="zh-CN"/>
        </w:rPr>
        <w:t>152</w:t>
      </w:r>
      <w:r>
        <w:rPr>
          <w:rFonts w:hint="eastAsia" w:ascii="仿宋_GB2312" w:hAnsi="仿宋" w:eastAsia="仿宋_GB2312"/>
          <w:sz w:val="32"/>
          <w:szCs w:val="32"/>
        </w:rPr>
        <w:t>人。</w:t>
      </w:r>
    </w:p>
    <w:p>
      <w:pPr>
        <w:spacing w:line="560" w:lineRule="exact"/>
        <w:ind w:firstLine="640" w:firstLineChars="200"/>
        <w:rPr>
          <w:rFonts w:hint="eastAsia" w:ascii="黑体" w:hAnsi="黑体" w:eastAsia="黑体"/>
          <w:sz w:val="32"/>
          <w:szCs w:val="32"/>
        </w:rPr>
      </w:pPr>
      <w:r>
        <w:rPr>
          <w:rFonts w:hint="eastAsia" w:ascii="黑体" w:hAnsi="黑体" w:eastAsia="黑体"/>
          <w:sz w:val="32"/>
          <w:szCs w:val="32"/>
        </w:rPr>
        <w:t>二、部门财政资金收支情况</w:t>
      </w:r>
    </w:p>
    <w:p>
      <w:pPr>
        <w:spacing w:line="560" w:lineRule="exact"/>
        <w:ind w:firstLine="643" w:firstLineChars="200"/>
        <w:rPr>
          <w:rFonts w:hint="eastAsia" w:ascii="楷体_GB2312" w:eastAsia="楷体_GB2312"/>
          <w:b/>
          <w:sz w:val="32"/>
          <w:szCs w:val="32"/>
        </w:rPr>
      </w:pPr>
      <w:r>
        <w:rPr>
          <w:rFonts w:hint="eastAsia" w:ascii="楷体_GB2312" w:eastAsia="楷体_GB2312"/>
          <w:b/>
          <w:sz w:val="32"/>
          <w:szCs w:val="32"/>
        </w:rPr>
        <w:t>（一）部门财政资金收入情况</w:t>
      </w:r>
    </w:p>
    <w:p>
      <w:pPr>
        <w:pStyle w:val="2"/>
        <w:rPr>
          <w:rFonts w:hint="eastAsia" w:eastAsia="仿宋_GB2312"/>
          <w:lang w:eastAsia="zh-CN"/>
        </w:rPr>
      </w:pPr>
      <w:r>
        <w:rPr>
          <w:rFonts w:hint="eastAsia" w:ascii="仿宋_GB2312" w:hAnsi="仿宋" w:eastAsia="仿宋_GB2312" w:cs="仿宋"/>
          <w:color w:val="000000"/>
          <w:sz w:val="32"/>
          <w:szCs w:val="32"/>
        </w:rPr>
        <w:t>本部门</w:t>
      </w:r>
      <w:r>
        <w:rPr>
          <w:rFonts w:hint="eastAsia" w:ascii="仿宋_GB2312" w:hAnsi="仿宋" w:eastAsia="仿宋_GB2312" w:cs="仿宋"/>
          <w:color w:val="000000"/>
          <w:sz w:val="32"/>
          <w:szCs w:val="32"/>
          <w:lang w:val="en-US" w:eastAsia="zh-CN"/>
        </w:rPr>
        <w:t>2020年度</w:t>
      </w:r>
      <w:r>
        <w:rPr>
          <w:rFonts w:hint="eastAsia" w:ascii="仿宋_GB2312" w:hAnsi="仿宋" w:eastAsia="仿宋_GB2312" w:cs="仿宋"/>
          <w:color w:val="000000"/>
          <w:sz w:val="32"/>
          <w:szCs w:val="32"/>
        </w:rPr>
        <w:t>实际收到</w:t>
      </w:r>
      <w:r>
        <w:rPr>
          <w:rFonts w:hint="eastAsia" w:ascii="仿宋_GB2312" w:hAnsi="仿宋" w:eastAsia="仿宋_GB2312" w:cs="仿宋"/>
          <w:bCs/>
          <w:color w:val="000000"/>
          <w:sz w:val="32"/>
          <w:szCs w:val="32"/>
        </w:rPr>
        <w:t>一般</w:t>
      </w:r>
      <w:r>
        <w:rPr>
          <w:rFonts w:hint="eastAsia" w:ascii="仿宋_GB2312" w:hAnsi="仿宋" w:eastAsia="仿宋_GB2312" w:cs="仿宋"/>
          <w:color w:val="000000"/>
          <w:sz w:val="32"/>
          <w:szCs w:val="32"/>
        </w:rPr>
        <w:t>公共预算财政拨款收入</w:t>
      </w:r>
      <w:r>
        <w:rPr>
          <w:rFonts w:hint="eastAsia" w:ascii="仿宋_GB2312" w:hAnsi="仿宋" w:eastAsia="仿宋_GB2312" w:cs="Times New Roman"/>
          <w:color w:val="000000"/>
          <w:sz w:val="32"/>
          <w:szCs w:val="32"/>
          <w:u w:val="single"/>
        </w:rPr>
        <w:t xml:space="preserve">  </w:t>
      </w:r>
      <w:r>
        <w:rPr>
          <w:rFonts w:hint="eastAsia" w:ascii="仿宋_GB2312" w:hAnsi="仿宋" w:eastAsia="仿宋_GB2312" w:cs="Times New Roman"/>
          <w:color w:val="000000"/>
          <w:sz w:val="32"/>
          <w:szCs w:val="32"/>
          <w:u w:val="none"/>
          <w:lang w:val="en-US" w:eastAsia="zh-CN"/>
        </w:rPr>
        <w:t>18679.24</w:t>
      </w:r>
      <w:r>
        <w:rPr>
          <w:rFonts w:hint="eastAsia" w:ascii="仿宋_GB2312" w:hAnsi="仿宋" w:eastAsia="仿宋_GB2312" w:cs="仿宋"/>
          <w:color w:val="000000"/>
          <w:sz w:val="32"/>
          <w:szCs w:val="32"/>
          <w:u w:val="none"/>
        </w:rPr>
        <w:t>万元</w:t>
      </w:r>
      <w:r>
        <w:rPr>
          <w:rFonts w:hint="eastAsia" w:ascii="仿宋_GB2312" w:hAnsi="仿宋" w:eastAsia="仿宋_GB2312" w:cs="仿宋"/>
          <w:color w:val="000000"/>
          <w:sz w:val="32"/>
          <w:szCs w:val="32"/>
          <w:u w:val="none"/>
          <w:lang w:eastAsia="zh-CN"/>
        </w:rPr>
        <w:t>；</w:t>
      </w:r>
      <w:r>
        <w:rPr>
          <w:rFonts w:hint="eastAsia" w:ascii="仿宋_GB2312" w:hAnsi="仿宋" w:eastAsia="仿宋_GB2312" w:cs="仿宋"/>
          <w:color w:val="000000"/>
          <w:sz w:val="32"/>
          <w:szCs w:val="32"/>
          <w:u w:val="none"/>
        </w:rPr>
        <w:t>政府性基金预算财政拨款收入</w:t>
      </w:r>
      <w:r>
        <w:rPr>
          <w:rFonts w:hint="eastAsia" w:ascii="仿宋_GB2312" w:hAnsi="仿宋" w:eastAsia="仿宋_GB2312" w:cs="Times New Roman"/>
          <w:color w:val="000000"/>
          <w:sz w:val="32"/>
          <w:szCs w:val="32"/>
          <w:u w:val="none"/>
          <w:lang w:val="en-US" w:eastAsia="zh-CN"/>
        </w:rPr>
        <w:t>17010</w:t>
      </w:r>
      <w:r>
        <w:rPr>
          <w:rFonts w:hint="eastAsia" w:ascii="仿宋_GB2312" w:hAnsi="仿宋" w:eastAsia="仿宋_GB2312" w:cs="仿宋"/>
          <w:color w:val="000000"/>
          <w:sz w:val="32"/>
          <w:szCs w:val="32"/>
        </w:rPr>
        <w:t>万元</w:t>
      </w:r>
      <w:r>
        <w:rPr>
          <w:rFonts w:hint="eastAsia" w:ascii="仿宋_GB2312" w:hAnsi="仿宋" w:eastAsia="仿宋_GB2312" w:cs="仿宋"/>
          <w:color w:val="000000"/>
          <w:sz w:val="32"/>
          <w:szCs w:val="32"/>
          <w:lang w:eastAsia="zh-CN"/>
        </w:rPr>
        <w:t>。</w:t>
      </w:r>
    </w:p>
    <w:p>
      <w:pPr>
        <w:numPr>
          <w:ilvl w:val="0"/>
          <w:numId w:val="2"/>
        </w:numPr>
        <w:spacing w:line="560" w:lineRule="exact"/>
        <w:ind w:firstLine="643" w:firstLineChars="200"/>
        <w:rPr>
          <w:rFonts w:hint="eastAsia" w:ascii="楷体_GB2312" w:eastAsia="楷体_GB2312"/>
          <w:b/>
          <w:sz w:val="32"/>
          <w:szCs w:val="32"/>
        </w:rPr>
      </w:pPr>
      <w:r>
        <w:rPr>
          <w:rFonts w:hint="eastAsia" w:ascii="楷体_GB2312" w:eastAsia="楷体_GB2312"/>
          <w:b/>
          <w:sz w:val="32"/>
          <w:szCs w:val="32"/>
        </w:rPr>
        <w:t>部门财政资金支出情况</w:t>
      </w:r>
    </w:p>
    <w:p>
      <w:pPr>
        <w:pStyle w:val="2"/>
        <w:rPr>
          <w:rFonts w:hint="eastAsia"/>
        </w:rPr>
      </w:pPr>
      <w:r>
        <w:rPr>
          <w:rFonts w:hint="eastAsia" w:ascii="仿宋_GB2312" w:hAnsi="仿宋" w:eastAsia="仿宋_GB2312" w:cs="仿宋"/>
          <w:color w:val="000000"/>
          <w:sz w:val="32"/>
          <w:szCs w:val="32"/>
        </w:rPr>
        <w:t>本部门</w:t>
      </w:r>
      <w:r>
        <w:rPr>
          <w:rFonts w:hint="eastAsia" w:ascii="仿宋_GB2312" w:hAnsi="仿宋" w:eastAsia="仿宋_GB2312" w:cs="仿宋"/>
          <w:color w:val="000000"/>
          <w:sz w:val="32"/>
          <w:szCs w:val="32"/>
          <w:lang w:val="en-US" w:eastAsia="zh-CN"/>
        </w:rPr>
        <w:t>2020年度</w:t>
      </w:r>
      <w:r>
        <w:rPr>
          <w:rFonts w:hint="eastAsia" w:ascii="仿宋_GB2312" w:hAnsi="仿宋" w:eastAsia="仿宋_GB2312" w:cs="仿宋"/>
          <w:bCs/>
          <w:color w:val="000000"/>
          <w:sz w:val="32"/>
          <w:szCs w:val="32"/>
          <w:lang w:eastAsia="zh-CN"/>
        </w:rPr>
        <w:t>基本支出</w:t>
      </w:r>
      <w:r>
        <w:rPr>
          <w:rFonts w:hint="eastAsia" w:ascii="仿宋_GB2312" w:hAnsi="仿宋" w:eastAsia="仿宋_GB2312" w:cs="仿宋"/>
          <w:bCs/>
          <w:color w:val="000000"/>
          <w:sz w:val="32"/>
          <w:szCs w:val="32"/>
          <w:lang w:val="en-US" w:eastAsia="zh-CN"/>
        </w:rPr>
        <w:t>2525.23</w:t>
      </w:r>
      <w:r>
        <w:rPr>
          <w:rFonts w:hint="eastAsia" w:ascii="仿宋_GB2312" w:hAnsi="仿宋" w:eastAsia="仿宋_GB2312" w:cs="仿宋"/>
          <w:color w:val="000000"/>
          <w:sz w:val="32"/>
          <w:szCs w:val="32"/>
          <w:u w:val="none"/>
        </w:rPr>
        <w:t>万元</w:t>
      </w:r>
      <w:r>
        <w:rPr>
          <w:rFonts w:hint="eastAsia" w:ascii="仿宋_GB2312" w:hAnsi="仿宋" w:eastAsia="仿宋_GB2312" w:cs="仿宋"/>
          <w:color w:val="000000"/>
          <w:sz w:val="32"/>
          <w:szCs w:val="32"/>
          <w:u w:val="none"/>
          <w:lang w:eastAsia="zh-CN"/>
        </w:rPr>
        <w:t>；项目支出</w:t>
      </w:r>
      <w:r>
        <w:rPr>
          <w:rFonts w:hint="eastAsia" w:ascii="仿宋_GB2312" w:hAnsi="仿宋" w:eastAsia="仿宋_GB2312" w:cs="仿宋"/>
          <w:color w:val="000000"/>
          <w:sz w:val="32"/>
          <w:szCs w:val="32"/>
          <w:u w:val="none"/>
          <w:lang w:val="en-US" w:eastAsia="zh-CN"/>
        </w:rPr>
        <w:t>25623.51</w:t>
      </w:r>
      <w:r>
        <w:rPr>
          <w:rFonts w:hint="eastAsia" w:ascii="仿宋_GB2312" w:hAnsi="仿宋" w:eastAsia="仿宋_GB2312" w:cs="仿宋"/>
          <w:color w:val="000000"/>
          <w:sz w:val="32"/>
          <w:szCs w:val="32"/>
        </w:rPr>
        <w:t>万元</w:t>
      </w:r>
      <w:r>
        <w:rPr>
          <w:rFonts w:hint="eastAsia" w:ascii="仿宋_GB2312" w:hAnsi="仿宋" w:eastAsia="仿宋_GB2312" w:cs="仿宋"/>
          <w:color w:val="000000"/>
          <w:sz w:val="32"/>
          <w:szCs w:val="32"/>
          <w:lang w:eastAsia="zh-CN"/>
        </w:rPr>
        <w:t>。</w:t>
      </w:r>
    </w:p>
    <w:p>
      <w:pPr>
        <w:spacing w:line="560" w:lineRule="exact"/>
        <w:ind w:firstLine="640" w:firstLineChars="200"/>
        <w:rPr>
          <w:rFonts w:hint="eastAsia" w:ascii="黑体" w:hAnsi="黑体" w:eastAsia="黑体"/>
          <w:sz w:val="32"/>
          <w:szCs w:val="32"/>
        </w:rPr>
      </w:pPr>
      <w:r>
        <w:rPr>
          <w:rFonts w:hint="eastAsia" w:ascii="黑体" w:hAnsi="黑体" w:eastAsia="黑体"/>
          <w:sz w:val="32"/>
          <w:szCs w:val="32"/>
        </w:rPr>
        <w:t>三、绩效评价管理</w:t>
      </w:r>
    </w:p>
    <w:p>
      <w:pPr>
        <w:spacing w:line="560" w:lineRule="exact"/>
        <w:ind w:firstLine="643" w:firstLineChars="200"/>
        <w:rPr>
          <w:rFonts w:hint="eastAsia" w:ascii="楷体_GB2312" w:eastAsia="楷体_GB2312"/>
          <w:b/>
          <w:sz w:val="32"/>
          <w:szCs w:val="32"/>
        </w:rPr>
      </w:pPr>
      <w:r>
        <w:rPr>
          <w:rFonts w:hint="eastAsia" w:ascii="楷体_GB2312" w:eastAsia="楷体_GB2312"/>
          <w:b/>
          <w:sz w:val="32"/>
          <w:szCs w:val="32"/>
        </w:rPr>
        <w:t>（一）评价结论</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绩效评价总体结论（包括项目评价得分表）及效益情况</w:t>
      </w:r>
    </w:p>
    <w:tbl>
      <w:tblPr>
        <w:tblStyle w:val="6"/>
        <w:tblW w:w="8880" w:type="dxa"/>
        <w:tblInd w:w="0" w:type="dxa"/>
        <w:shd w:val="clear" w:color="auto" w:fill="auto"/>
        <w:tblLayout w:type="fixed"/>
        <w:tblCellMar>
          <w:top w:w="0" w:type="dxa"/>
          <w:left w:w="0" w:type="dxa"/>
          <w:bottom w:w="0" w:type="dxa"/>
          <w:right w:w="0" w:type="dxa"/>
        </w:tblCellMar>
      </w:tblPr>
      <w:tblGrid>
        <w:gridCol w:w="632"/>
        <w:gridCol w:w="632"/>
        <w:gridCol w:w="507"/>
        <w:gridCol w:w="479"/>
        <w:gridCol w:w="398"/>
        <w:gridCol w:w="2775"/>
        <w:gridCol w:w="3457"/>
      </w:tblGrid>
      <w:tr>
        <w:tblPrEx>
          <w:shd w:val="clear" w:color="auto" w:fill="auto"/>
          <w:tblCellMar>
            <w:top w:w="0" w:type="dxa"/>
            <w:left w:w="0" w:type="dxa"/>
            <w:bottom w:w="0" w:type="dxa"/>
            <w:right w:w="0" w:type="dxa"/>
          </w:tblCellMar>
        </w:tblPrEx>
        <w:trPr>
          <w:trHeight w:val="555" w:hRule="atLeast"/>
        </w:trPr>
        <w:tc>
          <w:tcPr>
            <w:tcW w:w="8880" w:type="dxa"/>
            <w:gridSpan w:val="7"/>
            <w:tcBorders>
              <w:top w:val="nil"/>
              <w:left w:val="nil"/>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方正小标宋简体" w:hAnsi="方正小标宋简体" w:eastAsia="方正小标宋简体" w:cs="方正小标宋简体"/>
                <w:b/>
                <w:i w:val="0"/>
                <w:color w:val="000000"/>
                <w:sz w:val="36"/>
                <w:szCs w:val="36"/>
                <w:u w:val="none"/>
              </w:rPr>
            </w:pPr>
            <w:r>
              <w:rPr>
                <w:rFonts w:hint="default" w:ascii="方正小标宋简体" w:hAnsi="方正小标宋简体" w:eastAsia="方正小标宋简体" w:cs="方正小标宋简体"/>
                <w:b/>
                <w:i w:val="0"/>
                <w:color w:val="000000"/>
                <w:kern w:val="0"/>
                <w:sz w:val="36"/>
                <w:szCs w:val="36"/>
                <w:u w:val="none"/>
                <w:lang w:val="en-US" w:eastAsia="zh-CN" w:bidi="ar"/>
              </w:rPr>
              <w:t>旺苍县2021年部门整体支出绩效评价指标体系（适用于有专项预算的部门）</w:t>
            </w:r>
          </w:p>
        </w:tc>
      </w:tr>
      <w:tr>
        <w:tblPrEx>
          <w:shd w:val="clear" w:color="auto" w:fill="auto"/>
          <w:tblCellMar>
            <w:top w:w="0" w:type="dxa"/>
            <w:left w:w="0" w:type="dxa"/>
            <w:bottom w:w="0" w:type="dxa"/>
            <w:right w:w="0" w:type="dxa"/>
          </w:tblCellMar>
        </w:tblPrEx>
        <w:trPr>
          <w:trHeight w:val="390" w:hRule="atLeast"/>
        </w:trPr>
        <w:tc>
          <w:tcPr>
            <w:tcW w:w="1771"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绩效指标</w:t>
            </w:r>
          </w:p>
        </w:tc>
        <w:tc>
          <w:tcPr>
            <w:tcW w:w="479"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指标分值</w:t>
            </w:r>
          </w:p>
        </w:tc>
        <w:tc>
          <w:tcPr>
            <w:tcW w:w="39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指标得分</w:t>
            </w:r>
          </w:p>
        </w:tc>
        <w:tc>
          <w:tcPr>
            <w:tcW w:w="277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指标解释</w:t>
            </w:r>
          </w:p>
        </w:tc>
        <w:tc>
          <w:tcPr>
            <w:tcW w:w="345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cs="宋体"/>
                <w:b/>
                <w:i w:val="0"/>
                <w:color w:val="000000"/>
                <w:kern w:val="0"/>
                <w:sz w:val="20"/>
                <w:szCs w:val="20"/>
                <w:u w:val="none"/>
                <w:lang w:val="en-US" w:eastAsia="zh-CN" w:bidi="ar"/>
              </w:rPr>
              <w:t>扣分原因</w:t>
            </w:r>
          </w:p>
        </w:tc>
      </w:tr>
      <w:tr>
        <w:tblPrEx>
          <w:shd w:val="clear" w:color="auto" w:fill="auto"/>
          <w:tblCellMar>
            <w:top w:w="0" w:type="dxa"/>
            <w:left w:w="0" w:type="dxa"/>
            <w:bottom w:w="0" w:type="dxa"/>
            <w:right w:w="0" w:type="dxa"/>
          </w:tblCellMar>
        </w:tblPrEx>
        <w:trPr>
          <w:trHeight w:val="390"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一级指标</w:t>
            </w:r>
          </w:p>
        </w:tc>
        <w:tc>
          <w:tcPr>
            <w:tcW w:w="6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二级指标</w:t>
            </w:r>
          </w:p>
        </w:tc>
        <w:tc>
          <w:tcPr>
            <w:tcW w:w="50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三级指标</w:t>
            </w:r>
          </w:p>
        </w:tc>
        <w:tc>
          <w:tcPr>
            <w:tcW w:w="47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0"/>
                <w:szCs w:val="20"/>
                <w:u w:val="none"/>
              </w:rPr>
            </w:pPr>
          </w:p>
        </w:tc>
        <w:tc>
          <w:tcPr>
            <w:tcW w:w="39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0"/>
                <w:szCs w:val="20"/>
                <w:u w:val="none"/>
              </w:rPr>
            </w:pPr>
          </w:p>
        </w:tc>
        <w:tc>
          <w:tcPr>
            <w:tcW w:w="277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0"/>
                <w:szCs w:val="20"/>
                <w:u w:val="none"/>
              </w:rPr>
            </w:pPr>
          </w:p>
        </w:tc>
        <w:tc>
          <w:tcPr>
            <w:tcW w:w="345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0"/>
                <w:szCs w:val="20"/>
                <w:u w:val="none"/>
              </w:rPr>
            </w:pPr>
          </w:p>
        </w:tc>
      </w:tr>
      <w:tr>
        <w:tblPrEx>
          <w:shd w:val="clear" w:color="auto" w:fill="auto"/>
          <w:tblCellMar>
            <w:top w:w="0" w:type="dxa"/>
            <w:left w:w="0" w:type="dxa"/>
            <w:bottom w:w="0" w:type="dxa"/>
            <w:right w:w="0" w:type="dxa"/>
          </w:tblCellMar>
        </w:tblPrEx>
        <w:trPr>
          <w:trHeight w:val="1100" w:hRule="atLeast"/>
        </w:trPr>
        <w:tc>
          <w:tcPr>
            <w:tcW w:w="632"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部门预算管理（60分）</w:t>
            </w:r>
          </w:p>
        </w:tc>
        <w:tc>
          <w:tcPr>
            <w:tcW w:w="632"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预算编制（24分）</w:t>
            </w:r>
          </w:p>
        </w:tc>
        <w:tc>
          <w:tcPr>
            <w:tcW w:w="50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目标制定</w:t>
            </w:r>
          </w:p>
        </w:tc>
        <w:tc>
          <w:tcPr>
            <w:tcW w:w="4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27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评价部门绩效目标是否要素完整、细化量化。</w:t>
            </w:r>
          </w:p>
        </w:tc>
        <w:tc>
          <w:tcPr>
            <w:tcW w:w="34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绩效指标细化</w:t>
            </w:r>
            <w:r>
              <w:rPr>
                <w:rFonts w:hint="eastAsia" w:ascii="宋体" w:hAnsi="宋体" w:cs="宋体"/>
                <w:i w:val="0"/>
                <w:color w:val="000000"/>
                <w:kern w:val="0"/>
                <w:sz w:val="18"/>
                <w:szCs w:val="18"/>
                <w:u w:val="none"/>
                <w:lang w:val="en-US" w:eastAsia="zh-CN" w:bidi="ar"/>
              </w:rPr>
              <w:t>不够</w:t>
            </w:r>
            <w:r>
              <w:rPr>
                <w:rFonts w:hint="eastAsia" w:ascii="宋体" w:hAnsi="宋体" w:eastAsia="宋体" w:cs="宋体"/>
                <w:i w:val="0"/>
                <w:color w:val="000000"/>
                <w:kern w:val="0"/>
                <w:sz w:val="18"/>
                <w:szCs w:val="18"/>
                <w:u w:val="none"/>
                <w:lang w:val="en-US" w:eastAsia="zh-CN" w:bidi="ar"/>
              </w:rPr>
              <w:t xml:space="preserve">。                                                                    </w:t>
            </w:r>
          </w:p>
        </w:tc>
      </w:tr>
      <w:tr>
        <w:tblPrEx>
          <w:shd w:val="clear" w:color="auto" w:fill="auto"/>
          <w:tblCellMar>
            <w:top w:w="0" w:type="dxa"/>
            <w:left w:w="0" w:type="dxa"/>
            <w:bottom w:w="0" w:type="dxa"/>
            <w:right w:w="0" w:type="dxa"/>
          </w:tblCellMar>
        </w:tblPrEx>
        <w:trPr>
          <w:trHeight w:val="1680" w:hRule="atLeast"/>
        </w:trPr>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0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目标完成</w:t>
            </w:r>
          </w:p>
        </w:tc>
        <w:tc>
          <w:tcPr>
            <w:tcW w:w="4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cs="宋体"/>
                <w:i w:val="0"/>
                <w:color w:val="000000"/>
                <w:kern w:val="0"/>
                <w:sz w:val="20"/>
                <w:szCs w:val="20"/>
                <w:u w:val="none"/>
                <w:lang w:val="en-US" w:eastAsia="zh-CN" w:bidi="ar"/>
              </w:rPr>
              <w:t>8</w:t>
            </w:r>
          </w:p>
        </w:tc>
        <w:tc>
          <w:tcPr>
            <w:tcW w:w="27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评价部门绩效目标实际实现程度与预期目标的偏离度。</w:t>
            </w:r>
          </w:p>
        </w:tc>
        <w:tc>
          <w:tcPr>
            <w:tcW w:w="34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2600" w:hRule="atLeast"/>
        </w:trPr>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0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编制准确</w:t>
            </w:r>
          </w:p>
        </w:tc>
        <w:tc>
          <w:tcPr>
            <w:tcW w:w="4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cs="宋体"/>
                <w:i w:val="0"/>
                <w:color w:val="000000"/>
                <w:kern w:val="0"/>
                <w:sz w:val="20"/>
                <w:szCs w:val="20"/>
                <w:u w:val="none"/>
                <w:lang w:val="en-US" w:eastAsia="zh-CN" w:bidi="ar"/>
              </w:rPr>
              <w:t>7</w:t>
            </w:r>
          </w:p>
        </w:tc>
        <w:tc>
          <w:tcPr>
            <w:tcW w:w="27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评价部门年初预算编制是否科学准确。</w:t>
            </w:r>
          </w:p>
        </w:tc>
        <w:tc>
          <w:tcPr>
            <w:tcW w:w="34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宋体" w:hAnsi="宋体" w:eastAsia="宋体" w:cs="宋体"/>
                <w:i w:val="0"/>
                <w:color w:val="000000"/>
                <w:sz w:val="18"/>
                <w:szCs w:val="18"/>
                <w:u w:val="none"/>
                <w:lang w:val="en-US"/>
              </w:rPr>
            </w:pPr>
            <w:r>
              <w:rPr>
                <w:rFonts w:hint="eastAsia" w:ascii="宋体" w:hAnsi="宋体" w:eastAsia="宋体" w:cs="宋体"/>
                <w:i w:val="0"/>
                <w:color w:val="000000"/>
                <w:kern w:val="0"/>
                <w:sz w:val="18"/>
                <w:szCs w:val="18"/>
                <w:u w:val="none"/>
                <w:lang w:val="en-US" w:eastAsia="zh-CN" w:bidi="ar"/>
              </w:rPr>
              <w:t>预决算偏差</w:t>
            </w:r>
            <w:r>
              <w:rPr>
                <w:rFonts w:hint="eastAsia" w:ascii="宋体" w:hAnsi="宋体" w:cs="宋体"/>
                <w:i w:val="0"/>
                <w:color w:val="000000"/>
                <w:kern w:val="0"/>
                <w:sz w:val="18"/>
                <w:szCs w:val="18"/>
                <w:u w:val="none"/>
                <w:lang w:val="en-US" w:eastAsia="zh-CN" w:bidi="ar"/>
              </w:rPr>
              <w:t>在2%以内。</w:t>
            </w:r>
          </w:p>
        </w:tc>
      </w:tr>
      <w:tr>
        <w:tblPrEx>
          <w:shd w:val="clear" w:color="auto" w:fill="auto"/>
          <w:tblCellMar>
            <w:top w:w="0" w:type="dxa"/>
            <w:left w:w="0" w:type="dxa"/>
            <w:bottom w:w="0" w:type="dxa"/>
            <w:right w:w="0" w:type="dxa"/>
          </w:tblCellMar>
        </w:tblPrEx>
        <w:trPr>
          <w:trHeight w:val="3400" w:hRule="atLeast"/>
        </w:trPr>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32"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预算执行（20分）</w:t>
            </w:r>
          </w:p>
        </w:tc>
        <w:tc>
          <w:tcPr>
            <w:tcW w:w="50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支出控制</w:t>
            </w:r>
          </w:p>
        </w:tc>
        <w:tc>
          <w:tcPr>
            <w:tcW w:w="4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27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部门公用经费及非定额公用支出控制情况。</w:t>
            </w:r>
          </w:p>
        </w:tc>
        <w:tc>
          <w:tcPr>
            <w:tcW w:w="34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1240" w:hRule="atLeast"/>
        </w:trPr>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0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动态调整</w:t>
            </w:r>
          </w:p>
        </w:tc>
        <w:tc>
          <w:tcPr>
            <w:tcW w:w="4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27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评价部门开展绩效运行监控后，将绩效监控结果应用到预算调整的情况。</w:t>
            </w:r>
          </w:p>
        </w:tc>
        <w:tc>
          <w:tcPr>
            <w:tcW w:w="34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1940" w:hRule="atLeast"/>
        </w:trPr>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0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执行进度</w:t>
            </w:r>
          </w:p>
        </w:tc>
        <w:tc>
          <w:tcPr>
            <w:tcW w:w="4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27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评价部门在6、9、11月的预算执行情况。</w:t>
            </w:r>
          </w:p>
        </w:tc>
        <w:tc>
          <w:tcPr>
            <w:tcW w:w="34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cs="宋体"/>
                <w:i w:val="0"/>
                <w:color w:val="000000"/>
                <w:kern w:val="0"/>
                <w:sz w:val="18"/>
                <w:szCs w:val="18"/>
                <w:u w:val="none"/>
                <w:lang w:val="en-US" w:eastAsia="zh-CN" w:bidi="ar"/>
              </w:rPr>
              <w:t>预算资金支付进度缓慢。</w:t>
            </w:r>
            <w:r>
              <w:rPr>
                <w:rFonts w:hint="eastAsia" w:ascii="宋体" w:hAnsi="宋体" w:eastAsia="宋体" w:cs="宋体"/>
                <w:i w:val="0"/>
                <w:color w:val="000000"/>
                <w:kern w:val="0"/>
                <w:sz w:val="18"/>
                <w:szCs w:val="18"/>
                <w:u w:val="none"/>
                <w:lang w:val="en-US" w:eastAsia="zh-CN" w:bidi="ar"/>
              </w:rPr>
              <w:t xml:space="preserve">                                            </w:t>
            </w:r>
          </w:p>
        </w:tc>
      </w:tr>
      <w:tr>
        <w:tblPrEx>
          <w:shd w:val="clear" w:color="auto" w:fill="auto"/>
          <w:tblCellMar>
            <w:top w:w="0" w:type="dxa"/>
            <w:left w:w="0" w:type="dxa"/>
            <w:bottom w:w="0" w:type="dxa"/>
            <w:right w:w="0" w:type="dxa"/>
          </w:tblCellMar>
        </w:tblPrEx>
        <w:trPr>
          <w:trHeight w:val="1100" w:hRule="atLeast"/>
        </w:trPr>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32"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完成结果（16分）</w:t>
            </w:r>
          </w:p>
        </w:tc>
        <w:tc>
          <w:tcPr>
            <w:tcW w:w="50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预算完成</w:t>
            </w:r>
          </w:p>
        </w:tc>
        <w:tc>
          <w:tcPr>
            <w:tcW w:w="4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27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评价部门预算项目年终预算执行情况。</w:t>
            </w:r>
          </w:p>
        </w:tc>
        <w:tc>
          <w:tcPr>
            <w:tcW w:w="34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宋体" w:hAnsi="宋体" w:eastAsia="宋体" w:cs="宋体"/>
                <w:i w:val="0"/>
                <w:color w:val="000000"/>
                <w:sz w:val="18"/>
                <w:szCs w:val="18"/>
                <w:u w:val="none"/>
                <w:lang w:val="en-US"/>
              </w:rPr>
            </w:pPr>
            <w:r>
              <w:rPr>
                <w:rFonts w:hint="eastAsia" w:ascii="宋体" w:hAnsi="宋体" w:eastAsia="宋体" w:cs="宋体"/>
                <w:i w:val="0"/>
                <w:color w:val="000000"/>
                <w:kern w:val="0"/>
                <w:sz w:val="18"/>
                <w:szCs w:val="18"/>
                <w:u w:val="none"/>
                <w:lang w:val="en-US" w:eastAsia="zh-CN" w:bidi="ar"/>
              </w:rPr>
              <w:t>部门预算项目12月预算执行进度</w:t>
            </w:r>
            <w:r>
              <w:rPr>
                <w:rFonts w:hint="eastAsia" w:ascii="宋体" w:hAnsi="宋体" w:cs="宋体"/>
                <w:i w:val="0"/>
                <w:color w:val="000000"/>
                <w:kern w:val="0"/>
                <w:sz w:val="18"/>
                <w:szCs w:val="18"/>
                <w:u w:val="none"/>
                <w:lang w:val="en-US" w:eastAsia="zh-CN" w:bidi="ar"/>
              </w:rPr>
              <w:t>未到100%。</w:t>
            </w:r>
          </w:p>
        </w:tc>
      </w:tr>
      <w:tr>
        <w:tblPrEx>
          <w:shd w:val="clear" w:color="auto" w:fill="auto"/>
          <w:tblCellMar>
            <w:top w:w="0" w:type="dxa"/>
            <w:left w:w="0" w:type="dxa"/>
            <w:bottom w:w="0" w:type="dxa"/>
            <w:right w:w="0" w:type="dxa"/>
          </w:tblCellMar>
        </w:tblPrEx>
        <w:trPr>
          <w:trHeight w:val="1100" w:hRule="atLeast"/>
        </w:trPr>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0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违规记录</w:t>
            </w:r>
          </w:p>
        </w:tc>
        <w:tc>
          <w:tcPr>
            <w:tcW w:w="4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27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根据审计监督、财政检查结果反映部门上一年度部门预算管理是否合规。</w:t>
            </w:r>
          </w:p>
        </w:tc>
        <w:tc>
          <w:tcPr>
            <w:tcW w:w="34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1760" w:hRule="atLeast"/>
        </w:trPr>
        <w:tc>
          <w:tcPr>
            <w:tcW w:w="632"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专项预算管理（20分）</w:t>
            </w:r>
          </w:p>
        </w:tc>
        <w:tc>
          <w:tcPr>
            <w:tcW w:w="632"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项目决策（8分）</w:t>
            </w:r>
          </w:p>
        </w:tc>
        <w:tc>
          <w:tcPr>
            <w:tcW w:w="50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程序严密</w:t>
            </w:r>
          </w:p>
        </w:tc>
        <w:tc>
          <w:tcPr>
            <w:tcW w:w="4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27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评价专项项目的设立是否经过严格评估论证、管理制度是否完善健全。</w:t>
            </w:r>
          </w:p>
        </w:tc>
        <w:tc>
          <w:tcPr>
            <w:tcW w:w="34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2460" w:hRule="atLeast"/>
        </w:trPr>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0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规划合理</w:t>
            </w:r>
          </w:p>
        </w:tc>
        <w:tc>
          <w:tcPr>
            <w:tcW w:w="4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27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评价项目规划是否符合县委、县政府重大决策部署，项目年度绩效目标与规划是否一致。</w:t>
            </w:r>
          </w:p>
        </w:tc>
        <w:tc>
          <w:tcPr>
            <w:tcW w:w="34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3260" w:hRule="atLeast"/>
        </w:trPr>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0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结果符合</w:t>
            </w:r>
          </w:p>
        </w:tc>
        <w:tc>
          <w:tcPr>
            <w:tcW w:w="4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27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评价项目实施结果与项目总体规划计划是否一致。</w:t>
            </w:r>
          </w:p>
        </w:tc>
        <w:tc>
          <w:tcPr>
            <w:tcW w:w="34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2120" w:hRule="atLeast"/>
        </w:trPr>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32"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项目实施（4分）</w:t>
            </w:r>
          </w:p>
        </w:tc>
        <w:tc>
          <w:tcPr>
            <w:tcW w:w="50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分配科学</w:t>
            </w:r>
          </w:p>
        </w:tc>
        <w:tc>
          <w:tcPr>
            <w:tcW w:w="4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27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评价项目分配方法选择是否科学，分类评价分配程序和过程管理是否规范。</w:t>
            </w:r>
          </w:p>
        </w:tc>
        <w:tc>
          <w:tcPr>
            <w:tcW w:w="34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lang w:eastAsia="zh-CN"/>
              </w:rPr>
            </w:pPr>
          </w:p>
        </w:tc>
      </w:tr>
      <w:tr>
        <w:tblPrEx>
          <w:shd w:val="clear" w:color="auto" w:fill="auto"/>
          <w:tblCellMar>
            <w:top w:w="0" w:type="dxa"/>
            <w:left w:w="0" w:type="dxa"/>
            <w:bottom w:w="0" w:type="dxa"/>
            <w:right w:w="0" w:type="dxa"/>
          </w:tblCellMar>
        </w:tblPrEx>
        <w:trPr>
          <w:trHeight w:val="620" w:hRule="atLeast"/>
        </w:trPr>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0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分配及时</w:t>
            </w:r>
          </w:p>
        </w:tc>
        <w:tc>
          <w:tcPr>
            <w:tcW w:w="4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27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 xml:space="preserve">评价部门是否按规定时限及时分配专项预算资金。                    </w:t>
            </w:r>
          </w:p>
        </w:tc>
        <w:tc>
          <w:tcPr>
            <w:tcW w:w="34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1200" w:hRule="atLeast"/>
        </w:trPr>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32"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完成结果（8分）</w:t>
            </w:r>
          </w:p>
        </w:tc>
        <w:tc>
          <w:tcPr>
            <w:tcW w:w="50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预算完成</w:t>
            </w:r>
          </w:p>
        </w:tc>
        <w:tc>
          <w:tcPr>
            <w:tcW w:w="4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cs="宋体"/>
                <w:i w:val="0"/>
                <w:color w:val="000000"/>
                <w:kern w:val="0"/>
                <w:sz w:val="20"/>
                <w:szCs w:val="20"/>
                <w:u w:val="none"/>
                <w:lang w:val="en-US" w:eastAsia="zh-CN" w:bidi="ar"/>
              </w:rPr>
              <w:t>2</w:t>
            </w:r>
          </w:p>
        </w:tc>
        <w:tc>
          <w:tcPr>
            <w:tcW w:w="27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评价专项项目资金拨付到具体项目（人）的情况。</w:t>
            </w:r>
          </w:p>
        </w:tc>
        <w:tc>
          <w:tcPr>
            <w:tcW w:w="34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专项资金</w:t>
            </w:r>
            <w:r>
              <w:rPr>
                <w:rFonts w:hint="eastAsia" w:ascii="宋体" w:hAnsi="宋体" w:cs="宋体"/>
                <w:i w:val="0"/>
                <w:color w:val="000000"/>
                <w:kern w:val="0"/>
                <w:sz w:val="18"/>
                <w:szCs w:val="18"/>
                <w:u w:val="none"/>
                <w:lang w:val="en-US" w:eastAsia="zh-CN" w:bidi="ar"/>
              </w:rPr>
              <w:t>未全部拨付到位。</w:t>
            </w:r>
          </w:p>
        </w:tc>
      </w:tr>
      <w:tr>
        <w:tblPrEx>
          <w:shd w:val="clear" w:color="auto" w:fill="auto"/>
          <w:tblCellMar>
            <w:top w:w="0" w:type="dxa"/>
            <w:left w:w="0" w:type="dxa"/>
            <w:bottom w:w="0" w:type="dxa"/>
            <w:right w:w="0" w:type="dxa"/>
          </w:tblCellMar>
        </w:tblPrEx>
        <w:trPr>
          <w:trHeight w:val="1900" w:hRule="atLeast"/>
        </w:trPr>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0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实施绩效</w:t>
            </w:r>
          </w:p>
        </w:tc>
        <w:tc>
          <w:tcPr>
            <w:tcW w:w="4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27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 xml:space="preserve">评价专项项目实施绩效情况。                      </w:t>
            </w:r>
          </w:p>
        </w:tc>
        <w:tc>
          <w:tcPr>
            <w:tcW w:w="34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880" w:hRule="atLeast"/>
        </w:trPr>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0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违规记录</w:t>
            </w:r>
          </w:p>
        </w:tc>
        <w:tc>
          <w:tcPr>
            <w:tcW w:w="4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27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根据审计监督、财政检查结果反映部门上一年度部门专项预算管理是否合规。</w:t>
            </w:r>
          </w:p>
        </w:tc>
        <w:tc>
          <w:tcPr>
            <w:tcW w:w="34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1140" w:hRule="atLeast"/>
        </w:trPr>
        <w:tc>
          <w:tcPr>
            <w:tcW w:w="632"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绩效结果应用（20分）</w:t>
            </w:r>
          </w:p>
        </w:tc>
        <w:tc>
          <w:tcPr>
            <w:tcW w:w="6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自评质量（4分）</w:t>
            </w:r>
          </w:p>
        </w:tc>
        <w:tc>
          <w:tcPr>
            <w:tcW w:w="50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自评准确</w:t>
            </w:r>
          </w:p>
        </w:tc>
        <w:tc>
          <w:tcPr>
            <w:tcW w:w="4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27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评价部门整体支出自评准确率。</w:t>
            </w:r>
          </w:p>
        </w:tc>
        <w:tc>
          <w:tcPr>
            <w:tcW w:w="34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880" w:hRule="atLeast"/>
        </w:trPr>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32"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信息公开（8分）</w:t>
            </w:r>
          </w:p>
        </w:tc>
        <w:tc>
          <w:tcPr>
            <w:tcW w:w="50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目标公开</w:t>
            </w:r>
          </w:p>
        </w:tc>
        <w:tc>
          <w:tcPr>
            <w:tcW w:w="4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27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评价部门绩效目标是否按要求向社会公开。</w:t>
            </w:r>
          </w:p>
        </w:tc>
        <w:tc>
          <w:tcPr>
            <w:tcW w:w="34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r>
      <w:tr>
        <w:tblPrEx>
          <w:shd w:val="clear" w:color="auto" w:fill="auto"/>
          <w:tblCellMar>
            <w:top w:w="0" w:type="dxa"/>
            <w:left w:w="0" w:type="dxa"/>
            <w:bottom w:w="0" w:type="dxa"/>
            <w:right w:w="0" w:type="dxa"/>
          </w:tblCellMar>
        </w:tblPrEx>
        <w:trPr>
          <w:trHeight w:val="880" w:hRule="atLeast"/>
        </w:trPr>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0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自评公开</w:t>
            </w:r>
          </w:p>
        </w:tc>
        <w:tc>
          <w:tcPr>
            <w:tcW w:w="4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27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评价部门是否按要求将部门整体绩效自评情况和自行组织的评价情况向社会公开。</w:t>
            </w:r>
          </w:p>
        </w:tc>
        <w:tc>
          <w:tcPr>
            <w:tcW w:w="34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1080" w:hRule="atLeast"/>
        </w:trPr>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32"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整改反馈（8分）</w:t>
            </w:r>
          </w:p>
        </w:tc>
        <w:tc>
          <w:tcPr>
            <w:tcW w:w="50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结果整改</w:t>
            </w:r>
          </w:p>
        </w:tc>
        <w:tc>
          <w:tcPr>
            <w:tcW w:w="4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27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评价部门根据绩效管理结果整改问题、完善政策、改进管理的情况。</w:t>
            </w:r>
          </w:p>
        </w:tc>
        <w:tc>
          <w:tcPr>
            <w:tcW w:w="34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1080" w:hRule="atLeast"/>
        </w:trPr>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3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0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应用反馈</w:t>
            </w:r>
          </w:p>
        </w:tc>
        <w:tc>
          <w:tcPr>
            <w:tcW w:w="4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27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评价部门按要求及时向财政部门反馈结果应用情况。</w:t>
            </w:r>
          </w:p>
        </w:tc>
        <w:tc>
          <w:tcPr>
            <w:tcW w:w="34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trHeight w:val="375" w:hRule="atLeast"/>
        </w:trPr>
        <w:tc>
          <w:tcPr>
            <w:tcW w:w="1771"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总分合计</w:t>
            </w:r>
          </w:p>
        </w:tc>
        <w:tc>
          <w:tcPr>
            <w:tcW w:w="47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4"/>
                <w:szCs w:val="24"/>
                <w:u w:val="none"/>
                <w:lang w:val="en-US"/>
              </w:rPr>
            </w:pPr>
            <w:r>
              <w:rPr>
                <w:rFonts w:hint="eastAsia" w:ascii="宋体" w:hAnsi="宋体" w:eastAsia="宋体" w:cs="宋体"/>
                <w:i w:val="0"/>
                <w:color w:val="000000"/>
                <w:kern w:val="0"/>
                <w:sz w:val="24"/>
                <w:szCs w:val="24"/>
                <w:u w:val="none"/>
                <w:lang w:val="en-US" w:eastAsia="zh-CN" w:bidi="ar"/>
              </w:rPr>
              <w:t>9</w:t>
            </w:r>
            <w:r>
              <w:rPr>
                <w:rFonts w:hint="eastAsia" w:ascii="宋体" w:hAnsi="宋体" w:cs="宋体"/>
                <w:i w:val="0"/>
                <w:color w:val="000000"/>
                <w:kern w:val="0"/>
                <w:sz w:val="24"/>
                <w:szCs w:val="24"/>
                <w:u w:val="none"/>
                <w:lang w:val="en-US" w:eastAsia="zh-CN" w:bidi="ar"/>
              </w:rPr>
              <w:t>5</w:t>
            </w:r>
          </w:p>
        </w:tc>
        <w:tc>
          <w:tcPr>
            <w:tcW w:w="27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34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r>
    </w:tbl>
    <w:p>
      <w:pPr>
        <w:pStyle w:val="2"/>
        <w:rPr>
          <w:rFonts w:hint="eastAsia"/>
        </w:rPr>
      </w:pPr>
    </w:p>
    <w:p>
      <w:pPr>
        <w:spacing w:line="560" w:lineRule="exact"/>
        <w:ind w:firstLine="643" w:firstLineChars="200"/>
        <w:rPr>
          <w:rFonts w:hint="eastAsia" w:ascii="楷体_GB2312" w:eastAsia="楷体_GB2312"/>
          <w:b/>
          <w:sz w:val="32"/>
          <w:szCs w:val="32"/>
        </w:rPr>
      </w:pPr>
      <w:r>
        <w:rPr>
          <w:rFonts w:hint="eastAsia" w:ascii="楷体_GB2312" w:eastAsia="楷体_GB2312"/>
          <w:b/>
          <w:sz w:val="32"/>
          <w:szCs w:val="32"/>
        </w:rPr>
        <w:t>（二）综合管理情况</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1.年度目标完成情况</w:t>
      </w:r>
    </w:p>
    <w:p>
      <w:pPr>
        <w:keepNext w:val="0"/>
        <w:keepLines w:val="0"/>
        <w:pageBreakBefore w:val="0"/>
        <w:widowControl w:val="0"/>
        <w:kinsoku/>
        <w:wordWrap/>
        <w:overflowPunct/>
        <w:topLinePunct w:val="0"/>
        <w:autoSpaceDE/>
        <w:autoSpaceDN w:val="0"/>
        <w:bidi w:val="0"/>
        <w:adjustRightInd/>
        <w:snapToGrid/>
        <w:spacing w:line="580" w:lineRule="exact"/>
        <w:ind w:firstLine="602"/>
        <w:textAlignment w:val="auto"/>
        <w:rPr>
          <w:rFonts w:hint="eastAsia"/>
        </w:rPr>
      </w:pPr>
      <w:r>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t>2020年，全年累计完成交通建设固定资产投资20亿元、占目标任务133.3%；完成交通建设投资14.18亿元，占目标任务的147.7%。</w:t>
      </w:r>
    </w:p>
    <w:p>
      <w:pPr>
        <w:ind w:firstLine="643" w:firstLineChars="200"/>
        <w:jc w:val="both"/>
        <w:rPr>
          <w:rFonts w:hint="eastAsia" w:ascii="仿宋_GB2312" w:eastAsia="仿宋_GB2312"/>
          <w:color w:val="FF0000"/>
          <w:sz w:val="32"/>
          <w:szCs w:val="32"/>
          <w:lang w:val="en-US" w:eastAsia="zh-CN"/>
        </w:rPr>
      </w:pPr>
      <w:r>
        <w:rPr>
          <w:rFonts w:hint="eastAsia" w:ascii="仿宋_GB2312" w:hAnsi="仿宋_GB2312" w:eastAsia="仿宋_GB2312" w:cs="仿宋_GB2312"/>
          <w:b/>
          <w:bCs/>
          <w:caps w:val="0"/>
          <w:smallCaps w:val="0"/>
          <w:vanish w:val="0"/>
          <w:color w:val="auto"/>
          <w:spacing w:val="0"/>
          <w:w w:val="100"/>
          <w:kern w:val="2"/>
          <w:sz w:val="32"/>
          <w:szCs w:val="22"/>
          <w:lang w:val="en-US" w:eastAsia="zh-CN" w:bidi="ar-SA"/>
        </w:rPr>
        <w:t>（一）持续用力谋划项目前期。</w:t>
      </w:r>
      <w:r>
        <w:rPr>
          <w:rFonts w:hint="eastAsia" w:ascii="仿宋_GB2312" w:hAnsi="仿宋_GB2312" w:eastAsia="仿宋_GB2312" w:cs="仿宋_GB2312"/>
          <w:b w:val="0"/>
          <w:caps w:val="0"/>
          <w:smallCaps w:val="0"/>
          <w:vanish w:val="0"/>
          <w:color w:val="auto"/>
          <w:spacing w:val="0"/>
          <w:w w:val="100"/>
          <w:sz w:val="32"/>
          <w:szCs w:val="22"/>
          <w:lang w:val="en-US" w:eastAsia="zh-CN"/>
        </w:rPr>
        <w:t>目前，</w:t>
      </w:r>
      <w:r>
        <w:rPr>
          <w:rFonts w:hint="eastAsia" w:ascii="仿宋_GB2312" w:hAnsi="仿宋_GB2312" w:eastAsia="仿宋_GB2312" w:cs="仿宋_GB2312"/>
          <w:color w:val="auto"/>
          <w:spacing w:val="0"/>
          <w:sz w:val="32"/>
          <w:szCs w:val="32"/>
        </w:rPr>
        <w:t>G5京昆复线（京昆高速公路汉中至广元段四川境扩容）项目已通过省政府BOT建设授权，工程可行性研究报告通过</w:t>
      </w:r>
      <w:r>
        <w:rPr>
          <w:rFonts w:hint="eastAsia" w:ascii="仿宋_GB2312" w:hAnsi="仿宋_GB2312" w:eastAsia="仿宋_GB2312" w:cs="仿宋_GB2312"/>
          <w:color w:val="auto"/>
          <w:spacing w:val="0"/>
          <w:sz w:val="32"/>
          <w:szCs w:val="32"/>
          <w:lang w:eastAsia="zh-CN"/>
        </w:rPr>
        <w:t>了</w:t>
      </w:r>
      <w:r>
        <w:rPr>
          <w:rFonts w:hint="eastAsia" w:ascii="仿宋_GB2312" w:hAnsi="仿宋_GB2312" w:eastAsia="仿宋_GB2312" w:cs="仿宋_GB2312"/>
          <w:color w:val="auto"/>
          <w:spacing w:val="0"/>
          <w:sz w:val="32"/>
          <w:szCs w:val="32"/>
        </w:rPr>
        <w:t>省发改委和省交通运输厅联合评估，并已和川高公司等三家企业签订</w:t>
      </w:r>
      <w:r>
        <w:rPr>
          <w:rFonts w:hint="eastAsia" w:ascii="仿宋_GB2312" w:hAnsi="仿宋_GB2312" w:eastAsia="仿宋_GB2312" w:cs="仿宋_GB2312"/>
          <w:color w:val="auto"/>
          <w:spacing w:val="0"/>
          <w:sz w:val="32"/>
          <w:szCs w:val="32"/>
          <w:lang w:eastAsia="zh-CN"/>
        </w:rPr>
        <w:t>建设</w:t>
      </w:r>
      <w:r>
        <w:rPr>
          <w:rFonts w:hint="eastAsia" w:ascii="仿宋_GB2312" w:hAnsi="仿宋_GB2312" w:eastAsia="仿宋_GB2312" w:cs="仿宋_GB2312"/>
          <w:color w:val="auto"/>
          <w:spacing w:val="0"/>
          <w:sz w:val="32"/>
          <w:szCs w:val="32"/>
        </w:rPr>
        <w:t>投资协议</w:t>
      </w:r>
      <w:r>
        <w:rPr>
          <w:rFonts w:hint="eastAsia" w:ascii="仿宋_GB2312" w:hAnsi="仿宋_GB2312" w:eastAsia="仿宋_GB2312" w:cs="仿宋_GB2312"/>
          <w:color w:val="auto"/>
          <w:spacing w:val="0"/>
          <w:sz w:val="32"/>
          <w:szCs w:val="32"/>
          <w:lang w:eastAsia="zh-CN"/>
        </w:rPr>
        <w:t>；</w:t>
      </w:r>
      <w:r>
        <w:rPr>
          <w:rFonts w:hint="eastAsia" w:ascii="仿宋_GB2312" w:hAnsi="仿宋_GB2312" w:eastAsia="仿宋_GB2312" w:cs="仿宋_GB2312"/>
          <w:color w:val="auto"/>
          <w:spacing w:val="0"/>
          <w:sz w:val="32"/>
          <w:szCs w:val="32"/>
        </w:rPr>
        <w:t>G5012恩广高速公路（广巴段）新增旺苍互通式立交工程已于9月23日签订</w:t>
      </w:r>
      <w:r>
        <w:rPr>
          <w:rFonts w:hint="eastAsia" w:ascii="仿宋_GB2312" w:hAnsi="仿宋_GB2312" w:eastAsia="仿宋_GB2312" w:cs="仿宋_GB2312"/>
          <w:color w:val="auto"/>
          <w:spacing w:val="0"/>
          <w:sz w:val="32"/>
          <w:szCs w:val="32"/>
          <w:lang w:eastAsia="zh-CN"/>
        </w:rPr>
        <w:t>建设</w:t>
      </w:r>
      <w:r>
        <w:rPr>
          <w:rFonts w:hint="eastAsia" w:ascii="仿宋_GB2312" w:hAnsi="仿宋_GB2312" w:eastAsia="仿宋_GB2312" w:cs="仿宋_GB2312"/>
          <w:color w:val="auto"/>
          <w:spacing w:val="0"/>
          <w:sz w:val="32"/>
          <w:szCs w:val="32"/>
        </w:rPr>
        <w:t>投资协议，目前施工方正在进行施工</w:t>
      </w:r>
      <w:r>
        <w:rPr>
          <w:rFonts w:hint="eastAsia" w:ascii="仿宋_GB2312" w:hAnsi="仿宋_GB2312" w:eastAsia="仿宋_GB2312" w:cs="仿宋_GB2312"/>
          <w:color w:val="auto"/>
          <w:spacing w:val="0"/>
          <w:sz w:val="32"/>
          <w:szCs w:val="32"/>
          <w:lang w:eastAsia="zh-CN"/>
        </w:rPr>
        <w:t>进场</w:t>
      </w:r>
      <w:r>
        <w:rPr>
          <w:rFonts w:hint="eastAsia" w:ascii="仿宋_GB2312" w:hAnsi="仿宋_GB2312" w:eastAsia="仿宋_GB2312" w:cs="仿宋_GB2312"/>
          <w:color w:val="auto"/>
          <w:spacing w:val="0"/>
          <w:sz w:val="32"/>
          <w:szCs w:val="32"/>
        </w:rPr>
        <w:t>准备</w:t>
      </w:r>
      <w:r>
        <w:rPr>
          <w:rFonts w:hint="eastAsia" w:ascii="仿宋_GB2312" w:hAnsi="仿宋_GB2312" w:eastAsia="仿宋_GB2312" w:cs="仿宋_GB2312"/>
          <w:color w:val="auto"/>
          <w:spacing w:val="0"/>
          <w:sz w:val="32"/>
          <w:szCs w:val="32"/>
          <w:lang w:eastAsia="zh-CN"/>
        </w:rPr>
        <w:t>；</w:t>
      </w:r>
      <w:r>
        <w:rPr>
          <w:rFonts w:hint="eastAsia" w:ascii="仿宋_GB2312" w:hAnsi="仿宋_GB2312" w:eastAsia="仿宋_GB2312" w:cs="仿宋_GB2312"/>
          <w:color w:val="auto"/>
          <w:spacing w:val="0"/>
          <w:sz w:val="32"/>
          <w:szCs w:val="32"/>
        </w:rPr>
        <w:t>南（江）盐（亭）高速公路已纳入《四川省高速公路网规划(2019-2035年)》</w:t>
      </w:r>
      <w:r>
        <w:rPr>
          <w:rFonts w:hint="eastAsia" w:ascii="仿宋_GB2312" w:hAnsi="仿宋_GB2312" w:eastAsia="仿宋_GB2312" w:cs="仿宋_GB2312"/>
          <w:color w:val="auto"/>
          <w:spacing w:val="0"/>
          <w:sz w:val="32"/>
          <w:szCs w:val="32"/>
          <w:lang w:eastAsia="zh-CN"/>
        </w:rPr>
        <w:t>，</w:t>
      </w:r>
      <w:r>
        <w:rPr>
          <w:rFonts w:hint="eastAsia" w:ascii="仿宋_GB2312" w:hAnsi="仿宋_GB2312" w:eastAsia="仿宋_GB2312" w:cs="仿宋_GB2312"/>
          <w:color w:val="auto"/>
          <w:spacing w:val="0"/>
          <w:sz w:val="32"/>
          <w:szCs w:val="32"/>
        </w:rPr>
        <w:t>正在做前期方案论证</w:t>
      </w:r>
      <w:r>
        <w:rPr>
          <w:rFonts w:hint="eastAsia" w:ascii="仿宋_GB2312" w:hAnsi="仿宋_GB2312" w:eastAsia="仿宋_GB2312" w:cs="仿宋_GB2312"/>
          <w:color w:val="auto"/>
          <w:spacing w:val="0"/>
          <w:sz w:val="32"/>
          <w:szCs w:val="32"/>
          <w:lang w:eastAsia="zh-CN"/>
        </w:rPr>
        <w:t>；</w:t>
      </w:r>
      <w:r>
        <w:rPr>
          <w:rFonts w:hint="eastAsia" w:ascii="仿宋_GB2312" w:hAnsi="仿宋_GB2312" w:eastAsia="仿宋_GB2312" w:cs="仿宋_GB2312"/>
          <w:color w:val="auto"/>
          <w:spacing w:val="0"/>
          <w:sz w:val="32"/>
          <w:szCs w:val="32"/>
        </w:rPr>
        <w:t>G542线广元至巴中段公路项目已取得省发改委立项批复</w:t>
      </w:r>
      <w:r>
        <w:rPr>
          <w:rFonts w:hint="eastAsia" w:ascii="仿宋_GB2312" w:hAnsi="仿宋_GB2312" w:eastAsia="仿宋_GB2312" w:cs="仿宋_GB2312"/>
          <w:color w:val="auto"/>
          <w:spacing w:val="0"/>
          <w:sz w:val="32"/>
          <w:szCs w:val="32"/>
          <w:lang w:eastAsia="zh-CN"/>
        </w:rPr>
        <w:t>；</w:t>
      </w:r>
      <w:r>
        <w:rPr>
          <w:rFonts w:hint="eastAsia" w:ascii="仿宋_GB2312" w:hAnsi="仿宋_GB2312" w:eastAsia="仿宋_GB2312" w:cs="仿宋_GB2312"/>
          <w:color w:val="auto"/>
          <w:spacing w:val="0"/>
          <w:sz w:val="32"/>
          <w:szCs w:val="32"/>
        </w:rPr>
        <w:t>S30</w:t>
      </w:r>
      <w:r>
        <w:rPr>
          <w:rFonts w:hint="eastAsia" w:ascii="仿宋_GB2312" w:hAnsi="仿宋_GB2312" w:eastAsia="仿宋_GB2312" w:cs="仿宋_GB2312"/>
          <w:color w:val="auto"/>
          <w:spacing w:val="0"/>
          <w:sz w:val="32"/>
          <w:szCs w:val="32"/>
          <w:lang w:val="en-US" w:eastAsia="zh-CN"/>
        </w:rPr>
        <w:t>2</w:t>
      </w:r>
      <w:r>
        <w:rPr>
          <w:rFonts w:hint="eastAsia" w:ascii="仿宋_GB2312" w:hAnsi="仿宋_GB2312" w:eastAsia="仿宋_GB2312" w:cs="仿宋_GB2312"/>
          <w:color w:val="auto"/>
          <w:spacing w:val="0"/>
          <w:sz w:val="32"/>
          <w:szCs w:val="32"/>
        </w:rPr>
        <w:t>线</w:t>
      </w:r>
      <w:r>
        <w:rPr>
          <w:rFonts w:hint="eastAsia" w:ascii="仿宋_GB2312" w:hAnsi="仿宋_GB2312" w:eastAsia="仿宋_GB2312" w:cs="仿宋_GB2312"/>
          <w:color w:val="auto"/>
          <w:spacing w:val="0"/>
          <w:sz w:val="32"/>
          <w:szCs w:val="32"/>
          <w:lang w:eastAsia="zh-CN"/>
        </w:rPr>
        <w:t>、</w:t>
      </w:r>
      <w:r>
        <w:rPr>
          <w:rFonts w:hint="eastAsia" w:ascii="仿宋_GB2312" w:hAnsi="仿宋_GB2312" w:eastAsia="仿宋_GB2312" w:cs="仿宋_GB2312"/>
          <w:color w:val="auto"/>
          <w:spacing w:val="0"/>
          <w:sz w:val="32"/>
          <w:szCs w:val="32"/>
        </w:rPr>
        <w:t>S30</w:t>
      </w:r>
      <w:r>
        <w:rPr>
          <w:rFonts w:hint="eastAsia" w:ascii="仿宋_GB2312" w:hAnsi="仿宋_GB2312" w:eastAsia="仿宋_GB2312" w:cs="仿宋_GB2312"/>
          <w:color w:val="auto"/>
          <w:spacing w:val="0"/>
          <w:sz w:val="32"/>
          <w:szCs w:val="32"/>
          <w:lang w:val="en-US" w:eastAsia="zh-CN"/>
        </w:rPr>
        <w:t>3</w:t>
      </w:r>
      <w:r>
        <w:rPr>
          <w:rFonts w:hint="eastAsia" w:ascii="仿宋_GB2312" w:hAnsi="仿宋_GB2312" w:eastAsia="仿宋_GB2312" w:cs="仿宋_GB2312"/>
          <w:color w:val="auto"/>
          <w:spacing w:val="0"/>
          <w:sz w:val="32"/>
          <w:szCs w:val="32"/>
        </w:rPr>
        <w:t>线</w:t>
      </w:r>
      <w:r>
        <w:rPr>
          <w:rFonts w:hint="eastAsia" w:ascii="仿宋_GB2312" w:hAnsi="仿宋_GB2312" w:eastAsia="仿宋_GB2312" w:cs="仿宋_GB2312"/>
          <w:color w:val="auto"/>
          <w:spacing w:val="0"/>
          <w:sz w:val="32"/>
          <w:szCs w:val="32"/>
          <w:lang w:eastAsia="zh-CN"/>
        </w:rPr>
        <w:t>公路工程项目</w:t>
      </w:r>
      <w:r>
        <w:rPr>
          <w:rFonts w:hint="eastAsia" w:ascii="仿宋_GB2312" w:hAnsi="仿宋_GB2312" w:eastAsia="仿宋_GB2312" w:cs="仿宋_GB2312"/>
          <w:color w:val="auto"/>
          <w:spacing w:val="0"/>
          <w:sz w:val="32"/>
          <w:szCs w:val="32"/>
        </w:rPr>
        <w:t>正在</w:t>
      </w:r>
      <w:r>
        <w:rPr>
          <w:rFonts w:hint="eastAsia" w:ascii="仿宋_GB2312" w:hAnsi="仿宋_GB2312" w:eastAsia="仿宋_GB2312" w:cs="仿宋_GB2312"/>
          <w:color w:val="auto"/>
          <w:spacing w:val="0"/>
          <w:sz w:val="32"/>
          <w:szCs w:val="32"/>
          <w:lang w:eastAsia="zh-CN"/>
        </w:rPr>
        <w:t>积极</w:t>
      </w:r>
      <w:r>
        <w:rPr>
          <w:rFonts w:hint="eastAsia" w:ascii="仿宋_GB2312" w:hAnsi="仿宋_GB2312" w:eastAsia="仿宋_GB2312" w:cs="仿宋_GB2312"/>
          <w:color w:val="auto"/>
          <w:spacing w:val="0"/>
          <w:sz w:val="32"/>
          <w:szCs w:val="32"/>
        </w:rPr>
        <w:t>开展</w:t>
      </w:r>
      <w:r>
        <w:rPr>
          <w:rFonts w:hint="eastAsia" w:ascii="仿宋_GB2312" w:hAnsi="仿宋_GB2312" w:eastAsia="仿宋_GB2312" w:cs="仿宋_GB2312"/>
          <w:color w:val="auto"/>
          <w:spacing w:val="0"/>
          <w:sz w:val="32"/>
          <w:szCs w:val="32"/>
          <w:lang w:eastAsia="zh-CN"/>
        </w:rPr>
        <w:t>项目</w:t>
      </w:r>
      <w:r>
        <w:rPr>
          <w:rFonts w:hint="eastAsia" w:ascii="仿宋_GB2312" w:hAnsi="仿宋_GB2312" w:eastAsia="仿宋_GB2312" w:cs="仿宋_GB2312"/>
          <w:color w:val="auto"/>
          <w:spacing w:val="0"/>
          <w:sz w:val="32"/>
          <w:szCs w:val="32"/>
        </w:rPr>
        <w:t>建议书、工程可行性研究报告的编制工作；</w:t>
      </w:r>
      <w:r>
        <w:rPr>
          <w:rFonts w:hint="eastAsia" w:ascii="华文仿宋" w:hAnsi="华文仿宋" w:eastAsia="华文仿宋" w:cs="华文仿宋"/>
          <w:sz w:val="32"/>
          <w:szCs w:val="32"/>
        </w:rPr>
        <w:t>S411线广元市苍溪至旺苍段公路建设工程（旺苍段）</w:t>
      </w:r>
      <w:r>
        <w:rPr>
          <w:rFonts w:hint="eastAsia" w:ascii="华文仿宋" w:hAnsi="华文仿宋" w:eastAsia="华文仿宋" w:cs="华文仿宋"/>
          <w:sz w:val="32"/>
          <w:szCs w:val="32"/>
          <w:lang w:eastAsia="zh-CN"/>
        </w:rPr>
        <w:t>项目</w:t>
      </w:r>
      <w:r>
        <w:rPr>
          <w:rFonts w:hint="eastAsia" w:ascii="仿宋_GB2312" w:hAnsi="仿宋_GB2312" w:eastAsia="仿宋_GB2312" w:cs="仿宋_GB2312"/>
          <w:color w:val="auto"/>
          <w:spacing w:val="0"/>
          <w:sz w:val="32"/>
          <w:szCs w:val="32"/>
        </w:rPr>
        <w:t>正在进行施工图设计文件编制</w:t>
      </w:r>
      <w:r>
        <w:rPr>
          <w:rFonts w:hint="eastAsia" w:ascii="仿宋_GB2312" w:hAnsi="仿宋_GB2312" w:eastAsia="仿宋_GB2312" w:cs="仿宋_GB2312"/>
          <w:color w:val="auto"/>
          <w:spacing w:val="0"/>
          <w:sz w:val="32"/>
          <w:szCs w:val="32"/>
          <w:lang w:eastAsia="zh-CN"/>
        </w:rPr>
        <w:t>；</w:t>
      </w:r>
      <w:r>
        <w:rPr>
          <w:rFonts w:hint="eastAsia" w:ascii="仿宋_GB2312" w:hAnsi="仿宋_GB2312" w:eastAsia="仿宋_GB2312" w:cs="仿宋_GB2312"/>
          <w:color w:val="auto"/>
          <w:spacing w:val="0"/>
          <w:sz w:val="32"/>
          <w:szCs w:val="32"/>
          <w:lang w:val="en-US" w:eastAsia="zh-CN"/>
        </w:rPr>
        <w:t>美丽乡村旅游示范路（盐河至米仓山镇）</w:t>
      </w:r>
      <w:r>
        <w:rPr>
          <w:rFonts w:hint="eastAsia" w:ascii="仿宋_GB2312" w:hAnsi="仿宋_GB2312" w:eastAsia="仿宋_GB2312" w:cs="仿宋_GB2312"/>
          <w:color w:val="auto"/>
          <w:spacing w:val="0"/>
          <w:sz w:val="32"/>
          <w:szCs w:val="32"/>
          <w:lang w:eastAsia="zh-CN"/>
        </w:rPr>
        <w:t>正在开展</w:t>
      </w:r>
      <w:r>
        <w:rPr>
          <w:rFonts w:hint="eastAsia" w:ascii="仿宋_GB2312" w:hAnsi="仿宋_GB2312" w:eastAsia="仿宋_GB2312" w:cs="仿宋_GB2312"/>
          <w:color w:val="auto"/>
          <w:spacing w:val="0"/>
          <w:sz w:val="32"/>
          <w:szCs w:val="32"/>
          <w:lang w:val="en-US" w:eastAsia="zh-CN"/>
        </w:rPr>
        <w:t>工可编制工作。</w:t>
      </w:r>
    </w:p>
    <w:p>
      <w:pPr>
        <w:keepNext w:val="0"/>
        <w:keepLines w:val="0"/>
        <w:pageBreakBefore w:val="0"/>
        <w:widowControl w:val="0"/>
        <w:numPr>
          <w:ilvl w:val="0"/>
          <w:numId w:val="0"/>
        </w:numPr>
        <w:kinsoku/>
        <w:wordWrap/>
        <w:overflowPunct/>
        <w:topLinePunct w:val="0"/>
        <w:autoSpaceDE/>
        <w:bidi w:val="0"/>
        <w:adjustRightInd/>
        <w:snapToGrid/>
        <w:spacing w:line="576" w:lineRule="exact"/>
        <w:ind w:firstLine="643" w:firstLineChars="200"/>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bCs/>
          <w:caps w:val="0"/>
          <w:smallCaps w:val="0"/>
          <w:vanish w:val="0"/>
          <w:color w:val="auto"/>
          <w:spacing w:val="0"/>
          <w:w w:val="100"/>
          <w:kern w:val="2"/>
          <w:sz w:val="32"/>
          <w:szCs w:val="22"/>
          <w:lang w:val="en-US" w:eastAsia="zh-CN" w:bidi="ar-SA"/>
        </w:rPr>
        <w:t>（二）强力推进交通项目建设。</w:t>
      </w:r>
      <w:r>
        <w:rPr>
          <w:rFonts w:hint="eastAsia" w:ascii="仿宋_GB2312" w:hAnsi="仿宋_GB2312" w:eastAsia="仿宋_GB2312" w:cs="仿宋_GB2312"/>
          <w:b w:val="0"/>
          <w:bCs w:val="0"/>
          <w:caps w:val="0"/>
          <w:smallCaps w:val="0"/>
          <w:vanish w:val="0"/>
          <w:color w:val="auto"/>
          <w:spacing w:val="0"/>
          <w:w w:val="100"/>
          <w:kern w:val="2"/>
          <w:sz w:val="32"/>
          <w:szCs w:val="22"/>
          <w:lang w:val="en-US" w:eastAsia="zh-CN" w:bidi="ar-SA"/>
        </w:rPr>
        <w:t>2</w:t>
      </w:r>
      <w:r>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t>020年，进一步加大了交通项目推进力度。</w:t>
      </w:r>
      <w:r>
        <w:rPr>
          <w:rFonts w:hint="eastAsia" w:ascii="仿宋_GB2312" w:hAnsi="仿宋_GB2312" w:eastAsia="仿宋_GB2312" w:cs="仿宋_GB2312"/>
          <w:b/>
          <w:bCs/>
          <w:caps w:val="0"/>
          <w:smallCaps w:val="0"/>
          <w:vanish w:val="0"/>
          <w:color w:val="auto"/>
          <w:spacing w:val="0"/>
          <w:w w:val="100"/>
          <w:kern w:val="2"/>
          <w:sz w:val="32"/>
          <w:szCs w:val="22"/>
          <w:lang w:val="en-US" w:eastAsia="zh-CN" w:bidi="ar-SA"/>
        </w:rPr>
        <w:t>一是</w:t>
      </w:r>
      <w:r>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t>国省干线公路PPP项目。持续深入推进G542线旺苍县嘉川至东河公路PPP项目建设，已完成全线路基工程，完成建设投资</w:t>
      </w:r>
      <w:r>
        <w:rPr>
          <w:rFonts w:hint="eastAsia" w:ascii="仿宋_GB2312" w:hAnsi="仿宋_GB2312" w:eastAsia="仿宋_GB2312" w:cs="仿宋_GB2312"/>
          <w:b w:val="0"/>
          <w:caps w:val="0"/>
          <w:smallCaps w:val="0"/>
          <w:vanish w:val="0"/>
          <w:color w:val="000000"/>
          <w:spacing w:val="0"/>
          <w:w w:val="100"/>
          <w:kern w:val="2"/>
          <w:sz w:val="32"/>
          <w:szCs w:val="22"/>
          <w:lang w:val="en-US" w:eastAsia="zh-CN" w:bidi="ar-SA"/>
        </w:rPr>
        <w:t>9.14</w:t>
      </w:r>
      <w:r>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t>亿元，占年度目标任务的140.6%；</w:t>
      </w:r>
      <w:r>
        <w:rPr>
          <w:rFonts w:hint="eastAsia" w:ascii="仿宋_GB2312" w:hAnsi="仿宋_GB2312" w:eastAsia="仿宋_GB2312" w:cs="仿宋_GB2312"/>
          <w:b w:val="0"/>
          <w:caps w:val="0"/>
          <w:smallCaps w:val="0"/>
          <w:vanish w:val="0"/>
          <w:color w:val="000000"/>
          <w:spacing w:val="0"/>
          <w:w w:val="100"/>
          <w:kern w:val="2"/>
          <w:sz w:val="32"/>
          <w:szCs w:val="22"/>
          <w:lang w:val="en-US" w:eastAsia="zh-CN" w:bidi="ar-SA"/>
        </w:rPr>
        <w:t>S301线檬子至天星公路PPP项目已完成征拆实物核查统计、电力及通信线路迁改，桥梁工程完成50%，路基工程完成30%，累计完成建设投资4.9亿元，占年度目标任务108.9%。</w:t>
      </w:r>
      <w:r>
        <w:rPr>
          <w:rFonts w:hint="eastAsia" w:ascii="仿宋_GB2312" w:hAnsi="仿宋_GB2312" w:eastAsia="仿宋_GB2312" w:cs="仿宋_GB2312"/>
          <w:b/>
          <w:bCs/>
          <w:caps w:val="0"/>
          <w:smallCaps w:val="0"/>
          <w:vanish w:val="0"/>
          <w:color w:val="auto"/>
          <w:spacing w:val="0"/>
          <w:w w:val="100"/>
          <w:kern w:val="2"/>
          <w:sz w:val="32"/>
          <w:szCs w:val="22"/>
          <w:lang w:val="en-US" w:eastAsia="zh-CN" w:bidi="ar-SA"/>
        </w:rPr>
        <w:t>二是</w:t>
      </w:r>
      <w:r>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t>旅游公路项目。黄猫垭战役遗址旅游景区旺苍段连接公路（一期）24.99公里已完成路基工程60%、挡防工程70%，完成路面铺筑6公里，累计完成投资8700万元，占年度目标任务的106.2%；罗家渡（鹿渡村）至黄洋（水营村）公路改造（二期）工程已全面完成路基工程，完成建设投资1.13亿元、占年度目标任务的113%。</w:t>
      </w:r>
      <w:r>
        <w:rPr>
          <w:rFonts w:hint="eastAsia" w:ascii="仿宋_GB2312" w:hAnsi="仿宋_GB2312" w:eastAsia="仿宋_GB2312" w:cs="仿宋_GB2312"/>
          <w:b/>
          <w:bCs/>
          <w:caps w:val="0"/>
          <w:smallCaps w:val="0"/>
          <w:vanish w:val="0"/>
          <w:color w:val="auto"/>
          <w:spacing w:val="0"/>
          <w:w w:val="100"/>
          <w:kern w:val="2"/>
          <w:sz w:val="32"/>
          <w:szCs w:val="22"/>
          <w:lang w:val="en-US" w:eastAsia="zh-CN" w:bidi="ar-SA"/>
        </w:rPr>
        <w:t>三是</w:t>
      </w:r>
      <w:r>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t>其他农村公路建设项目。</w:t>
      </w:r>
      <w:r>
        <w:rPr>
          <w:rFonts w:hint="eastAsia" w:ascii="仿宋" w:hAnsi="仿宋" w:eastAsia="仿宋" w:cs="仿宋_GB2312"/>
          <w:sz w:val="32"/>
          <w:szCs w:val="32"/>
          <w:lang w:eastAsia="zh-CN"/>
        </w:rPr>
        <w:t>今年</w:t>
      </w:r>
      <w:r>
        <w:rPr>
          <w:rFonts w:hint="eastAsia" w:ascii="仿宋" w:hAnsi="仿宋" w:eastAsia="仿宋" w:cs="仿宋_GB2312"/>
          <w:sz w:val="32"/>
          <w:szCs w:val="32"/>
          <w:lang w:val="en-US" w:eastAsia="zh-CN"/>
        </w:rPr>
        <w:t>改扩建</w:t>
      </w:r>
      <w:r>
        <w:rPr>
          <w:rFonts w:hint="eastAsia" w:ascii="仿宋" w:hAnsi="仿宋" w:eastAsia="仿宋" w:cs="仿宋_GB2312"/>
          <w:sz w:val="32"/>
          <w:szCs w:val="32"/>
        </w:rPr>
        <w:t>通村组道路</w:t>
      </w:r>
      <w:r>
        <w:rPr>
          <w:rFonts w:hint="eastAsia" w:ascii="仿宋" w:hAnsi="仿宋" w:eastAsia="仿宋" w:cs="仿宋_GB2312"/>
          <w:sz w:val="32"/>
          <w:szCs w:val="32"/>
          <w:lang w:val="en-US" w:eastAsia="zh-CN"/>
        </w:rPr>
        <w:t>287.1</w:t>
      </w:r>
      <w:r>
        <w:rPr>
          <w:rFonts w:hint="eastAsia" w:ascii="仿宋" w:hAnsi="仿宋" w:eastAsia="仿宋" w:cs="仿宋_GB2312"/>
          <w:sz w:val="32"/>
          <w:szCs w:val="32"/>
        </w:rPr>
        <w:t>公里，</w:t>
      </w:r>
      <w:r>
        <w:rPr>
          <w:rFonts w:hint="eastAsia" w:ascii="仿宋" w:hAnsi="仿宋" w:eastAsia="仿宋" w:cs="仿宋_GB2312"/>
          <w:sz w:val="32"/>
          <w:szCs w:val="32"/>
          <w:lang w:val="en-US" w:eastAsia="zh-CN"/>
        </w:rPr>
        <w:t>占目标任务的114.4</w:t>
      </w:r>
      <w:r>
        <w:rPr>
          <w:rFonts w:hint="eastAsia" w:ascii="仿宋" w:hAnsi="仿宋" w:eastAsia="仿宋" w:cs="仿宋_GB2312"/>
          <w:color w:val="000000"/>
          <w:sz w:val="32"/>
          <w:szCs w:val="32"/>
          <w:lang w:val="en-US" w:eastAsia="zh-CN"/>
        </w:rPr>
        <w:t>%；改建县乡公路14.6公里，占目标任务的100%；</w:t>
      </w:r>
      <w:r>
        <w:rPr>
          <w:rFonts w:hint="eastAsia" w:ascii="仿宋_GB2312" w:hAnsi="仿宋_GB2312" w:eastAsia="仿宋_GB2312" w:cs="仿宋_GB2312"/>
          <w:color w:val="auto"/>
          <w:sz w:val="32"/>
          <w:szCs w:val="32"/>
          <w:lang w:val="en-US" w:eastAsia="zh-CN"/>
        </w:rPr>
        <w:t>全面完工</w:t>
      </w:r>
      <w:r>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t>大万路、嘉柳路、龙高路、菩船路、大水路等</w:t>
      </w:r>
      <w:r>
        <w:rPr>
          <w:rFonts w:hint="eastAsia" w:ascii="仿宋_GB2312" w:hAnsi="仿宋_GB2312" w:eastAsia="仿宋_GB2312" w:cs="仿宋_GB2312"/>
          <w:color w:val="auto"/>
          <w:sz w:val="32"/>
          <w:szCs w:val="32"/>
          <w:lang w:val="en-US" w:eastAsia="zh-CN"/>
        </w:rPr>
        <w:t>5条续建县乡公路。</w:t>
      </w:r>
      <w:r>
        <w:rPr>
          <w:rFonts w:hint="eastAsia" w:ascii="仿宋_GB2312" w:hAnsi="仿宋_GB2312" w:eastAsia="仿宋_GB2312" w:cs="仿宋_GB2312"/>
          <w:b/>
          <w:bCs/>
          <w:color w:val="auto"/>
          <w:sz w:val="32"/>
          <w:szCs w:val="32"/>
          <w:lang w:val="en-US" w:eastAsia="zh-CN"/>
        </w:rPr>
        <w:t>四是</w:t>
      </w:r>
      <w:r>
        <w:rPr>
          <w:rFonts w:hint="eastAsia" w:ascii="仿宋_GB2312" w:hAnsi="仿宋_GB2312" w:eastAsia="仿宋_GB2312" w:cs="仿宋_GB2312"/>
          <w:b w:val="0"/>
          <w:bCs w:val="0"/>
          <w:color w:val="auto"/>
          <w:sz w:val="32"/>
          <w:szCs w:val="32"/>
          <w:lang w:val="en-US" w:eastAsia="zh-CN"/>
        </w:rPr>
        <w:t>桥梁工程。</w:t>
      </w:r>
      <w:r>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t>全面完成河东桥、友坝桥、牛头岩桥等3座续建桥梁，新开工建设木门镇大沟碥桥、普济镇横石梁桥、三江镇端公潭桥等3座农村公路桥梁；</w:t>
      </w:r>
      <w:r>
        <w:rPr>
          <w:rFonts w:hint="eastAsia" w:ascii="仿宋_GB2312" w:hAnsi="仿宋_GB2312" w:eastAsia="仿宋_GB2312" w:cs="仿宋_GB2312"/>
          <w:b/>
          <w:bCs/>
          <w:caps w:val="0"/>
          <w:smallCaps w:val="0"/>
          <w:vanish w:val="0"/>
          <w:color w:val="auto"/>
          <w:spacing w:val="0"/>
          <w:w w:val="100"/>
          <w:kern w:val="2"/>
          <w:sz w:val="32"/>
          <w:szCs w:val="22"/>
          <w:lang w:val="en-US" w:eastAsia="zh-CN" w:bidi="ar-SA"/>
        </w:rPr>
        <w:t>五是</w:t>
      </w:r>
      <w:r>
        <w:rPr>
          <w:rFonts w:hint="eastAsia" w:ascii="仿宋_GB2312" w:hAnsi="仿宋_GB2312" w:eastAsia="仿宋_GB2312" w:cs="仿宋_GB2312"/>
          <w:b w:val="0"/>
          <w:bCs w:val="0"/>
          <w:color w:val="auto"/>
          <w:sz w:val="32"/>
          <w:szCs w:val="32"/>
          <w:lang w:val="en-US" w:eastAsia="zh-CN"/>
        </w:rPr>
        <w:t>西南水泥技改扩能项目。目前已完成西南水泥进厂道路新建工程设计方案编制工作。</w:t>
      </w:r>
    </w:p>
    <w:p>
      <w:pPr>
        <w:keepNext w:val="0"/>
        <w:keepLines w:val="0"/>
        <w:pageBreakBefore w:val="0"/>
        <w:numPr>
          <w:ilvl w:val="0"/>
          <w:numId w:val="0"/>
        </w:numPr>
        <w:kinsoku/>
        <w:wordWrap/>
        <w:overflowPunct/>
        <w:topLinePunct w:val="0"/>
        <w:autoSpaceDE/>
        <w:bidi w:val="0"/>
        <w:adjustRightInd/>
        <w:snapToGrid/>
        <w:spacing w:line="580" w:lineRule="exact"/>
        <w:ind w:firstLine="643" w:firstLineChars="200"/>
        <w:textAlignment w:val="auto"/>
        <w:rPr>
          <w:rFonts w:hint="eastAsia" w:ascii="仿宋_GB2312" w:hAnsi="仿宋_GB2312" w:eastAsia="仿宋_GB2312" w:cs="仿宋_GB2312"/>
          <w:b/>
          <w:bCs/>
          <w:caps w:val="0"/>
          <w:smallCaps w:val="0"/>
          <w:vanish w:val="0"/>
          <w:color w:val="auto"/>
          <w:spacing w:val="0"/>
          <w:w w:val="100"/>
          <w:kern w:val="2"/>
          <w:sz w:val="32"/>
          <w:szCs w:val="22"/>
          <w:lang w:val="en-US" w:eastAsia="zh-CN" w:bidi="ar-SA"/>
        </w:rPr>
      </w:pPr>
      <w:r>
        <w:rPr>
          <w:rFonts w:hint="eastAsia" w:ascii="楷体_GB2312" w:hAnsi="楷体_GB2312" w:eastAsia="楷体_GB2312" w:cs="楷体_GB2312"/>
          <w:b/>
          <w:bCs/>
          <w:color w:val="auto"/>
          <w:spacing w:val="0"/>
          <w:kern w:val="2"/>
          <w:sz w:val="32"/>
          <w:szCs w:val="32"/>
          <w:lang w:val="en-US" w:eastAsia="zh-CN" w:bidi="ar-SA"/>
        </w:rPr>
        <w:t>（三）全力抓好公路管养工作。</w:t>
      </w:r>
      <w:r>
        <w:rPr>
          <w:rFonts w:hint="eastAsia" w:ascii="仿宋_GB2312" w:hAnsi="仿宋_GB2312" w:eastAsia="仿宋_GB2312" w:cs="仿宋_GB2312"/>
          <w:b/>
          <w:bCs/>
          <w:caps w:val="0"/>
          <w:smallCaps w:val="0"/>
          <w:vanish w:val="0"/>
          <w:color w:val="auto"/>
          <w:spacing w:val="0"/>
          <w:w w:val="100"/>
          <w:kern w:val="2"/>
          <w:sz w:val="32"/>
          <w:szCs w:val="22"/>
          <w:lang w:val="en-US" w:eastAsia="zh-CN" w:bidi="ar-SA"/>
        </w:rPr>
        <w:t>一是</w:t>
      </w:r>
      <w:r>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t>积极推动公路养护工程。全面加快县级养护和应急保通中心建设，结合G542线嘉东公路工程同步实施，目前已完成设计及场坪工作；全面完成G542线中修工程（三江至乐坝段14公里、县城至黄洋3公里）、白水至县城段31公里预防性养护工程；全面完成G542线普济养护站新建及5个养护站（白水、尚武、嘉川、黄洋、三江养护站）维修改造；4座危桥改造已完成（薛家桥、东升桥、柳树一桥、西河口桥）</w:t>
      </w:r>
      <w:r>
        <w:rPr>
          <w:rFonts w:hint="eastAsia" w:ascii="仿宋_GB2312" w:hAnsi="仿宋_GB2312" w:eastAsia="仿宋_GB2312" w:cs="仿宋_GB2312"/>
          <w:b w:val="0"/>
          <w:bCs w:val="0"/>
          <w:caps w:val="0"/>
          <w:smallCaps w:val="0"/>
          <w:vanish w:val="0"/>
          <w:color w:val="000000"/>
          <w:spacing w:val="0"/>
          <w:w w:val="100"/>
          <w:kern w:val="2"/>
          <w:sz w:val="32"/>
          <w:szCs w:val="22"/>
          <w:lang w:val="en-US" w:eastAsia="zh-CN" w:bidi="ar-SA"/>
        </w:rPr>
        <w:t>。</w:t>
      </w:r>
      <w:r>
        <w:rPr>
          <w:rFonts w:hint="eastAsia" w:ascii="仿宋_GB2312" w:hAnsi="仿宋_GB2312" w:eastAsia="仿宋_GB2312" w:cs="仿宋_GB2312"/>
          <w:b/>
          <w:bCs/>
          <w:caps w:val="0"/>
          <w:smallCaps w:val="0"/>
          <w:vanish w:val="0"/>
          <w:color w:val="auto"/>
          <w:spacing w:val="0"/>
          <w:w w:val="100"/>
          <w:kern w:val="2"/>
          <w:sz w:val="32"/>
          <w:szCs w:val="22"/>
          <w:lang w:val="en-US" w:eastAsia="zh-CN" w:bidi="ar-SA"/>
        </w:rPr>
        <w:t>二是</w:t>
      </w:r>
      <w:r>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t>认真开展公路日常养护。加强公路日常养护巡查保洁、病害治理、汛期安全隐患排查、应急抢险等工作。全年累计挖补国省干线公路、县道及重点通乡联网公路沥青路面3.5万余平方米、疏通涵洞680道、维修挡墙0.55万立方米、清理水沟670公里、清除坍方5.25万余立方米。经专业检测，我县国省干线公路路面使用性能指数PQI值达90以上，县道好路率达80%以上。</w:t>
      </w:r>
      <w:r>
        <w:rPr>
          <w:rFonts w:hint="eastAsia" w:ascii="仿宋_GB2312" w:hAnsi="仿宋_GB2312" w:eastAsia="仿宋_GB2312" w:cs="仿宋_GB2312"/>
          <w:b/>
          <w:bCs/>
          <w:caps w:val="0"/>
          <w:smallCaps w:val="0"/>
          <w:vanish w:val="0"/>
          <w:color w:val="auto"/>
          <w:spacing w:val="0"/>
          <w:w w:val="100"/>
          <w:kern w:val="2"/>
          <w:sz w:val="32"/>
          <w:szCs w:val="22"/>
          <w:lang w:val="en-US" w:eastAsia="zh-CN" w:bidi="ar-SA"/>
        </w:rPr>
        <w:t>三是</w:t>
      </w:r>
      <w:r>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t>切实加强路产路权维护。为有效维护路产路权、保障公路安全畅通，持续加强路政巡查，出动宣传车辆500余次，查处乱堆乱放占道行为53起，清理路障295立方米；办理各类案件86件,查处率、结案率、索赔率均为100%。</w:t>
      </w:r>
    </w:p>
    <w:p>
      <w:pPr>
        <w:keepNext w:val="0"/>
        <w:keepLines w:val="0"/>
        <w:pageBreakBefore w:val="0"/>
        <w:widowControl w:val="0"/>
        <w:kinsoku/>
        <w:wordWrap/>
        <w:overflowPunct/>
        <w:topLinePunct w:val="0"/>
        <w:autoSpaceDE/>
        <w:autoSpaceDN w:val="0"/>
        <w:bidi w:val="0"/>
        <w:adjustRightInd/>
        <w:snapToGrid/>
        <w:spacing w:line="580" w:lineRule="exact"/>
        <w:ind w:firstLine="602"/>
        <w:textAlignment w:val="auto"/>
        <w:rPr>
          <w:rFonts w:hint="default" w:ascii="仿宋_GB2312" w:hAnsi="仿宋_GB2312" w:eastAsia="仿宋_GB2312" w:cs="仿宋_GB2312"/>
          <w:b w:val="0"/>
          <w:caps w:val="0"/>
          <w:smallCaps w:val="0"/>
          <w:vanish w:val="0"/>
          <w:color w:val="auto"/>
          <w:spacing w:val="0"/>
          <w:w w:val="100"/>
          <w:kern w:val="2"/>
          <w:sz w:val="32"/>
          <w:szCs w:val="22"/>
          <w:lang w:val="en-US" w:eastAsia="zh-CN" w:bidi="ar-SA"/>
        </w:rPr>
      </w:pPr>
      <w:r>
        <w:rPr>
          <w:rFonts w:hint="eastAsia" w:ascii="楷体_GB2312" w:hAnsi="楷体_GB2312" w:eastAsia="楷体_GB2312" w:cs="楷体_GB2312"/>
          <w:b/>
          <w:bCs/>
          <w:color w:val="auto"/>
          <w:spacing w:val="0"/>
          <w:sz w:val="32"/>
          <w:szCs w:val="32"/>
          <w:lang w:val="en-US" w:eastAsia="zh-CN"/>
        </w:rPr>
        <w:t>（四）强化公路水路运输管理工作。</w:t>
      </w:r>
      <w:r>
        <w:rPr>
          <w:rFonts w:hint="eastAsia" w:ascii="仿宋_GB2312" w:hAnsi="仿宋_GB2312" w:eastAsia="仿宋_GB2312" w:cs="仿宋_GB2312"/>
          <w:b/>
          <w:bCs/>
          <w:caps w:val="0"/>
          <w:smallCaps w:val="0"/>
          <w:vanish w:val="0"/>
          <w:color w:val="auto"/>
          <w:spacing w:val="0"/>
          <w:w w:val="100"/>
          <w:kern w:val="2"/>
          <w:sz w:val="32"/>
          <w:szCs w:val="22"/>
          <w:lang w:val="en-US" w:eastAsia="zh-CN" w:bidi="ar-SA"/>
        </w:rPr>
        <w:t>一是</w:t>
      </w:r>
      <w:r>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t>保持“双超”整治高压态势。结合县道路交通运输行业秩序暨城市交通乱象、扬尘污染综合整治工作，按照“站点+流动”超限检测模式，实行24小时轮流值班，持续深入开展道路超限超载专项整治，严厉打击车辆超限超载运输。今年来，共检测车辆13.69万辆次、卸货1586余吨，办理道路运输违法案件139件，货运车辆超限率控制在3%以内。</w:t>
      </w:r>
      <w:r>
        <w:rPr>
          <w:rFonts w:hint="eastAsia" w:ascii="仿宋_GB2312" w:hAnsi="仿宋_GB2312" w:eastAsia="仿宋_GB2312" w:cs="仿宋_GB2312"/>
          <w:b/>
          <w:bCs/>
          <w:caps w:val="0"/>
          <w:smallCaps w:val="0"/>
          <w:vanish w:val="0"/>
          <w:color w:val="auto"/>
          <w:spacing w:val="0"/>
          <w:w w:val="100"/>
          <w:kern w:val="2"/>
          <w:sz w:val="32"/>
          <w:szCs w:val="22"/>
          <w:lang w:val="en-US" w:eastAsia="zh-CN" w:bidi="ar-SA"/>
        </w:rPr>
        <w:t>二是</w:t>
      </w:r>
      <w:r>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t>持续开展“打非治违”。会同公安交警、道安办等单位深入开展规范道路运输领域营运行为，对县内非法客运行为进行综合整治，严厉打击了“黑车”非法客运行为。今年来，共查处非法营运车辆67辆。</w:t>
      </w:r>
      <w:r>
        <w:rPr>
          <w:rFonts w:hint="eastAsia" w:ascii="仿宋_GB2312" w:hAnsi="仿宋_GB2312" w:eastAsia="仿宋_GB2312" w:cs="仿宋_GB2312"/>
          <w:b/>
          <w:bCs/>
          <w:caps w:val="0"/>
          <w:smallCaps w:val="0"/>
          <w:vanish w:val="0"/>
          <w:color w:val="auto"/>
          <w:spacing w:val="0"/>
          <w:w w:val="100"/>
          <w:kern w:val="2"/>
          <w:sz w:val="32"/>
          <w:szCs w:val="22"/>
          <w:lang w:val="en-US" w:eastAsia="zh-CN" w:bidi="ar-SA"/>
        </w:rPr>
        <w:t>三是</w:t>
      </w:r>
      <w:r>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t>着力规范管理运输服务。结合创卫工作要求，重点针对机动车维修、驾培、城市客运及寄递物流等道路运输服务，切实加大行业监管，全面落实了寄递物流三个100%制度。</w:t>
      </w:r>
      <w:r>
        <w:rPr>
          <w:rFonts w:hint="eastAsia" w:ascii="仿宋_GB2312" w:hAnsi="仿宋_GB2312" w:eastAsia="仿宋_GB2312" w:cs="仿宋_GB2312"/>
          <w:color w:val="auto"/>
          <w:spacing w:val="0"/>
          <w:sz w:val="32"/>
          <w:szCs w:val="32"/>
          <w:lang w:val="en-US" w:eastAsia="zh-CN"/>
        </w:rPr>
        <w:t>以全县开展道路交通运输行业秩序暨城市交通乱象、扬尘污染综合整治工作为契机，采取疏堵结合方式，</w:t>
      </w:r>
      <w:r>
        <w:rPr>
          <w:rFonts w:hint="eastAsia" w:ascii="仿宋_GB2312" w:hAnsi="仿宋_GB2312" w:eastAsia="仿宋_GB2312" w:cs="仿宋_GB2312"/>
          <w:color w:val="auto"/>
          <w:spacing w:val="0"/>
          <w:sz w:val="32"/>
          <w:szCs w:val="32"/>
          <w:lang w:eastAsia="zh-CN"/>
        </w:rPr>
        <w:t>以高压常态执法持续遏制非法营运，</w:t>
      </w:r>
      <w:r>
        <w:rPr>
          <w:rFonts w:hint="eastAsia" w:ascii="仿宋_GB2312" w:hAnsi="仿宋_GB2312" w:eastAsia="仿宋_GB2312" w:cs="仿宋_GB2312"/>
          <w:color w:val="auto"/>
          <w:spacing w:val="0"/>
          <w:sz w:val="32"/>
          <w:szCs w:val="32"/>
          <w:lang w:val="en-US" w:eastAsia="zh-CN"/>
        </w:rPr>
        <w:t>切实加强道路运输非法客货营运乱象“清源”工作，继续做好“两客一危”安全生产</w:t>
      </w:r>
      <w:r>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t>，进一步规范、净化市场环境</w:t>
      </w:r>
      <w:r>
        <w:rPr>
          <w:rFonts w:hint="eastAsia" w:ascii="仿宋_GB2312" w:hAnsi="仿宋_GB2312" w:eastAsia="仿宋_GB2312" w:cs="仿宋_GB2312"/>
          <w:color w:val="auto"/>
          <w:spacing w:val="0"/>
          <w:sz w:val="32"/>
          <w:szCs w:val="32"/>
          <w:lang w:val="en-US" w:eastAsia="zh-CN"/>
        </w:rPr>
        <w:t>。</w:t>
      </w:r>
      <w:r>
        <w:rPr>
          <w:rFonts w:hint="eastAsia" w:ascii="仿宋_GB2312" w:hAnsi="仿宋_GB2312" w:eastAsia="仿宋_GB2312" w:cs="仿宋_GB2312"/>
          <w:b/>
          <w:bCs/>
          <w:color w:val="auto"/>
          <w:spacing w:val="0"/>
          <w:sz w:val="32"/>
          <w:szCs w:val="32"/>
          <w:lang w:val="en-US" w:eastAsia="zh-CN"/>
        </w:rPr>
        <w:t>四是</w:t>
      </w:r>
      <w:r>
        <w:rPr>
          <w:rFonts w:hint="eastAsia" w:ascii="仿宋_GB2312" w:hAnsi="仿宋_GB2312" w:eastAsia="仿宋_GB2312" w:cs="仿宋_GB2312"/>
          <w:color w:val="auto"/>
          <w:spacing w:val="0"/>
          <w:sz w:val="32"/>
          <w:szCs w:val="32"/>
          <w:lang w:val="en-US" w:eastAsia="zh-CN"/>
        </w:rPr>
        <w:t>强化水上交通安全风险源管理。通过渡改桥、整治航段等措施彻底消除风险源，推进安全监管标准化，确保不发生水上交通安全事故，并加强了码头和船舶的污染防治工作。</w:t>
      </w:r>
      <w:r>
        <w:rPr>
          <w:rFonts w:hint="eastAsia" w:ascii="华文仿宋" w:hAnsi="华文仿宋" w:eastAsia="华文仿宋" w:cs="华文仿宋"/>
          <w:b w:val="0"/>
          <w:caps w:val="0"/>
          <w:smallCaps w:val="0"/>
          <w:vanish w:val="0"/>
          <w:color w:val="auto"/>
          <w:spacing w:val="0"/>
          <w:w w:val="100"/>
          <w:kern w:val="2"/>
          <w:sz w:val="32"/>
          <w:szCs w:val="32"/>
          <w:lang w:val="en-US" w:eastAsia="zh-CN" w:bidi="ar-SA"/>
        </w:rPr>
        <w:t>五是</w:t>
      </w:r>
      <w:r>
        <w:rPr>
          <w:rFonts w:hint="eastAsia" w:ascii="仿宋_GB2312" w:hAnsi="仿宋_GB2312" w:eastAsia="仿宋_GB2312" w:cs="仿宋_GB2312"/>
          <w:color w:val="auto"/>
          <w:spacing w:val="0"/>
          <w:sz w:val="32"/>
          <w:szCs w:val="32"/>
          <w:lang w:val="en-US" w:eastAsia="zh-CN"/>
        </w:rPr>
        <w:t>坚持做好客货运输工作。全年累计完成道路客运周转量13064万人公里、货运周转120912万吨公里，目前居全市前列；完成水路客运周转量9.5万人公里、货运周转量19.4万吨公路。</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default" w:ascii="仿宋_GB2312" w:hAnsi="仿宋_GB2312" w:eastAsia="仿宋_GB2312" w:cs="仿宋_GB2312"/>
          <w:color w:val="auto"/>
          <w:spacing w:val="0"/>
          <w:sz w:val="32"/>
          <w:szCs w:val="32"/>
          <w:lang w:val="en-US" w:eastAsia="zh-CN"/>
        </w:rPr>
      </w:pPr>
      <w:r>
        <w:rPr>
          <w:rFonts w:hint="eastAsia" w:ascii="楷体_GB2312" w:hAnsi="楷体_GB2312" w:eastAsia="楷体_GB2312" w:cs="楷体_GB2312"/>
          <w:b/>
          <w:bCs/>
          <w:color w:val="auto"/>
          <w:spacing w:val="0"/>
          <w:sz w:val="32"/>
          <w:szCs w:val="32"/>
          <w:lang w:val="en-US" w:eastAsia="zh-CN"/>
        </w:rPr>
        <w:t>（五）扎实推进全面小康“三大攻坚战”工作。一是</w:t>
      </w:r>
      <w:r>
        <w:rPr>
          <w:rFonts w:hint="eastAsia" w:ascii="仿宋_GB2312" w:hAnsi="仿宋_GB2312" w:eastAsia="仿宋_GB2312" w:cs="仿宋_GB2312"/>
          <w:color w:val="auto"/>
          <w:spacing w:val="0"/>
          <w:sz w:val="32"/>
          <w:szCs w:val="32"/>
          <w:lang w:val="en-US" w:eastAsia="zh-CN"/>
        </w:rPr>
        <w:t>全力做好脱贫攻坚工作。今年交通扶贫项目共110个，目前已全面完工，占年度目标任务的100%，全面实现了100%乡镇、村通硬化路、100%建制村通客运的脱贫攻坚目标任务；局机关4个驻村工作队在各村有序开展驻村帮扶工作，完成了各级脱贫攻坚督查发现问题的整改销号及考评，同时，也圆满完成了脱贫奔康三年交通大会战目标任务。</w:t>
      </w:r>
      <w:r>
        <w:rPr>
          <w:rFonts w:hint="eastAsia" w:ascii="仿宋_GB2312" w:hAnsi="仿宋_GB2312" w:eastAsia="仿宋_GB2312" w:cs="仿宋_GB2312"/>
          <w:b/>
          <w:bCs/>
          <w:color w:val="auto"/>
          <w:spacing w:val="0"/>
          <w:sz w:val="32"/>
          <w:szCs w:val="32"/>
          <w:lang w:val="en-US" w:eastAsia="zh-CN"/>
        </w:rPr>
        <w:t>二是</w:t>
      </w:r>
      <w:r>
        <w:rPr>
          <w:rFonts w:hint="eastAsia" w:ascii="仿宋_GB2312" w:hAnsi="仿宋_GB2312" w:eastAsia="仿宋_GB2312" w:cs="仿宋_GB2312"/>
          <w:color w:val="auto"/>
          <w:spacing w:val="0"/>
          <w:sz w:val="32"/>
          <w:szCs w:val="32"/>
          <w:lang w:val="en-US" w:eastAsia="zh-CN"/>
        </w:rPr>
        <w:t>全力保持行业安全稳定。</w:t>
      </w:r>
      <w:r>
        <w:rPr>
          <w:rFonts w:hint="eastAsia" w:ascii="仿宋_GB2312" w:hAnsi="仿宋_GB2312" w:eastAsia="仿宋_GB2312" w:cs="仿宋_GB2312"/>
          <w:color w:val="auto"/>
          <w:spacing w:val="0"/>
          <w:kern w:val="2"/>
          <w:sz w:val="32"/>
          <w:szCs w:val="32"/>
          <w:lang w:val="en-US" w:eastAsia="zh-CN" w:bidi="ar-SA"/>
        </w:rPr>
        <w:t>按照“党政同责、一岗双责、齐抓共管”的工作要求，</w:t>
      </w:r>
      <w:r>
        <w:rPr>
          <w:rFonts w:hint="eastAsia" w:ascii="仿宋_GB2312" w:hAnsi="仿宋_GB2312" w:eastAsia="仿宋_GB2312" w:cs="仿宋_GB2312"/>
          <w:color w:val="auto"/>
          <w:spacing w:val="0"/>
          <w:sz w:val="32"/>
          <w:szCs w:val="32"/>
        </w:rPr>
        <w:t>坚持把安全工作纳入局重要工作，与局中心工作同部署、同落实、同检查</w:t>
      </w:r>
      <w:r>
        <w:rPr>
          <w:rFonts w:hint="eastAsia" w:ascii="仿宋_GB2312" w:hAnsi="仿宋_GB2312" w:eastAsia="仿宋_GB2312" w:cs="仿宋_GB2312"/>
          <w:color w:val="auto"/>
          <w:spacing w:val="0"/>
          <w:sz w:val="32"/>
          <w:szCs w:val="32"/>
          <w:lang w:eastAsia="zh-CN"/>
        </w:rPr>
        <w:t>，</w:t>
      </w:r>
      <w:r>
        <w:rPr>
          <w:rFonts w:hint="eastAsia" w:ascii="仿宋_GB2312" w:hAnsi="仿宋_GB2312" w:eastAsia="仿宋_GB2312" w:cs="仿宋_GB2312"/>
          <w:color w:val="auto"/>
          <w:spacing w:val="0"/>
          <w:sz w:val="32"/>
          <w:szCs w:val="32"/>
          <w:lang w:val="en-US" w:eastAsia="zh-CN"/>
        </w:rPr>
        <w:t>强化交通运输安全管理，加大隐患排查，完成了省市下达的全部道路重大隐患治理任务；健全完善了各项应急预案，加强了应急队伍建设，并完成了局应急指挥中心的建设；全力推进农村道路安全、建设安全、消防安全、食品安全等方面工作，并将疫情常态化防控工作落地落实；全面完成维稳工作、信访工作目标，积极排除不稳定因素，全年累计办理省、市、县书记信箱、县长信箱、12345、12328平台信访件446件。</w:t>
      </w:r>
      <w:r>
        <w:rPr>
          <w:rFonts w:hint="eastAsia" w:ascii="仿宋_GB2312" w:hAnsi="仿宋_GB2312" w:eastAsia="仿宋_GB2312" w:cs="仿宋_GB2312"/>
          <w:b/>
          <w:bCs/>
          <w:color w:val="auto"/>
          <w:spacing w:val="0"/>
          <w:sz w:val="32"/>
          <w:szCs w:val="32"/>
          <w:lang w:val="en-US" w:eastAsia="zh-CN"/>
        </w:rPr>
        <w:t>三是</w:t>
      </w:r>
      <w:r>
        <w:rPr>
          <w:rFonts w:hint="eastAsia" w:ascii="仿宋_GB2312" w:hAnsi="仿宋_GB2312" w:eastAsia="仿宋_GB2312" w:cs="仿宋_GB2312"/>
          <w:color w:val="auto"/>
          <w:spacing w:val="0"/>
          <w:sz w:val="32"/>
          <w:szCs w:val="32"/>
          <w:lang w:val="en-US" w:eastAsia="zh-CN"/>
        </w:rPr>
        <w:t>全面推进污染防治及创国卫工作。交通在建工地全面落实环境保护党政同责责任，及时落实各级环保督察问题整改，并稳步推进河（湖）长制工作；按照创卫相关工要求，全面落实门前“双包”工作，保障了我县创国卫工作取得实质性进展。</w:t>
      </w:r>
    </w:p>
    <w:p>
      <w:pPr>
        <w:keepNext w:val="0"/>
        <w:keepLines w:val="0"/>
        <w:pageBreakBefore w:val="0"/>
        <w:widowControl w:val="0"/>
        <w:kinsoku/>
        <w:wordWrap/>
        <w:overflowPunct/>
        <w:topLinePunct w:val="0"/>
        <w:autoSpaceDE w:val="0"/>
        <w:autoSpaceDN/>
        <w:bidi w:val="0"/>
        <w:adjustRightInd/>
        <w:snapToGrid/>
        <w:spacing w:line="576" w:lineRule="exact"/>
        <w:ind w:firstLine="643" w:firstLineChars="200"/>
        <w:textAlignment w:val="auto"/>
        <w:rPr>
          <w:rFonts w:hint="default" w:ascii="仿宋_GB2312" w:hAnsi="仿宋_GB2312" w:eastAsia="仿宋_GB2312" w:cs="仿宋_GB2312"/>
          <w:color w:val="auto"/>
          <w:spacing w:val="0"/>
          <w:sz w:val="32"/>
          <w:szCs w:val="32"/>
          <w:lang w:val="en-US" w:eastAsia="zh-CN"/>
        </w:rPr>
      </w:pPr>
      <w:r>
        <w:rPr>
          <w:rFonts w:hint="eastAsia" w:ascii="楷体_GB2312" w:hAnsi="楷体_GB2312" w:eastAsia="楷体_GB2312" w:cs="楷体_GB2312"/>
          <w:b/>
          <w:bCs/>
          <w:color w:val="auto"/>
          <w:spacing w:val="0"/>
          <w:sz w:val="32"/>
          <w:szCs w:val="32"/>
          <w:lang w:val="en-US" w:eastAsia="zh-CN"/>
        </w:rPr>
        <w:t>（六）全力推进经济建设工作。一是</w:t>
      </w:r>
      <w:r>
        <w:rPr>
          <w:rFonts w:hint="eastAsia" w:ascii="仿宋_GB2312" w:eastAsia="仿宋_GB2312"/>
          <w:sz w:val="32"/>
          <w:szCs w:val="32"/>
          <w:lang w:val="en-US" w:eastAsia="zh-CN"/>
        </w:rPr>
        <w:t>积极争取建设资金，全面完成招商引资实际到位市外资金12亿元</w:t>
      </w:r>
      <w:r>
        <w:rPr>
          <w:rFonts w:hint="eastAsia" w:ascii="仿宋_GB2312" w:eastAsia="仿宋_GB2312"/>
          <w:b w:val="0"/>
          <w:bCs w:val="0"/>
          <w:color w:val="auto"/>
          <w:sz w:val="32"/>
          <w:szCs w:val="32"/>
          <w:u w:val="none"/>
          <w:lang w:val="en-US" w:eastAsia="zh-CN"/>
        </w:rPr>
        <w:t>；</w:t>
      </w:r>
      <w:r>
        <w:rPr>
          <w:rFonts w:hint="eastAsia" w:ascii="仿宋_GB2312" w:eastAsia="仿宋_GB2312"/>
          <w:sz w:val="32"/>
          <w:szCs w:val="32"/>
          <w:lang w:val="en-US" w:eastAsia="zh-CN"/>
        </w:rPr>
        <w:t>向上争取实际到位资金1.96亿元，占年度目标任务的103.2%；截至</w:t>
      </w:r>
      <w:bookmarkStart w:id="0" w:name="_GoBack"/>
      <w:bookmarkEnd w:id="0"/>
      <w:r>
        <w:rPr>
          <w:rFonts w:hint="eastAsia" w:ascii="仿宋_GB2312" w:eastAsia="仿宋_GB2312"/>
          <w:sz w:val="32"/>
          <w:szCs w:val="32"/>
          <w:lang w:val="en-US" w:eastAsia="zh-CN"/>
        </w:rPr>
        <w:t>目前完成非税收入96.21万元，占目标任务的137.4%；荣获2020年广元市项目投资突出贡献单位表彰。</w:t>
      </w:r>
      <w:r>
        <w:rPr>
          <w:rFonts w:hint="eastAsia" w:ascii="仿宋_GB2312" w:eastAsia="仿宋_GB2312"/>
          <w:b/>
          <w:bCs/>
          <w:sz w:val="32"/>
          <w:szCs w:val="32"/>
          <w:lang w:val="en-US" w:eastAsia="zh-CN"/>
        </w:rPr>
        <w:t>二是</w:t>
      </w:r>
      <w:r>
        <w:rPr>
          <w:rFonts w:hint="eastAsia" w:ascii="仿宋_GB2312" w:eastAsia="仿宋_GB2312"/>
          <w:sz w:val="32"/>
          <w:szCs w:val="32"/>
          <w:lang w:eastAsia="zh-CN"/>
        </w:rPr>
        <w:t>进一步做好项目谋划储备、资金争取、建设推进等各项工作，</w:t>
      </w:r>
      <w:r>
        <w:rPr>
          <w:rFonts w:hint="eastAsia" w:ascii="仿宋_GB2312" w:eastAsia="仿宋_GB2312"/>
          <w:sz w:val="32"/>
          <w:szCs w:val="32"/>
          <w:lang w:val="en-US" w:eastAsia="zh-CN"/>
        </w:rPr>
        <w:t>积极融入成渝地区双城经济圈。</w:t>
      </w:r>
    </w:p>
    <w:p>
      <w:pPr>
        <w:keepNext w:val="0"/>
        <w:keepLines w:val="0"/>
        <w:pageBreakBefore w:val="0"/>
        <w:widowControl w:val="0"/>
        <w:kinsoku/>
        <w:wordWrap/>
        <w:overflowPunct/>
        <w:topLinePunct w:val="0"/>
        <w:autoSpaceDE/>
        <w:bidi w:val="0"/>
        <w:adjustRightInd/>
        <w:snapToGrid/>
        <w:spacing w:line="576" w:lineRule="exact"/>
        <w:ind w:firstLine="643" w:firstLineChars="200"/>
        <w:textAlignment w:val="auto"/>
        <w:rPr>
          <w:rFonts w:hint="eastAsia"/>
        </w:rPr>
      </w:pPr>
      <w:r>
        <w:rPr>
          <w:rFonts w:hint="eastAsia" w:ascii="楷体" w:hAnsi="楷体" w:eastAsia="楷体"/>
          <w:b/>
          <w:bCs/>
          <w:sz w:val="32"/>
          <w:szCs w:val="32"/>
          <w:lang w:eastAsia="zh-CN"/>
        </w:rPr>
        <w:t>（</w:t>
      </w:r>
      <w:r>
        <w:rPr>
          <w:rFonts w:hint="eastAsia" w:ascii="楷体" w:hAnsi="楷体" w:eastAsia="楷体"/>
          <w:b/>
          <w:bCs/>
          <w:sz w:val="32"/>
          <w:szCs w:val="32"/>
          <w:lang w:val="en-US" w:eastAsia="zh-CN"/>
        </w:rPr>
        <w:t>七</w:t>
      </w:r>
      <w:r>
        <w:rPr>
          <w:rFonts w:hint="eastAsia" w:ascii="楷体" w:hAnsi="楷体" w:eastAsia="楷体"/>
          <w:b/>
          <w:bCs/>
          <w:sz w:val="32"/>
          <w:szCs w:val="32"/>
          <w:lang w:eastAsia="zh-CN"/>
        </w:rPr>
        <w:t>）</w:t>
      </w:r>
      <w:r>
        <w:rPr>
          <w:rFonts w:hint="eastAsia" w:ascii="楷体" w:hAnsi="楷体" w:eastAsia="楷体"/>
          <w:b/>
          <w:bCs/>
          <w:sz w:val="32"/>
          <w:szCs w:val="32"/>
          <w:lang w:val="en-US" w:eastAsia="zh-CN"/>
        </w:rPr>
        <w:t>加强党建及改革工作</w:t>
      </w:r>
      <w:r>
        <w:rPr>
          <w:rFonts w:hint="eastAsia" w:ascii="楷体" w:hAnsi="楷体" w:eastAsia="楷体"/>
          <w:b/>
          <w:bCs/>
          <w:sz w:val="32"/>
          <w:szCs w:val="32"/>
          <w:lang w:eastAsia="zh-CN"/>
        </w:rPr>
        <w:t>。</w:t>
      </w:r>
      <w:r>
        <w:rPr>
          <w:rFonts w:hint="eastAsia" w:ascii="仿宋_GB2312" w:eastAsia="仿宋_GB2312"/>
          <w:b/>
          <w:bCs/>
          <w:sz w:val="32"/>
          <w:szCs w:val="32"/>
        </w:rPr>
        <w:t>一是</w:t>
      </w:r>
      <w:r>
        <w:rPr>
          <w:rFonts w:hint="eastAsia" w:ascii="仿宋_GB2312" w:eastAsia="仿宋_GB2312"/>
          <w:sz w:val="32"/>
          <w:szCs w:val="32"/>
        </w:rPr>
        <w:t>全面加强思想政治建设。深入学习</w:t>
      </w:r>
      <w:r>
        <w:rPr>
          <w:rFonts w:hint="eastAsia" w:ascii="仿宋_GB2312" w:eastAsia="仿宋_GB2312"/>
          <w:sz w:val="32"/>
          <w:szCs w:val="32"/>
          <w:lang w:val="en-US" w:eastAsia="zh-CN"/>
        </w:rPr>
        <w:t>习近平新时代中国特色社会主义思想、切实践行两个维护</w:t>
      </w:r>
      <w:r>
        <w:rPr>
          <w:rFonts w:hint="eastAsia" w:ascii="仿宋_GB2312" w:eastAsia="仿宋_GB2312"/>
          <w:sz w:val="32"/>
          <w:szCs w:val="32"/>
        </w:rPr>
        <w:t>，</w:t>
      </w:r>
      <w:r>
        <w:rPr>
          <w:rFonts w:hint="eastAsia" w:ascii="仿宋_GB2312" w:eastAsia="仿宋_GB2312"/>
          <w:sz w:val="32"/>
          <w:szCs w:val="32"/>
          <w:lang w:val="en-US" w:eastAsia="zh-CN"/>
        </w:rPr>
        <w:t>贯彻落实党中央国务院、省市党委政府领导及县委县政府主要领导的批示指示精神，</w:t>
      </w:r>
      <w:r>
        <w:rPr>
          <w:rFonts w:hint="eastAsia" w:ascii="仿宋_GB2312" w:eastAsia="仿宋_GB2312"/>
          <w:sz w:val="32"/>
          <w:szCs w:val="32"/>
        </w:rPr>
        <w:t>认真组织学习贯彻党的十九届</w:t>
      </w:r>
      <w:r>
        <w:rPr>
          <w:rFonts w:hint="eastAsia" w:ascii="仿宋_GB2312" w:eastAsia="仿宋_GB2312"/>
          <w:sz w:val="32"/>
          <w:szCs w:val="32"/>
          <w:lang w:eastAsia="zh-CN"/>
        </w:rPr>
        <w:t>五</w:t>
      </w:r>
      <w:r>
        <w:rPr>
          <w:rFonts w:hint="eastAsia" w:ascii="仿宋_GB2312" w:eastAsia="仿宋_GB2312"/>
          <w:sz w:val="32"/>
          <w:szCs w:val="32"/>
        </w:rPr>
        <w:t>中全会精神</w:t>
      </w:r>
      <w:r>
        <w:rPr>
          <w:rFonts w:hint="eastAsia" w:ascii="仿宋_GB2312" w:eastAsia="仿宋_GB2312"/>
          <w:sz w:val="32"/>
          <w:szCs w:val="32"/>
          <w:lang w:eastAsia="zh-CN"/>
        </w:rPr>
        <w:t>，</w:t>
      </w:r>
      <w:r>
        <w:rPr>
          <w:rFonts w:hint="eastAsia" w:ascii="仿宋_GB2312" w:eastAsia="仿宋_GB2312"/>
          <w:sz w:val="32"/>
          <w:szCs w:val="32"/>
          <w:lang w:val="en-US" w:eastAsia="zh-CN"/>
        </w:rPr>
        <w:t>持续加大思想文化、网络安全和信息化等方面意识形态的建设力度，督促推动各项重大决策贯彻落实；积极配合巡察工作，及时完成了各级巡视、巡察反馈意见整改。</w:t>
      </w:r>
      <w:r>
        <w:rPr>
          <w:rFonts w:hint="eastAsia" w:ascii="仿宋_GB2312" w:eastAsia="仿宋_GB2312"/>
          <w:b/>
          <w:bCs/>
          <w:sz w:val="32"/>
          <w:szCs w:val="32"/>
        </w:rPr>
        <w:t>二是</w:t>
      </w:r>
      <w:r>
        <w:rPr>
          <w:rFonts w:hint="eastAsia" w:ascii="仿宋_GB2312" w:eastAsia="仿宋_GB2312"/>
          <w:sz w:val="32"/>
          <w:szCs w:val="32"/>
        </w:rPr>
        <w:t>加强组织建设</w:t>
      </w:r>
      <w:r>
        <w:rPr>
          <w:rFonts w:hint="eastAsia" w:ascii="仿宋_GB2312" w:eastAsia="仿宋_GB2312"/>
          <w:sz w:val="32"/>
          <w:szCs w:val="32"/>
          <w:lang w:eastAsia="zh-CN"/>
        </w:rPr>
        <w:t>，</w:t>
      </w:r>
      <w:r>
        <w:rPr>
          <w:rFonts w:hint="eastAsia" w:ascii="仿宋_GB2312" w:eastAsia="仿宋_GB2312"/>
          <w:sz w:val="32"/>
          <w:szCs w:val="32"/>
          <w:lang w:val="en-US" w:eastAsia="zh-CN"/>
        </w:rPr>
        <w:t>推进统战工作</w:t>
      </w:r>
      <w:r>
        <w:rPr>
          <w:rFonts w:hint="eastAsia" w:ascii="仿宋_GB2312" w:eastAsia="仿宋_GB2312"/>
          <w:sz w:val="32"/>
          <w:szCs w:val="32"/>
        </w:rPr>
        <w:t>。坚持抓基层、打基础，扎实推进并顺利完成各项党建重点任务，不断完善制度建设</w:t>
      </w:r>
      <w:r>
        <w:rPr>
          <w:rFonts w:hint="eastAsia" w:ascii="仿宋_GB2312" w:eastAsia="仿宋_GB2312"/>
          <w:sz w:val="32"/>
          <w:szCs w:val="32"/>
          <w:lang w:eastAsia="zh-CN"/>
        </w:rPr>
        <w:t>，</w:t>
      </w:r>
      <w:r>
        <w:rPr>
          <w:rFonts w:hint="eastAsia" w:ascii="仿宋_GB2312" w:eastAsia="仿宋_GB2312"/>
          <w:sz w:val="32"/>
          <w:szCs w:val="32"/>
          <w:lang w:val="en-US" w:eastAsia="zh-CN"/>
        </w:rPr>
        <w:t>加大人才培养力度；加强对</w:t>
      </w:r>
      <w:r>
        <w:rPr>
          <w:rFonts w:hint="eastAsia" w:ascii="仿宋_GB2312" w:eastAsia="仿宋_GB2312"/>
          <w:sz w:val="32"/>
          <w:szCs w:val="32"/>
        </w:rPr>
        <w:t>党的统一战线理论新发展和统一战线工作指导思想</w:t>
      </w:r>
      <w:r>
        <w:rPr>
          <w:rFonts w:hint="eastAsia" w:ascii="仿宋_GB2312" w:eastAsia="仿宋_GB2312"/>
          <w:sz w:val="32"/>
          <w:szCs w:val="32"/>
          <w:lang w:val="en-US" w:eastAsia="zh-CN"/>
        </w:rPr>
        <w:t>的学习力度，持续推进统战工作</w:t>
      </w:r>
      <w:r>
        <w:rPr>
          <w:rFonts w:hint="eastAsia" w:ascii="仿宋_GB2312" w:eastAsia="仿宋_GB2312"/>
          <w:sz w:val="32"/>
          <w:szCs w:val="32"/>
        </w:rPr>
        <w:t>。</w:t>
      </w:r>
      <w:r>
        <w:rPr>
          <w:rFonts w:hint="eastAsia" w:ascii="仿宋_GB2312" w:eastAsia="仿宋_GB2312"/>
          <w:b/>
          <w:bCs w:val="0"/>
          <w:sz w:val="32"/>
          <w:szCs w:val="32"/>
        </w:rPr>
        <w:t>三是</w:t>
      </w:r>
      <w:r>
        <w:rPr>
          <w:rFonts w:hint="eastAsia" w:ascii="仿宋_GB2312" w:eastAsia="仿宋_GB2312"/>
          <w:sz w:val="32"/>
          <w:szCs w:val="32"/>
        </w:rPr>
        <w:t>加强党风廉政建设。把党风廉政建设要求主动融入到业务工作中，不断强化交通建设、执法等领域廉洁风险防范；各党组成员认真履行“一岗双责”，深入抓好巡视反馈问题整改落实，加大监督执纪问责力度，行业党风廉政建设不断加强。</w:t>
      </w:r>
      <w:r>
        <w:rPr>
          <w:rFonts w:hint="eastAsia" w:ascii="仿宋_GB2312" w:eastAsia="仿宋_GB2312"/>
          <w:b/>
          <w:bCs/>
          <w:sz w:val="32"/>
          <w:szCs w:val="32"/>
          <w:lang w:val="en-US" w:eastAsia="zh-CN"/>
        </w:rPr>
        <w:t>四是</w:t>
      </w:r>
      <w:r>
        <w:rPr>
          <w:rFonts w:hint="eastAsia" w:ascii="仿宋_GB2312" w:eastAsia="仿宋_GB2312"/>
          <w:sz w:val="32"/>
          <w:szCs w:val="32"/>
          <w:lang w:val="en-US" w:eastAsia="zh-CN"/>
        </w:rPr>
        <w:t>持续推进重点领域改革，加速推进局属事业单位及综合执法大队的改革工作，目前交通各领域改革方案正在完善实施中。</w:t>
      </w:r>
      <w:r>
        <w:rPr>
          <w:rFonts w:hint="eastAsia" w:ascii="仿宋_GB2312" w:eastAsia="仿宋_GB2312"/>
          <w:b/>
          <w:bCs/>
          <w:sz w:val="32"/>
          <w:szCs w:val="32"/>
          <w:lang w:val="en-US" w:eastAsia="zh-CN"/>
        </w:rPr>
        <w:t>五是</w:t>
      </w:r>
      <w:r>
        <w:rPr>
          <w:rFonts w:hint="eastAsia" w:ascii="仿宋_GB2312" w:eastAsia="仿宋_GB2312"/>
          <w:sz w:val="32"/>
          <w:szCs w:val="32"/>
          <w:lang w:val="en-US" w:eastAsia="zh-CN"/>
        </w:rPr>
        <w:t>大力推行依法行政，持续加大扫黑除恶、禁毒等方面的工作力度，稳步推进乡村振兴工作，积极开展营商环境建设及城乡基层治理工作。</w:t>
      </w:r>
    </w:p>
    <w:p>
      <w:pPr>
        <w:numPr>
          <w:ilvl w:val="0"/>
          <w:numId w:val="3"/>
        </w:num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预算编制情况</w:t>
      </w:r>
    </w:p>
    <w:p>
      <w:pPr>
        <w:spacing w:line="560" w:lineRule="exact"/>
        <w:ind w:firstLine="640" w:firstLineChars="200"/>
        <w:rPr>
          <w:rFonts w:hint="default" w:ascii="仿宋_GB2312" w:hAnsi="Times New Roman" w:eastAsia="仿宋_GB2312" w:cs="Times New Roman"/>
          <w:sz w:val="32"/>
          <w:szCs w:val="32"/>
          <w:lang w:val="en-US" w:eastAsia="zh-CN"/>
        </w:rPr>
      </w:pPr>
      <w:r>
        <w:rPr>
          <w:rFonts w:hint="eastAsia" w:ascii="仿宋_GB2312" w:hAnsi="Times New Roman" w:eastAsia="仿宋_GB2312" w:cs="Times New Roman"/>
          <w:sz w:val="32"/>
          <w:szCs w:val="32"/>
          <w:lang w:val="en-US" w:eastAsia="zh-CN"/>
        </w:rPr>
        <w:t>本单位根据财政部门要求按时、按质的编制了部门预算一上、二上数据。</w:t>
      </w:r>
    </w:p>
    <w:p>
      <w:pPr>
        <w:numPr>
          <w:ilvl w:val="0"/>
          <w:numId w:val="3"/>
        </w:numPr>
        <w:spacing w:line="560" w:lineRule="exact"/>
        <w:ind w:left="0" w:leftChars="0" w:firstLine="640" w:firstLineChars="200"/>
        <w:rPr>
          <w:rFonts w:hint="eastAsia" w:ascii="仿宋_GB2312" w:eastAsia="仿宋_GB2312"/>
          <w:sz w:val="32"/>
          <w:szCs w:val="32"/>
        </w:rPr>
      </w:pPr>
      <w:r>
        <w:rPr>
          <w:rFonts w:hint="eastAsia" w:ascii="仿宋_GB2312" w:eastAsia="仿宋_GB2312"/>
          <w:sz w:val="32"/>
          <w:szCs w:val="32"/>
        </w:rPr>
        <w:t>预算执行情况</w:t>
      </w:r>
    </w:p>
    <w:p>
      <w:pPr>
        <w:spacing w:line="560" w:lineRule="exact"/>
        <w:ind w:firstLine="640" w:firstLineChars="200"/>
        <w:rPr>
          <w:rFonts w:hint="eastAsia"/>
        </w:rPr>
      </w:pPr>
      <w:r>
        <w:rPr>
          <w:rFonts w:hint="eastAsia" w:ascii="仿宋_GB2312" w:hAnsi="Times New Roman" w:eastAsia="仿宋_GB2312" w:cs="Times New Roman"/>
          <w:sz w:val="32"/>
          <w:szCs w:val="32"/>
          <w:lang w:val="en-US" w:eastAsia="zh-CN"/>
        </w:rPr>
        <w:t>本单位严格按照收入预算、支出预算执行，控制预算支出的合理性，充分发挥预算硬约束作用，使各项费用控制在预算内。对单位内部预算的编审、批复、执行、追加、调整、决算考评等进行全过程管理。</w:t>
      </w:r>
    </w:p>
    <w:p>
      <w:pPr>
        <w:numPr>
          <w:ilvl w:val="0"/>
          <w:numId w:val="3"/>
        </w:numPr>
        <w:spacing w:line="560" w:lineRule="exact"/>
        <w:ind w:left="0" w:leftChars="0" w:firstLine="640" w:firstLineChars="200"/>
        <w:rPr>
          <w:rFonts w:hint="eastAsia" w:ascii="仿宋_GB2312" w:eastAsia="仿宋_GB2312"/>
          <w:sz w:val="32"/>
          <w:szCs w:val="32"/>
        </w:rPr>
      </w:pPr>
      <w:r>
        <w:rPr>
          <w:rFonts w:hint="eastAsia" w:ascii="仿宋_GB2312" w:eastAsia="仿宋_GB2312"/>
          <w:sz w:val="32"/>
          <w:szCs w:val="32"/>
        </w:rPr>
        <w:t>预算完成结果情况</w:t>
      </w:r>
    </w:p>
    <w:p>
      <w:pPr>
        <w:pStyle w:val="2"/>
        <w:numPr>
          <w:ilvl w:val="0"/>
          <w:numId w:val="0"/>
        </w:numPr>
        <w:ind w:leftChars="200" w:firstLine="640" w:firstLineChars="200"/>
        <w:rPr>
          <w:rFonts w:hint="default" w:ascii="仿宋_GB2312" w:hAnsi="Times New Roman" w:eastAsia="仿宋_GB2312" w:cs="Times New Roman"/>
          <w:kern w:val="2"/>
          <w:sz w:val="32"/>
          <w:szCs w:val="32"/>
          <w:lang w:val="en-US" w:eastAsia="zh-CN" w:bidi="ar-SA"/>
        </w:rPr>
      </w:pPr>
      <w:r>
        <w:rPr>
          <w:rFonts w:hint="eastAsia" w:ascii="仿宋_GB2312" w:hAnsi="Times New Roman" w:eastAsia="仿宋_GB2312" w:cs="Times New Roman"/>
          <w:kern w:val="2"/>
          <w:sz w:val="32"/>
          <w:szCs w:val="32"/>
          <w:lang w:val="en-US" w:eastAsia="zh-CN" w:bidi="ar-SA"/>
        </w:rPr>
        <w:t>2020年预算收入2144.29万元，2020年预算支出2099.68万元，预算完成</w:t>
      </w:r>
      <w:r>
        <w:rPr>
          <w:rFonts w:hint="eastAsia" w:ascii="仿宋_GB2312" w:eastAsia="仿宋_GB2312" w:cs="Times New Roman"/>
          <w:kern w:val="2"/>
          <w:sz w:val="32"/>
          <w:szCs w:val="32"/>
          <w:lang w:val="en-US" w:eastAsia="zh-CN" w:bidi="ar-SA"/>
        </w:rPr>
        <w:t>率</w:t>
      </w:r>
      <w:r>
        <w:rPr>
          <w:rFonts w:hint="eastAsia" w:ascii="仿宋_GB2312" w:hAnsi="Times New Roman" w:eastAsia="仿宋_GB2312" w:cs="Times New Roman"/>
          <w:kern w:val="2"/>
          <w:sz w:val="32"/>
          <w:szCs w:val="32"/>
          <w:lang w:val="en-US" w:eastAsia="zh-CN" w:bidi="ar-SA"/>
        </w:rPr>
        <w:t>97.92%。</w:t>
      </w:r>
    </w:p>
    <w:p>
      <w:pPr>
        <w:numPr>
          <w:ilvl w:val="0"/>
          <w:numId w:val="3"/>
        </w:numPr>
        <w:spacing w:line="560" w:lineRule="exact"/>
        <w:ind w:left="0" w:leftChars="0" w:firstLine="640" w:firstLineChars="200"/>
        <w:rPr>
          <w:rFonts w:hint="eastAsia" w:ascii="仿宋_GB2312" w:eastAsia="仿宋_GB2312"/>
          <w:sz w:val="32"/>
          <w:szCs w:val="32"/>
        </w:rPr>
      </w:pPr>
      <w:r>
        <w:rPr>
          <w:rFonts w:hint="eastAsia" w:ascii="仿宋_GB2312" w:eastAsia="仿宋_GB2312"/>
          <w:sz w:val="32"/>
          <w:szCs w:val="32"/>
        </w:rPr>
        <w:t>项目决策情况</w:t>
      </w:r>
    </w:p>
    <w:p>
      <w:pPr>
        <w:ind w:firstLine="640" w:firstLineChars="200"/>
        <w:jc w:val="both"/>
        <w:rPr>
          <w:rFonts w:hint="eastAsia"/>
        </w:rPr>
      </w:pPr>
      <w:r>
        <w:rPr>
          <w:rFonts w:hint="eastAsia" w:ascii="仿宋_GB2312" w:hAnsi="仿宋_GB2312" w:eastAsia="仿宋_GB2312" w:cs="仿宋_GB2312"/>
          <w:color w:val="auto"/>
          <w:spacing w:val="0"/>
          <w:sz w:val="32"/>
          <w:szCs w:val="32"/>
        </w:rPr>
        <w:t>G5京昆复线（京昆高速公路汉中至广元段四川境扩容）项目已通过省政府BOT建设授权，工程可行性研究报告通过</w:t>
      </w:r>
      <w:r>
        <w:rPr>
          <w:rFonts w:hint="eastAsia" w:ascii="仿宋_GB2312" w:hAnsi="仿宋_GB2312" w:eastAsia="仿宋_GB2312" w:cs="仿宋_GB2312"/>
          <w:color w:val="auto"/>
          <w:spacing w:val="0"/>
          <w:sz w:val="32"/>
          <w:szCs w:val="32"/>
          <w:lang w:eastAsia="zh-CN"/>
        </w:rPr>
        <w:t>了</w:t>
      </w:r>
      <w:r>
        <w:rPr>
          <w:rFonts w:hint="eastAsia" w:ascii="仿宋_GB2312" w:hAnsi="仿宋_GB2312" w:eastAsia="仿宋_GB2312" w:cs="仿宋_GB2312"/>
          <w:color w:val="auto"/>
          <w:spacing w:val="0"/>
          <w:sz w:val="32"/>
          <w:szCs w:val="32"/>
        </w:rPr>
        <w:t>省发改委和省交通运输厅联合评估，并已和川高公司等三家企业签订</w:t>
      </w:r>
      <w:r>
        <w:rPr>
          <w:rFonts w:hint="eastAsia" w:ascii="仿宋_GB2312" w:hAnsi="仿宋_GB2312" w:eastAsia="仿宋_GB2312" w:cs="仿宋_GB2312"/>
          <w:color w:val="auto"/>
          <w:spacing w:val="0"/>
          <w:sz w:val="32"/>
          <w:szCs w:val="32"/>
          <w:lang w:eastAsia="zh-CN"/>
        </w:rPr>
        <w:t>建设</w:t>
      </w:r>
      <w:r>
        <w:rPr>
          <w:rFonts w:hint="eastAsia" w:ascii="仿宋_GB2312" w:hAnsi="仿宋_GB2312" w:eastAsia="仿宋_GB2312" w:cs="仿宋_GB2312"/>
          <w:color w:val="auto"/>
          <w:spacing w:val="0"/>
          <w:sz w:val="32"/>
          <w:szCs w:val="32"/>
        </w:rPr>
        <w:t>投资协议</w:t>
      </w:r>
      <w:r>
        <w:rPr>
          <w:rFonts w:hint="eastAsia" w:ascii="仿宋_GB2312" w:hAnsi="仿宋_GB2312" w:eastAsia="仿宋_GB2312" w:cs="仿宋_GB2312"/>
          <w:color w:val="auto"/>
          <w:spacing w:val="0"/>
          <w:sz w:val="32"/>
          <w:szCs w:val="32"/>
          <w:lang w:eastAsia="zh-CN"/>
        </w:rPr>
        <w:t>；</w:t>
      </w:r>
      <w:r>
        <w:rPr>
          <w:rFonts w:hint="eastAsia" w:ascii="仿宋_GB2312" w:hAnsi="仿宋_GB2312" w:eastAsia="仿宋_GB2312" w:cs="仿宋_GB2312"/>
          <w:color w:val="auto"/>
          <w:spacing w:val="0"/>
          <w:sz w:val="32"/>
          <w:szCs w:val="32"/>
        </w:rPr>
        <w:t>G5012恩广高速公路（广巴段）新增旺苍互通式立交工程已于9月23日签订</w:t>
      </w:r>
      <w:r>
        <w:rPr>
          <w:rFonts w:hint="eastAsia" w:ascii="仿宋_GB2312" w:hAnsi="仿宋_GB2312" w:eastAsia="仿宋_GB2312" w:cs="仿宋_GB2312"/>
          <w:color w:val="auto"/>
          <w:spacing w:val="0"/>
          <w:sz w:val="32"/>
          <w:szCs w:val="32"/>
          <w:lang w:eastAsia="zh-CN"/>
        </w:rPr>
        <w:t>建设</w:t>
      </w:r>
      <w:r>
        <w:rPr>
          <w:rFonts w:hint="eastAsia" w:ascii="仿宋_GB2312" w:hAnsi="仿宋_GB2312" w:eastAsia="仿宋_GB2312" w:cs="仿宋_GB2312"/>
          <w:color w:val="auto"/>
          <w:spacing w:val="0"/>
          <w:sz w:val="32"/>
          <w:szCs w:val="32"/>
        </w:rPr>
        <w:t>投资协议，目前施工方正在进行施工</w:t>
      </w:r>
      <w:r>
        <w:rPr>
          <w:rFonts w:hint="eastAsia" w:ascii="仿宋_GB2312" w:hAnsi="仿宋_GB2312" w:eastAsia="仿宋_GB2312" w:cs="仿宋_GB2312"/>
          <w:color w:val="auto"/>
          <w:spacing w:val="0"/>
          <w:sz w:val="32"/>
          <w:szCs w:val="32"/>
          <w:lang w:eastAsia="zh-CN"/>
        </w:rPr>
        <w:t>进场</w:t>
      </w:r>
      <w:r>
        <w:rPr>
          <w:rFonts w:hint="eastAsia" w:ascii="仿宋_GB2312" w:hAnsi="仿宋_GB2312" w:eastAsia="仿宋_GB2312" w:cs="仿宋_GB2312"/>
          <w:color w:val="auto"/>
          <w:spacing w:val="0"/>
          <w:sz w:val="32"/>
          <w:szCs w:val="32"/>
        </w:rPr>
        <w:t>准备</w:t>
      </w:r>
      <w:r>
        <w:rPr>
          <w:rFonts w:hint="eastAsia" w:ascii="仿宋_GB2312" w:hAnsi="仿宋_GB2312" w:eastAsia="仿宋_GB2312" w:cs="仿宋_GB2312"/>
          <w:color w:val="auto"/>
          <w:spacing w:val="0"/>
          <w:sz w:val="32"/>
          <w:szCs w:val="32"/>
          <w:lang w:eastAsia="zh-CN"/>
        </w:rPr>
        <w:t>；</w:t>
      </w:r>
      <w:r>
        <w:rPr>
          <w:rFonts w:hint="eastAsia" w:ascii="仿宋_GB2312" w:hAnsi="仿宋_GB2312" w:eastAsia="仿宋_GB2312" w:cs="仿宋_GB2312"/>
          <w:color w:val="auto"/>
          <w:spacing w:val="0"/>
          <w:sz w:val="32"/>
          <w:szCs w:val="32"/>
        </w:rPr>
        <w:t>南（江）盐（亭）高速公路已纳入《四川省高速公路网规划(2019-2035年)》</w:t>
      </w:r>
      <w:r>
        <w:rPr>
          <w:rFonts w:hint="eastAsia" w:ascii="仿宋_GB2312" w:hAnsi="仿宋_GB2312" w:eastAsia="仿宋_GB2312" w:cs="仿宋_GB2312"/>
          <w:color w:val="auto"/>
          <w:spacing w:val="0"/>
          <w:sz w:val="32"/>
          <w:szCs w:val="32"/>
          <w:lang w:eastAsia="zh-CN"/>
        </w:rPr>
        <w:t>，</w:t>
      </w:r>
      <w:r>
        <w:rPr>
          <w:rFonts w:hint="eastAsia" w:ascii="仿宋_GB2312" w:hAnsi="仿宋_GB2312" w:eastAsia="仿宋_GB2312" w:cs="仿宋_GB2312"/>
          <w:color w:val="auto"/>
          <w:spacing w:val="0"/>
          <w:sz w:val="32"/>
          <w:szCs w:val="32"/>
        </w:rPr>
        <w:t>正在做前期方案论证</w:t>
      </w:r>
      <w:r>
        <w:rPr>
          <w:rFonts w:hint="eastAsia" w:ascii="仿宋_GB2312" w:hAnsi="仿宋_GB2312" w:eastAsia="仿宋_GB2312" w:cs="仿宋_GB2312"/>
          <w:color w:val="auto"/>
          <w:spacing w:val="0"/>
          <w:sz w:val="32"/>
          <w:szCs w:val="32"/>
          <w:lang w:eastAsia="zh-CN"/>
        </w:rPr>
        <w:t>；</w:t>
      </w:r>
      <w:r>
        <w:rPr>
          <w:rFonts w:hint="eastAsia" w:ascii="仿宋_GB2312" w:hAnsi="仿宋_GB2312" w:eastAsia="仿宋_GB2312" w:cs="仿宋_GB2312"/>
          <w:color w:val="auto"/>
          <w:spacing w:val="0"/>
          <w:sz w:val="32"/>
          <w:szCs w:val="32"/>
        </w:rPr>
        <w:t>G542线广元至巴中段公路项目已取得省发改委立项批复</w:t>
      </w:r>
      <w:r>
        <w:rPr>
          <w:rFonts w:hint="eastAsia" w:ascii="仿宋_GB2312" w:hAnsi="仿宋_GB2312" w:eastAsia="仿宋_GB2312" w:cs="仿宋_GB2312"/>
          <w:color w:val="auto"/>
          <w:spacing w:val="0"/>
          <w:sz w:val="32"/>
          <w:szCs w:val="32"/>
          <w:lang w:eastAsia="zh-CN"/>
        </w:rPr>
        <w:t>；</w:t>
      </w:r>
      <w:r>
        <w:rPr>
          <w:rFonts w:hint="eastAsia" w:ascii="仿宋_GB2312" w:hAnsi="仿宋_GB2312" w:eastAsia="仿宋_GB2312" w:cs="仿宋_GB2312"/>
          <w:color w:val="auto"/>
          <w:spacing w:val="0"/>
          <w:sz w:val="32"/>
          <w:szCs w:val="32"/>
        </w:rPr>
        <w:t>S30</w:t>
      </w:r>
      <w:r>
        <w:rPr>
          <w:rFonts w:hint="eastAsia" w:ascii="仿宋_GB2312" w:hAnsi="仿宋_GB2312" w:eastAsia="仿宋_GB2312" w:cs="仿宋_GB2312"/>
          <w:color w:val="auto"/>
          <w:spacing w:val="0"/>
          <w:sz w:val="32"/>
          <w:szCs w:val="32"/>
          <w:lang w:val="en-US" w:eastAsia="zh-CN"/>
        </w:rPr>
        <w:t>2</w:t>
      </w:r>
      <w:r>
        <w:rPr>
          <w:rFonts w:hint="eastAsia" w:ascii="仿宋_GB2312" w:hAnsi="仿宋_GB2312" w:eastAsia="仿宋_GB2312" w:cs="仿宋_GB2312"/>
          <w:color w:val="auto"/>
          <w:spacing w:val="0"/>
          <w:sz w:val="32"/>
          <w:szCs w:val="32"/>
        </w:rPr>
        <w:t>线</w:t>
      </w:r>
      <w:r>
        <w:rPr>
          <w:rFonts w:hint="eastAsia" w:ascii="仿宋_GB2312" w:hAnsi="仿宋_GB2312" w:eastAsia="仿宋_GB2312" w:cs="仿宋_GB2312"/>
          <w:color w:val="auto"/>
          <w:spacing w:val="0"/>
          <w:sz w:val="32"/>
          <w:szCs w:val="32"/>
          <w:lang w:eastAsia="zh-CN"/>
        </w:rPr>
        <w:t>、</w:t>
      </w:r>
      <w:r>
        <w:rPr>
          <w:rFonts w:hint="eastAsia" w:ascii="仿宋_GB2312" w:hAnsi="仿宋_GB2312" w:eastAsia="仿宋_GB2312" w:cs="仿宋_GB2312"/>
          <w:color w:val="auto"/>
          <w:spacing w:val="0"/>
          <w:sz w:val="32"/>
          <w:szCs w:val="32"/>
        </w:rPr>
        <w:t>S30</w:t>
      </w:r>
      <w:r>
        <w:rPr>
          <w:rFonts w:hint="eastAsia" w:ascii="仿宋_GB2312" w:hAnsi="仿宋_GB2312" w:eastAsia="仿宋_GB2312" w:cs="仿宋_GB2312"/>
          <w:color w:val="auto"/>
          <w:spacing w:val="0"/>
          <w:sz w:val="32"/>
          <w:szCs w:val="32"/>
          <w:lang w:val="en-US" w:eastAsia="zh-CN"/>
        </w:rPr>
        <w:t>3</w:t>
      </w:r>
      <w:r>
        <w:rPr>
          <w:rFonts w:hint="eastAsia" w:ascii="仿宋_GB2312" w:hAnsi="仿宋_GB2312" w:eastAsia="仿宋_GB2312" w:cs="仿宋_GB2312"/>
          <w:color w:val="auto"/>
          <w:spacing w:val="0"/>
          <w:sz w:val="32"/>
          <w:szCs w:val="32"/>
        </w:rPr>
        <w:t>线</w:t>
      </w:r>
      <w:r>
        <w:rPr>
          <w:rFonts w:hint="eastAsia" w:ascii="仿宋_GB2312" w:hAnsi="仿宋_GB2312" w:eastAsia="仿宋_GB2312" w:cs="仿宋_GB2312"/>
          <w:color w:val="auto"/>
          <w:spacing w:val="0"/>
          <w:sz w:val="32"/>
          <w:szCs w:val="32"/>
          <w:lang w:eastAsia="zh-CN"/>
        </w:rPr>
        <w:t>公路工程项目</w:t>
      </w:r>
      <w:r>
        <w:rPr>
          <w:rFonts w:hint="eastAsia" w:ascii="仿宋_GB2312" w:hAnsi="仿宋_GB2312" w:eastAsia="仿宋_GB2312" w:cs="仿宋_GB2312"/>
          <w:color w:val="auto"/>
          <w:spacing w:val="0"/>
          <w:sz w:val="32"/>
          <w:szCs w:val="32"/>
        </w:rPr>
        <w:t>正在</w:t>
      </w:r>
      <w:r>
        <w:rPr>
          <w:rFonts w:hint="eastAsia" w:ascii="仿宋_GB2312" w:hAnsi="仿宋_GB2312" w:eastAsia="仿宋_GB2312" w:cs="仿宋_GB2312"/>
          <w:color w:val="auto"/>
          <w:spacing w:val="0"/>
          <w:sz w:val="32"/>
          <w:szCs w:val="32"/>
          <w:lang w:eastAsia="zh-CN"/>
        </w:rPr>
        <w:t>积极</w:t>
      </w:r>
      <w:r>
        <w:rPr>
          <w:rFonts w:hint="eastAsia" w:ascii="仿宋_GB2312" w:hAnsi="仿宋_GB2312" w:eastAsia="仿宋_GB2312" w:cs="仿宋_GB2312"/>
          <w:color w:val="auto"/>
          <w:spacing w:val="0"/>
          <w:sz w:val="32"/>
          <w:szCs w:val="32"/>
        </w:rPr>
        <w:t>开展</w:t>
      </w:r>
      <w:r>
        <w:rPr>
          <w:rFonts w:hint="eastAsia" w:ascii="仿宋_GB2312" w:hAnsi="仿宋_GB2312" w:eastAsia="仿宋_GB2312" w:cs="仿宋_GB2312"/>
          <w:color w:val="auto"/>
          <w:spacing w:val="0"/>
          <w:sz w:val="32"/>
          <w:szCs w:val="32"/>
          <w:lang w:eastAsia="zh-CN"/>
        </w:rPr>
        <w:t>项目</w:t>
      </w:r>
      <w:r>
        <w:rPr>
          <w:rFonts w:hint="eastAsia" w:ascii="仿宋_GB2312" w:hAnsi="仿宋_GB2312" w:eastAsia="仿宋_GB2312" w:cs="仿宋_GB2312"/>
          <w:color w:val="auto"/>
          <w:spacing w:val="0"/>
          <w:sz w:val="32"/>
          <w:szCs w:val="32"/>
        </w:rPr>
        <w:t>建议书、工程可行性研究报告的编制工作；</w:t>
      </w:r>
      <w:r>
        <w:rPr>
          <w:rFonts w:hint="eastAsia" w:ascii="华文仿宋" w:hAnsi="华文仿宋" w:eastAsia="华文仿宋" w:cs="华文仿宋"/>
          <w:sz w:val="32"/>
          <w:szCs w:val="32"/>
        </w:rPr>
        <w:t>S411线广元市苍溪至旺苍段公路建设工程（旺苍段）</w:t>
      </w:r>
      <w:r>
        <w:rPr>
          <w:rFonts w:hint="eastAsia" w:ascii="华文仿宋" w:hAnsi="华文仿宋" w:eastAsia="华文仿宋" w:cs="华文仿宋"/>
          <w:sz w:val="32"/>
          <w:szCs w:val="32"/>
          <w:lang w:eastAsia="zh-CN"/>
        </w:rPr>
        <w:t>项目</w:t>
      </w:r>
      <w:r>
        <w:rPr>
          <w:rFonts w:hint="eastAsia" w:ascii="仿宋_GB2312" w:hAnsi="仿宋_GB2312" w:eastAsia="仿宋_GB2312" w:cs="仿宋_GB2312"/>
          <w:color w:val="auto"/>
          <w:spacing w:val="0"/>
          <w:sz w:val="32"/>
          <w:szCs w:val="32"/>
        </w:rPr>
        <w:t>正在进行施工图设计文件编制</w:t>
      </w:r>
      <w:r>
        <w:rPr>
          <w:rFonts w:hint="eastAsia" w:ascii="仿宋_GB2312" w:hAnsi="仿宋_GB2312" w:eastAsia="仿宋_GB2312" w:cs="仿宋_GB2312"/>
          <w:color w:val="auto"/>
          <w:spacing w:val="0"/>
          <w:sz w:val="32"/>
          <w:szCs w:val="32"/>
          <w:lang w:eastAsia="zh-CN"/>
        </w:rPr>
        <w:t>；</w:t>
      </w:r>
      <w:r>
        <w:rPr>
          <w:rFonts w:hint="eastAsia" w:ascii="仿宋_GB2312" w:hAnsi="仿宋_GB2312" w:eastAsia="仿宋_GB2312" w:cs="仿宋_GB2312"/>
          <w:color w:val="auto"/>
          <w:spacing w:val="0"/>
          <w:sz w:val="32"/>
          <w:szCs w:val="32"/>
          <w:lang w:val="en-US" w:eastAsia="zh-CN"/>
        </w:rPr>
        <w:t>美丽乡村旅游示范路（盐河至米仓山镇）</w:t>
      </w:r>
      <w:r>
        <w:rPr>
          <w:rFonts w:hint="eastAsia" w:ascii="仿宋_GB2312" w:hAnsi="仿宋_GB2312" w:eastAsia="仿宋_GB2312" w:cs="仿宋_GB2312"/>
          <w:color w:val="auto"/>
          <w:spacing w:val="0"/>
          <w:sz w:val="32"/>
          <w:szCs w:val="32"/>
          <w:lang w:eastAsia="zh-CN"/>
        </w:rPr>
        <w:t>正在开展</w:t>
      </w:r>
      <w:r>
        <w:rPr>
          <w:rFonts w:hint="eastAsia" w:ascii="仿宋_GB2312" w:hAnsi="仿宋_GB2312" w:eastAsia="仿宋_GB2312" w:cs="仿宋_GB2312"/>
          <w:color w:val="auto"/>
          <w:spacing w:val="0"/>
          <w:sz w:val="32"/>
          <w:szCs w:val="32"/>
          <w:lang w:val="en-US" w:eastAsia="zh-CN"/>
        </w:rPr>
        <w:t>工可编制工作。</w:t>
      </w:r>
    </w:p>
    <w:p>
      <w:pPr>
        <w:numPr>
          <w:ilvl w:val="0"/>
          <w:numId w:val="3"/>
        </w:numPr>
        <w:spacing w:line="560" w:lineRule="exact"/>
        <w:ind w:left="0" w:leftChars="0" w:firstLine="640" w:firstLineChars="200"/>
        <w:rPr>
          <w:rFonts w:hint="eastAsia" w:ascii="仿宋_GB2312" w:eastAsia="仿宋_GB2312"/>
          <w:sz w:val="32"/>
          <w:szCs w:val="32"/>
        </w:rPr>
      </w:pPr>
      <w:r>
        <w:rPr>
          <w:rFonts w:hint="eastAsia" w:ascii="仿宋_GB2312" w:eastAsia="仿宋_GB2312"/>
          <w:sz w:val="32"/>
          <w:szCs w:val="32"/>
        </w:rPr>
        <w:t>项目实施情况</w:t>
      </w:r>
    </w:p>
    <w:p>
      <w:pPr>
        <w:keepNext w:val="0"/>
        <w:keepLines w:val="0"/>
        <w:pageBreakBefore w:val="0"/>
        <w:widowControl w:val="0"/>
        <w:numPr>
          <w:ilvl w:val="0"/>
          <w:numId w:val="0"/>
        </w:numPr>
        <w:kinsoku/>
        <w:wordWrap/>
        <w:overflowPunct/>
        <w:topLinePunct w:val="0"/>
        <w:autoSpaceDE/>
        <w:bidi w:val="0"/>
        <w:adjustRightInd/>
        <w:snapToGrid/>
        <w:spacing w:line="576" w:lineRule="exact"/>
        <w:ind w:firstLine="640" w:firstLineChars="200"/>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t>今年改扩建通村组道路287.1公里，占目标任务的114.4%；改建县乡公路14.6公里，占目标任务的100%；全面完工大万路、嘉柳路、龙高路、菩船路、大水路等5条续建县乡公路。四是桥梁工程。全面完成河东桥、友坝桥、牛头岩桥等3座续建桥梁，新开工建设木门镇大沟碥桥、普济镇横石梁桥、三江镇端公潭桥等3座农村公路桥梁；五是西南水泥技改扩能项目。目前已完成西南水泥进厂道路新建工程设计方案编制工作</w:t>
      </w:r>
      <w:r>
        <w:rPr>
          <w:rFonts w:hint="eastAsia" w:ascii="仿宋_GB2312" w:hAnsi="仿宋_GB2312" w:eastAsia="仿宋_GB2312" w:cs="仿宋_GB2312"/>
          <w:b w:val="0"/>
          <w:bCs w:val="0"/>
          <w:color w:val="auto"/>
          <w:sz w:val="32"/>
          <w:szCs w:val="32"/>
          <w:lang w:val="en-US" w:eastAsia="zh-CN"/>
        </w:rPr>
        <w:t>。</w:t>
      </w:r>
    </w:p>
    <w:p>
      <w:pPr>
        <w:numPr>
          <w:ilvl w:val="0"/>
          <w:numId w:val="3"/>
        </w:numPr>
        <w:spacing w:line="560" w:lineRule="exact"/>
        <w:ind w:left="0" w:leftChars="0" w:firstLine="640" w:firstLineChars="200"/>
        <w:rPr>
          <w:rFonts w:hint="eastAsia" w:ascii="仿宋_GB2312" w:eastAsia="仿宋_GB2312"/>
          <w:sz w:val="32"/>
          <w:szCs w:val="32"/>
        </w:rPr>
      </w:pPr>
      <w:r>
        <w:rPr>
          <w:rFonts w:hint="eastAsia" w:ascii="仿宋_GB2312" w:eastAsia="仿宋_GB2312"/>
          <w:sz w:val="32"/>
          <w:szCs w:val="32"/>
        </w:rPr>
        <w:t>项目完成结果情况</w:t>
      </w:r>
    </w:p>
    <w:p>
      <w:pPr>
        <w:pStyle w:val="2"/>
        <w:numPr>
          <w:ilvl w:val="0"/>
          <w:numId w:val="0"/>
        </w:numPr>
        <w:ind w:leftChars="200" w:firstLine="640" w:firstLineChars="200"/>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pPr>
      <w:r>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t>G542线旺苍县嘉川至东河公路PPP项目建设，已完成全线路基工程，完成建设投资</w:t>
      </w:r>
      <w:r>
        <w:rPr>
          <w:rFonts w:hint="eastAsia" w:ascii="仿宋_GB2312" w:hAnsi="仿宋_GB2312" w:eastAsia="仿宋_GB2312" w:cs="仿宋_GB2312"/>
          <w:b w:val="0"/>
          <w:caps w:val="0"/>
          <w:smallCaps w:val="0"/>
          <w:vanish w:val="0"/>
          <w:color w:val="000000"/>
          <w:spacing w:val="0"/>
          <w:w w:val="100"/>
          <w:kern w:val="2"/>
          <w:sz w:val="32"/>
          <w:szCs w:val="22"/>
          <w:lang w:val="en-US" w:eastAsia="zh-CN" w:bidi="ar-SA"/>
        </w:rPr>
        <w:t>9.14</w:t>
      </w:r>
      <w:r>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t>亿元，占年度目标任务的140.6%；</w:t>
      </w:r>
      <w:r>
        <w:rPr>
          <w:rFonts w:hint="eastAsia" w:ascii="仿宋_GB2312" w:hAnsi="仿宋_GB2312" w:eastAsia="仿宋_GB2312" w:cs="仿宋_GB2312"/>
          <w:b w:val="0"/>
          <w:caps w:val="0"/>
          <w:smallCaps w:val="0"/>
          <w:vanish w:val="0"/>
          <w:color w:val="000000"/>
          <w:spacing w:val="0"/>
          <w:w w:val="100"/>
          <w:kern w:val="2"/>
          <w:sz w:val="32"/>
          <w:szCs w:val="22"/>
          <w:lang w:val="en-US" w:eastAsia="zh-CN" w:bidi="ar-SA"/>
        </w:rPr>
        <w:t>S301线檬子至天星公路PPP项目已完成征拆实物核查统计、电力及通信线路迁改，桥梁工程完成50%，路基工程完成30%，累计完成建设投资4.9亿元，占年度目标任务108.9%。</w:t>
      </w:r>
      <w:r>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t>黄猫垭战役遗址旅游景区旺苍段连接公路（一期）24.99公里已完成路基工程60%、挡防工程70%，完成路面铺筑6公里，累计完成投资8700万元，占年度目标任务的106.2%；罗家渡（鹿渡村）至黄洋（水营村）公路改造（二期）工程已全面完成路基工程，完成建设投资1.13亿元、占年度目标任务的113%。</w:t>
      </w:r>
    </w:p>
    <w:p>
      <w:pPr>
        <w:numPr>
          <w:ilvl w:val="0"/>
          <w:numId w:val="3"/>
        </w:numPr>
        <w:spacing w:line="560" w:lineRule="exact"/>
        <w:ind w:left="0" w:leftChars="0" w:firstLine="640" w:firstLineChars="200"/>
        <w:rPr>
          <w:rFonts w:hint="eastAsia" w:ascii="仿宋_GB2312" w:eastAsia="仿宋_GB2312"/>
          <w:sz w:val="32"/>
          <w:szCs w:val="32"/>
        </w:rPr>
      </w:pPr>
      <w:r>
        <w:rPr>
          <w:rFonts w:hint="eastAsia" w:ascii="仿宋_GB2312" w:eastAsia="仿宋_GB2312"/>
          <w:sz w:val="32"/>
          <w:szCs w:val="32"/>
        </w:rPr>
        <w:t>绩效公开、整改情况</w:t>
      </w:r>
    </w:p>
    <w:p>
      <w:pPr>
        <w:pStyle w:val="2"/>
        <w:numPr>
          <w:ilvl w:val="0"/>
          <w:numId w:val="0"/>
        </w:numPr>
        <w:ind w:leftChars="200" w:firstLine="640" w:firstLineChars="200"/>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pPr>
      <w:r>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t>本绩效评价完成后，绩效自评结果将在本部门网站上进行信息公开，接受社会监督。</w:t>
      </w:r>
    </w:p>
    <w:p>
      <w:pPr>
        <w:numPr>
          <w:ilvl w:val="0"/>
          <w:numId w:val="3"/>
        </w:numPr>
        <w:spacing w:line="560" w:lineRule="exact"/>
        <w:ind w:left="0" w:leftChars="0" w:firstLine="640" w:firstLineChars="200"/>
        <w:rPr>
          <w:rFonts w:hint="eastAsia" w:ascii="仿宋_GB2312" w:hAnsi="Times New Roman" w:eastAsia="仿宋_GB2312" w:cs="Times New Roman"/>
          <w:kern w:val="2"/>
          <w:sz w:val="32"/>
          <w:szCs w:val="32"/>
          <w:lang w:val="en-US" w:eastAsia="zh-CN" w:bidi="ar-SA"/>
        </w:rPr>
      </w:pPr>
      <w:r>
        <w:rPr>
          <w:rFonts w:hint="eastAsia" w:ascii="仿宋_GB2312" w:eastAsia="仿宋_GB2312"/>
          <w:sz w:val="32"/>
          <w:szCs w:val="32"/>
        </w:rPr>
        <w:t>绩效管理工作开展情况</w:t>
      </w:r>
    </w:p>
    <w:p>
      <w:pPr>
        <w:numPr>
          <w:ilvl w:val="0"/>
          <w:numId w:val="0"/>
        </w:numPr>
        <w:spacing w:line="560" w:lineRule="exact"/>
        <w:ind w:leftChars="200" w:firstLine="640" w:firstLineChars="200"/>
        <w:rPr>
          <w:rFonts w:hint="eastAsia"/>
        </w:rPr>
      </w:pPr>
      <w:r>
        <w:rPr>
          <w:rFonts w:hint="eastAsia" w:ascii="仿宋_GB2312" w:hAnsi="Times New Roman" w:eastAsia="仿宋_GB2312" w:cs="Times New Roman"/>
          <w:kern w:val="2"/>
          <w:sz w:val="32"/>
          <w:szCs w:val="32"/>
          <w:lang w:val="en-US" w:eastAsia="zh-CN" w:bidi="ar-SA"/>
        </w:rPr>
        <w:t>我单位按照上级绩效评价相关文件要求，积极开展绩效管理工作，对本级预算安排部门的部分项目开展了绩效评价工作。应用了上年绩效评价结果，压减了绩效评价差的项目，增设了绩效评价效果好，群众满意度高的项目，规范了部门专项资金运行，提高了资金使用效益。在总结经验的基础上扩大绩效评价范围，逐步将绩效评价工作向财政支出整体评价推进。</w:t>
      </w:r>
    </w:p>
    <w:p>
      <w:pPr>
        <w:spacing w:line="560" w:lineRule="exact"/>
        <w:ind w:firstLine="640" w:firstLineChars="200"/>
        <w:rPr>
          <w:rFonts w:hint="eastAsia" w:ascii="黑体" w:hAnsi="黑体" w:eastAsia="黑体"/>
          <w:sz w:val="32"/>
          <w:szCs w:val="32"/>
        </w:rPr>
      </w:pPr>
      <w:r>
        <w:rPr>
          <w:rFonts w:hint="eastAsia" w:ascii="黑体" w:hAnsi="黑体" w:eastAsia="黑体"/>
          <w:sz w:val="32"/>
          <w:szCs w:val="32"/>
        </w:rPr>
        <w:t>四、存在的主要问题</w:t>
      </w:r>
    </w:p>
    <w:p>
      <w:pPr>
        <w:spacing w:line="560" w:lineRule="exact"/>
        <w:ind w:firstLine="640" w:firstLineChars="200"/>
        <w:rPr>
          <w:rFonts w:hint="eastAsia"/>
        </w:rPr>
      </w:pPr>
      <w:r>
        <w:rPr>
          <w:rFonts w:hint="eastAsia" w:ascii="仿宋_GB2312" w:hAnsi="Times New Roman" w:eastAsia="仿宋_GB2312" w:cs="Times New Roman"/>
          <w:sz w:val="32"/>
          <w:szCs w:val="32"/>
          <w:lang w:val="en-US" w:eastAsia="zh-CN"/>
        </w:rPr>
        <w:t>一是资金使用效益有待进一步提高。二是对绩效评价工作的认识不够。通过绩效评价工作的逐步推进，本单位逐步树立了绩效理念，对预算绩效评价工作的态度由“被动接受”变为“主动实施”，但了解还不够深入，对单位绩效不重视，认为绩效评价只是财务部门的事情，相关项目职责股室配合不够。三是人员素质有待进一步提高。由于预算绩效管理工作开展时间短，涉及面广，专业性强，加上缺乏系统的培训，预算绩效管理相关人员，对预算绩效管理理解不充分，对预算绩效管理业务不精通，在一定程度上影响了绩效评价工作质量。</w:t>
      </w:r>
    </w:p>
    <w:p>
      <w:pPr>
        <w:spacing w:line="560" w:lineRule="exact"/>
        <w:ind w:firstLine="640" w:firstLineChars="200"/>
        <w:rPr>
          <w:rFonts w:hint="eastAsia" w:ascii="黑体" w:hAnsi="黑体" w:eastAsia="黑体"/>
          <w:sz w:val="32"/>
          <w:szCs w:val="32"/>
        </w:rPr>
      </w:pPr>
      <w:r>
        <w:rPr>
          <w:rFonts w:hint="eastAsia" w:ascii="黑体" w:hAnsi="黑体" w:eastAsia="黑体"/>
          <w:sz w:val="32"/>
          <w:szCs w:val="32"/>
        </w:rPr>
        <w:t>五、整改措施及建议</w:t>
      </w:r>
    </w:p>
    <w:p>
      <w:pPr>
        <w:spacing w:line="560" w:lineRule="exact"/>
        <w:ind w:firstLine="422" w:firstLineChars="200"/>
        <w:rPr>
          <w:rFonts w:hint="eastAsia" w:ascii="仿宋_GB2312" w:hAnsi="Times New Roman" w:eastAsia="仿宋_GB2312" w:cs="Times New Roman"/>
          <w:sz w:val="32"/>
          <w:szCs w:val="32"/>
          <w:lang w:val="en-US" w:eastAsia="zh-CN"/>
        </w:rPr>
      </w:pPr>
      <w:r>
        <w:rPr>
          <w:rFonts w:hint="eastAsia" w:ascii="楷体_GB2312" w:eastAsia="楷体_GB2312"/>
          <w:b/>
          <w:szCs w:val="32"/>
          <w:lang w:val="en-US" w:eastAsia="zh-CN"/>
        </w:rPr>
        <w:t xml:space="preserve"> </w:t>
      </w:r>
      <w:r>
        <w:rPr>
          <w:rFonts w:hint="eastAsia" w:ascii="仿宋_GB2312" w:hAnsi="Times New Roman" w:eastAsia="仿宋_GB2312" w:cs="Times New Roman"/>
          <w:sz w:val="32"/>
          <w:szCs w:val="32"/>
          <w:lang w:val="en-US" w:eastAsia="zh-CN"/>
        </w:rPr>
        <w:t>由于绩效评价工作要求高，工作量大，涉及项目业务、财务、效益等多方面的专业知识，对本单位的机构能力和人员素质来说，无疑是一场严峻的考验，只有通过进行多方位多层次的学习培训，努力提高相关人员素质，才能真正将预算绩效管理工作落实到位。加强对部门单位的绩效管理知识培训，可以采取邀请专家讲课、财政部门辅导和案例剖析等方式，不断提升绩效人员业务能力。</w:t>
      </w:r>
    </w:p>
    <w:p>
      <w:pPr>
        <w:spacing w:line="560" w:lineRule="exact"/>
        <w:ind w:firstLine="640" w:firstLineChars="200"/>
        <w:jc w:val="right"/>
        <w:rPr>
          <w:rFonts w:hint="eastAsia" w:ascii="仿宋_GB2312" w:eastAsia="仿宋_GB2312" w:cs="Times New Roman"/>
          <w:sz w:val="32"/>
          <w:szCs w:val="32"/>
          <w:lang w:val="en-US" w:eastAsia="zh-CN"/>
        </w:rPr>
      </w:pPr>
    </w:p>
    <w:p>
      <w:pPr>
        <w:spacing w:line="560" w:lineRule="exact"/>
        <w:ind w:firstLine="640" w:firstLineChars="200"/>
        <w:jc w:val="right"/>
        <w:rPr>
          <w:rFonts w:hint="eastAsia" w:ascii="仿宋_GB2312" w:eastAsia="仿宋_GB2312" w:cs="Times New Roman"/>
          <w:sz w:val="32"/>
          <w:szCs w:val="32"/>
          <w:lang w:val="en-US" w:eastAsia="zh-CN"/>
        </w:rPr>
      </w:pPr>
    </w:p>
    <w:p>
      <w:pPr>
        <w:spacing w:line="560" w:lineRule="exact"/>
        <w:ind w:firstLine="640" w:firstLineChars="200"/>
        <w:jc w:val="right"/>
        <w:rPr>
          <w:rFonts w:hint="eastAsia" w:ascii="仿宋_GB2312" w:eastAsia="仿宋_GB2312" w:cs="Times New Roman"/>
          <w:sz w:val="32"/>
          <w:szCs w:val="32"/>
          <w:lang w:val="en-US" w:eastAsia="zh-CN"/>
        </w:rPr>
      </w:pPr>
      <w:r>
        <w:rPr>
          <w:rFonts w:hint="eastAsia" w:ascii="仿宋_GB2312" w:eastAsia="仿宋_GB2312" w:cs="Times New Roman"/>
          <w:sz w:val="32"/>
          <w:szCs w:val="32"/>
          <w:lang w:val="en-US" w:eastAsia="zh-CN"/>
        </w:rPr>
        <w:t>旺苍县交通运输局</w:t>
      </w:r>
    </w:p>
    <w:p>
      <w:pPr>
        <w:pStyle w:val="2"/>
        <w:jc w:val="right"/>
        <w:rPr>
          <w:rFonts w:hint="default"/>
          <w:lang w:val="en-US" w:eastAsia="zh-CN"/>
        </w:rPr>
      </w:pPr>
      <w:r>
        <w:rPr>
          <w:rFonts w:hint="eastAsia" w:ascii="仿宋_GB2312" w:eastAsia="仿宋_GB2312" w:cs="Times New Roman"/>
          <w:sz w:val="32"/>
          <w:szCs w:val="32"/>
          <w:lang w:val="en-US" w:eastAsia="zh-CN"/>
        </w:rPr>
        <w:t>2021年9月1日</w:t>
      </w:r>
    </w:p>
    <w:p>
      <w:pPr>
        <w:spacing w:line="560" w:lineRule="exact"/>
        <w:rPr>
          <w:rFonts w:hint="eastAsia" w:ascii="仿宋_GB2312" w:eastAsia="仿宋_GB2312"/>
          <w:sz w:val="32"/>
          <w:szCs w:val="32"/>
        </w:rPr>
      </w:pPr>
    </w:p>
    <w:p>
      <w:pPr>
        <w:adjustRightInd w:val="0"/>
        <w:snapToGrid w:val="0"/>
        <w:spacing w:line="240" w:lineRule="atLeast"/>
        <w:rPr>
          <w:rFonts w:hint="eastAsia" w:ascii="仿宋_GB2312" w:eastAsia="仿宋_GB2312"/>
          <w:bCs/>
          <w:sz w:val="32"/>
          <w:szCs w:val="32"/>
        </w:rPr>
      </w:pPr>
      <w:r>
        <w:rPr>
          <w:rFonts w:ascii="仿宋_GB2312" w:eastAsia="仿宋_GB2312"/>
          <w:sz w:val="32"/>
          <w:szCs w:val="32"/>
        </w:rPr>
        <w:br w:type="page"/>
      </w:r>
    </w:p>
    <w:p>
      <w:pPr>
        <w:adjustRightInd w:val="0"/>
        <w:snapToGrid w:val="0"/>
        <w:spacing w:line="240" w:lineRule="atLeast"/>
        <w:ind w:left="105" w:leftChars="50" w:firstLine="372" w:firstLineChars="103"/>
        <w:jc w:val="center"/>
        <w:rPr>
          <w:rFonts w:hint="eastAsia" w:ascii="方正小标宋简体" w:hAnsi="华文中宋" w:eastAsia="方正小标宋简体"/>
          <w:b/>
          <w:sz w:val="36"/>
          <w:szCs w:val="36"/>
        </w:rPr>
      </w:pPr>
    </w:p>
    <w:p>
      <w:pPr>
        <w:adjustRightInd w:val="0"/>
        <w:snapToGrid w:val="0"/>
        <w:spacing w:line="240" w:lineRule="atLeast"/>
        <w:ind w:left="105" w:leftChars="50" w:firstLine="455" w:firstLineChars="103"/>
        <w:jc w:val="center"/>
        <w:rPr>
          <w:rFonts w:hint="eastAsia" w:ascii="方正小标宋简体" w:hAnsi="华文中宋" w:eastAsia="方正小标宋简体"/>
          <w:b/>
          <w:sz w:val="44"/>
          <w:szCs w:val="44"/>
          <w:lang w:eastAsia="zh-CN"/>
        </w:rPr>
      </w:pPr>
      <w:r>
        <w:rPr>
          <w:rFonts w:hint="eastAsia" w:ascii="方正小标宋简体" w:hAnsi="华文中宋" w:eastAsia="方正小标宋简体"/>
          <w:b/>
          <w:sz w:val="44"/>
          <w:szCs w:val="44"/>
          <w:lang w:eastAsia="zh-CN"/>
        </w:rPr>
        <w:t>旺苍县交通运输局</w:t>
      </w:r>
    </w:p>
    <w:p>
      <w:pPr>
        <w:adjustRightInd w:val="0"/>
        <w:snapToGrid w:val="0"/>
        <w:spacing w:line="240" w:lineRule="atLeast"/>
        <w:ind w:left="105" w:leftChars="50" w:firstLine="455" w:firstLineChars="103"/>
        <w:jc w:val="center"/>
        <w:rPr>
          <w:rFonts w:hint="eastAsia" w:ascii="方正小标宋简体" w:hAnsi="华文中宋" w:eastAsia="方正小标宋简体"/>
          <w:b/>
          <w:sz w:val="44"/>
          <w:szCs w:val="44"/>
        </w:rPr>
      </w:pPr>
      <w:r>
        <w:rPr>
          <w:rFonts w:hint="eastAsia" w:ascii="方正小标宋简体" w:hAnsi="华文中宋" w:eastAsia="方正小标宋简体"/>
          <w:b/>
          <w:sz w:val="44"/>
          <w:szCs w:val="44"/>
        </w:rPr>
        <w:t>部门整体支出（提纲）</w:t>
      </w:r>
    </w:p>
    <w:p>
      <w:pPr>
        <w:adjustRightInd w:val="0"/>
        <w:snapToGrid w:val="0"/>
        <w:spacing w:line="240" w:lineRule="atLeast"/>
        <w:ind w:left="105" w:leftChars="50" w:firstLine="372" w:firstLineChars="103"/>
        <w:jc w:val="center"/>
        <w:rPr>
          <w:rFonts w:hint="eastAsia" w:ascii="方正小标宋简体" w:hAnsi="华文中宋" w:eastAsia="方正小标宋简体"/>
          <w:b/>
          <w:sz w:val="36"/>
          <w:szCs w:val="36"/>
        </w:rPr>
      </w:pPr>
    </w:p>
    <w:p>
      <w:pPr>
        <w:adjustRightInd w:val="0"/>
        <w:snapToGrid w:val="0"/>
        <w:spacing w:line="240" w:lineRule="atLeast"/>
        <w:ind w:left="105" w:leftChars="50" w:firstLine="372" w:firstLineChars="103"/>
        <w:jc w:val="center"/>
        <w:rPr>
          <w:rFonts w:hint="eastAsia" w:ascii="方正小标宋简体" w:hAnsi="华文中宋" w:eastAsia="方正小标宋简体"/>
          <w:b/>
          <w:sz w:val="36"/>
          <w:szCs w:val="36"/>
        </w:rPr>
      </w:pPr>
    </w:p>
    <w:p>
      <w:pPr>
        <w:adjustRightInd w:val="0"/>
        <w:snapToGrid w:val="0"/>
        <w:spacing w:line="240" w:lineRule="atLeast"/>
        <w:ind w:left="105" w:leftChars="50" w:firstLine="455" w:firstLineChars="103"/>
        <w:jc w:val="center"/>
        <w:rPr>
          <w:rFonts w:hint="eastAsia" w:ascii="方正小标宋简体" w:hAnsi="华文中宋" w:eastAsia="方正小标宋简体"/>
          <w:b/>
          <w:sz w:val="44"/>
          <w:szCs w:val="44"/>
        </w:rPr>
      </w:pPr>
      <w:r>
        <w:rPr>
          <w:rFonts w:hint="eastAsia" w:ascii="方正小标宋简体" w:hAnsi="华文中宋" w:eastAsia="方正小标宋简体"/>
          <w:b/>
          <w:sz w:val="44"/>
          <w:szCs w:val="44"/>
        </w:rPr>
        <w:t>绩</w:t>
      </w:r>
    </w:p>
    <w:p>
      <w:pPr>
        <w:adjustRightInd w:val="0"/>
        <w:snapToGrid w:val="0"/>
        <w:spacing w:line="240" w:lineRule="atLeast"/>
        <w:ind w:left="105" w:leftChars="50" w:firstLine="455" w:firstLineChars="103"/>
        <w:jc w:val="center"/>
        <w:rPr>
          <w:rFonts w:hint="eastAsia" w:ascii="方正小标宋简体" w:hAnsi="华文中宋" w:eastAsia="方正小标宋简体"/>
          <w:b/>
          <w:sz w:val="44"/>
          <w:szCs w:val="44"/>
        </w:rPr>
      </w:pPr>
      <w:r>
        <w:rPr>
          <w:rFonts w:hint="eastAsia" w:ascii="方正小标宋简体" w:hAnsi="华文中宋" w:eastAsia="方正小标宋简体"/>
          <w:b/>
          <w:sz w:val="44"/>
          <w:szCs w:val="44"/>
        </w:rPr>
        <w:t>效</w:t>
      </w:r>
    </w:p>
    <w:p>
      <w:pPr>
        <w:adjustRightInd w:val="0"/>
        <w:snapToGrid w:val="0"/>
        <w:spacing w:line="240" w:lineRule="atLeast"/>
        <w:ind w:left="105" w:leftChars="50" w:firstLine="455" w:firstLineChars="103"/>
        <w:jc w:val="center"/>
        <w:rPr>
          <w:rFonts w:hint="eastAsia" w:ascii="方正小标宋简体" w:hAnsi="华文中宋" w:eastAsia="方正小标宋简体"/>
          <w:b/>
          <w:sz w:val="44"/>
          <w:szCs w:val="44"/>
        </w:rPr>
      </w:pPr>
      <w:r>
        <w:rPr>
          <w:rFonts w:hint="eastAsia" w:ascii="方正小标宋简体" w:hAnsi="华文中宋" w:eastAsia="方正小标宋简体"/>
          <w:b/>
          <w:sz w:val="44"/>
          <w:szCs w:val="44"/>
        </w:rPr>
        <w:t>评</w:t>
      </w:r>
    </w:p>
    <w:p>
      <w:pPr>
        <w:adjustRightInd w:val="0"/>
        <w:snapToGrid w:val="0"/>
        <w:spacing w:line="240" w:lineRule="atLeast"/>
        <w:ind w:left="105" w:leftChars="50" w:firstLine="455" w:firstLineChars="103"/>
        <w:jc w:val="center"/>
        <w:rPr>
          <w:rFonts w:hint="eastAsia" w:ascii="方正小标宋简体" w:hAnsi="华文中宋" w:eastAsia="方正小标宋简体"/>
          <w:b/>
          <w:sz w:val="44"/>
          <w:szCs w:val="44"/>
        </w:rPr>
      </w:pPr>
      <w:r>
        <w:rPr>
          <w:rFonts w:hint="eastAsia" w:ascii="方正小标宋简体" w:hAnsi="华文中宋" w:eastAsia="方正小标宋简体"/>
          <w:b/>
          <w:sz w:val="44"/>
          <w:szCs w:val="44"/>
        </w:rPr>
        <w:t>价</w:t>
      </w:r>
    </w:p>
    <w:p>
      <w:pPr>
        <w:adjustRightInd w:val="0"/>
        <w:snapToGrid w:val="0"/>
        <w:spacing w:line="240" w:lineRule="atLeast"/>
        <w:ind w:left="105" w:leftChars="50" w:firstLine="455" w:firstLineChars="103"/>
        <w:jc w:val="center"/>
        <w:rPr>
          <w:rFonts w:hint="eastAsia" w:ascii="方正小标宋简体" w:hAnsi="华文中宋" w:eastAsia="方正小标宋简体"/>
          <w:b/>
          <w:sz w:val="44"/>
          <w:szCs w:val="44"/>
        </w:rPr>
      </w:pPr>
      <w:r>
        <w:rPr>
          <w:rFonts w:hint="eastAsia" w:ascii="方正小标宋简体" w:hAnsi="华文中宋" w:eastAsia="方正小标宋简体"/>
          <w:b/>
          <w:sz w:val="44"/>
          <w:szCs w:val="44"/>
        </w:rPr>
        <w:t>报</w:t>
      </w:r>
    </w:p>
    <w:p>
      <w:pPr>
        <w:adjustRightInd w:val="0"/>
        <w:snapToGrid w:val="0"/>
        <w:spacing w:line="240" w:lineRule="atLeast"/>
        <w:ind w:left="105" w:leftChars="50" w:firstLine="455" w:firstLineChars="103"/>
        <w:jc w:val="center"/>
        <w:rPr>
          <w:rFonts w:hint="eastAsia" w:ascii="方正小标宋简体" w:hAnsi="华文中宋" w:eastAsia="方正小标宋简体"/>
          <w:b/>
          <w:sz w:val="44"/>
          <w:szCs w:val="44"/>
        </w:rPr>
      </w:pPr>
      <w:r>
        <w:rPr>
          <w:rFonts w:hint="eastAsia" w:ascii="方正小标宋简体" w:hAnsi="华文中宋" w:eastAsia="方正小标宋简体"/>
          <w:b/>
          <w:sz w:val="44"/>
          <w:szCs w:val="44"/>
        </w:rPr>
        <w:t>告</w:t>
      </w:r>
    </w:p>
    <w:p>
      <w:pPr>
        <w:adjustRightInd w:val="0"/>
        <w:snapToGrid w:val="0"/>
        <w:spacing w:line="240" w:lineRule="atLeast"/>
        <w:ind w:left="105" w:leftChars="50" w:firstLine="372" w:firstLineChars="103"/>
        <w:jc w:val="center"/>
        <w:rPr>
          <w:rFonts w:hint="eastAsia" w:ascii="方正小标宋简体" w:hAnsi="华文中宋" w:eastAsia="方正小标宋简体"/>
          <w:b/>
          <w:sz w:val="36"/>
          <w:szCs w:val="36"/>
        </w:rPr>
      </w:pPr>
    </w:p>
    <w:p>
      <w:pPr>
        <w:adjustRightInd w:val="0"/>
        <w:snapToGrid w:val="0"/>
        <w:spacing w:line="240" w:lineRule="atLeast"/>
        <w:ind w:left="105" w:leftChars="50" w:firstLine="372" w:firstLineChars="103"/>
        <w:jc w:val="center"/>
        <w:rPr>
          <w:rFonts w:hint="eastAsia" w:ascii="方正小标宋简体" w:hAnsi="华文中宋" w:eastAsia="方正小标宋简体"/>
          <w:b/>
          <w:sz w:val="36"/>
          <w:szCs w:val="36"/>
        </w:rPr>
      </w:pPr>
      <w:r>
        <w:rPr>
          <w:rFonts w:hint="eastAsia" w:ascii="方正小标宋简体" w:hAnsi="华文中宋" w:eastAsia="方正小标宋简体"/>
          <w:b/>
          <w:sz w:val="36"/>
          <w:szCs w:val="36"/>
        </w:rPr>
        <w:t>（封面）</w:t>
      </w:r>
    </w:p>
    <w:p>
      <w:pPr>
        <w:adjustRightInd w:val="0"/>
        <w:snapToGrid w:val="0"/>
        <w:spacing w:line="240" w:lineRule="atLeast"/>
        <w:ind w:left="105" w:leftChars="50" w:firstLine="370" w:firstLineChars="103"/>
        <w:jc w:val="center"/>
        <w:rPr>
          <w:rFonts w:hint="eastAsia" w:ascii="楷体" w:hAnsi="楷体" w:eastAsia="楷体" w:cs="楷体"/>
          <w:bCs/>
          <w:sz w:val="36"/>
          <w:szCs w:val="36"/>
        </w:rPr>
      </w:pPr>
    </w:p>
    <w:p>
      <w:pPr>
        <w:tabs>
          <w:tab w:val="left" w:pos="3885"/>
        </w:tabs>
        <w:snapToGrid w:val="0"/>
        <w:spacing w:line="600" w:lineRule="atLeast"/>
        <w:ind w:firstLine="723" w:firstLineChars="200"/>
        <w:jc w:val="left"/>
        <w:rPr>
          <w:rFonts w:hint="eastAsia" w:ascii="楷体" w:hAnsi="楷体" w:eastAsia="楷体" w:cs="楷体"/>
          <w:b/>
          <w:sz w:val="36"/>
          <w:szCs w:val="36"/>
        </w:rPr>
      </w:pPr>
      <w:r>
        <w:rPr>
          <w:rFonts w:hint="eastAsia" w:ascii="楷体" w:hAnsi="楷体" w:eastAsia="楷体" w:cs="楷体"/>
          <w:b/>
          <w:sz w:val="36"/>
          <w:szCs w:val="36"/>
        </w:rPr>
        <w:t>评价部门：</w:t>
      </w:r>
    </w:p>
    <w:p>
      <w:pPr>
        <w:tabs>
          <w:tab w:val="left" w:pos="3885"/>
        </w:tabs>
        <w:snapToGrid w:val="0"/>
        <w:spacing w:line="600" w:lineRule="atLeast"/>
        <w:ind w:firstLine="723" w:firstLineChars="200"/>
        <w:jc w:val="left"/>
        <w:rPr>
          <w:rFonts w:hint="eastAsia" w:ascii="楷体" w:hAnsi="楷体" w:eastAsia="楷体" w:cs="楷体"/>
          <w:b/>
          <w:sz w:val="36"/>
          <w:szCs w:val="36"/>
        </w:rPr>
      </w:pPr>
      <w:r>
        <w:rPr>
          <w:rFonts w:hint="eastAsia" w:ascii="楷体" w:hAnsi="楷体" w:eastAsia="楷体" w:cs="楷体"/>
          <w:b/>
          <w:sz w:val="36"/>
          <w:szCs w:val="36"/>
        </w:rPr>
        <w:t xml:space="preserve">评价人员：    </w:t>
      </w:r>
    </w:p>
    <w:p>
      <w:pPr>
        <w:tabs>
          <w:tab w:val="left" w:pos="3885"/>
        </w:tabs>
        <w:snapToGrid w:val="0"/>
        <w:spacing w:line="600" w:lineRule="atLeast"/>
        <w:ind w:firstLine="723" w:firstLineChars="200"/>
        <w:jc w:val="left"/>
        <w:rPr>
          <w:rFonts w:hint="eastAsia" w:ascii="楷体" w:hAnsi="楷体" w:eastAsia="楷体" w:cs="楷体"/>
          <w:b/>
          <w:sz w:val="36"/>
          <w:szCs w:val="36"/>
        </w:rPr>
      </w:pPr>
      <w:r>
        <w:rPr>
          <w:rFonts w:hint="eastAsia" w:ascii="楷体" w:hAnsi="楷体" w:eastAsia="楷体" w:cs="楷体"/>
          <w:b/>
          <w:sz w:val="36"/>
          <w:szCs w:val="36"/>
        </w:rPr>
        <w:t>报告时间：    年    月    日</w:t>
      </w:r>
    </w:p>
    <w:p>
      <w:pPr>
        <w:tabs>
          <w:tab w:val="left" w:pos="3885"/>
        </w:tabs>
        <w:snapToGrid w:val="0"/>
        <w:spacing w:line="600" w:lineRule="atLeast"/>
        <w:ind w:firstLine="422" w:firstLineChars="200"/>
        <w:jc w:val="left"/>
        <w:rPr>
          <w:rFonts w:hint="eastAsia" w:eastAsia="黑体"/>
          <w:b/>
        </w:rPr>
      </w:pPr>
    </w:p>
    <w:p>
      <w:pPr>
        <w:spacing w:line="560" w:lineRule="exact"/>
        <w:ind w:firstLine="643" w:firstLineChars="200"/>
        <w:rPr>
          <w:rFonts w:hint="eastAsia" w:ascii="黑体" w:hAnsi="黑体" w:eastAsia="黑体"/>
          <w:b/>
          <w:sz w:val="32"/>
          <w:szCs w:val="32"/>
        </w:rPr>
      </w:pPr>
    </w:p>
    <w:p>
      <w:pPr>
        <w:spacing w:line="560" w:lineRule="exact"/>
        <w:ind w:firstLine="643" w:firstLineChars="200"/>
        <w:rPr>
          <w:rFonts w:hint="eastAsia" w:ascii="黑体" w:hAnsi="黑体" w:eastAsia="黑体"/>
          <w:b/>
          <w:sz w:val="32"/>
          <w:szCs w:val="32"/>
        </w:rPr>
      </w:pPr>
    </w:p>
    <w:p>
      <w:pPr>
        <w:pStyle w:val="2"/>
        <w:rPr>
          <w:rFonts w:hint="eastAsia"/>
        </w:rPr>
      </w:pPr>
    </w:p>
    <w:p>
      <w:pPr>
        <w:spacing w:line="560" w:lineRule="exact"/>
        <w:ind w:firstLine="643" w:firstLineChars="200"/>
        <w:rPr>
          <w:rFonts w:hint="eastAsia" w:ascii="黑体" w:hAnsi="黑体" w:eastAsia="黑体"/>
          <w:b/>
          <w:sz w:val="32"/>
          <w:szCs w:val="32"/>
        </w:rPr>
      </w:pPr>
    </w:p>
    <w:p>
      <w:pPr>
        <w:spacing w:line="560" w:lineRule="exact"/>
        <w:ind w:firstLine="640" w:firstLineChars="200"/>
        <w:rPr>
          <w:rFonts w:hint="eastAsia" w:ascii="黑体" w:hAnsi="黑体" w:eastAsia="黑体"/>
          <w:sz w:val="32"/>
          <w:szCs w:val="32"/>
        </w:rPr>
      </w:pPr>
    </w:p>
    <w:p>
      <w:pPr>
        <w:spacing w:line="560" w:lineRule="exact"/>
        <w:ind w:firstLine="640" w:firstLineChars="200"/>
        <w:rPr>
          <w:rFonts w:hint="eastAsia" w:ascii="黑体" w:hAnsi="黑体" w:eastAsia="黑体"/>
          <w:sz w:val="32"/>
          <w:szCs w:val="32"/>
        </w:rPr>
      </w:pPr>
      <w:r>
        <w:rPr>
          <w:rFonts w:hint="eastAsia" w:ascii="黑体" w:hAnsi="黑体" w:eastAsia="黑体"/>
          <w:sz w:val="32"/>
          <w:szCs w:val="32"/>
        </w:rPr>
        <w:t>一、部门概况</w:t>
      </w:r>
    </w:p>
    <w:p>
      <w:pPr>
        <w:snapToGrid w:val="0"/>
        <w:spacing w:line="52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1．主要职能。</w:t>
      </w:r>
    </w:p>
    <w:p>
      <w:pPr>
        <w:snapToGrid w:val="0"/>
        <w:spacing w:line="520" w:lineRule="exact"/>
        <w:ind w:firstLine="640" w:firstLineChars="200"/>
      </w:pPr>
      <w:r>
        <w:rPr>
          <w:rFonts w:hint="eastAsia" w:ascii="仿宋_GB2312" w:hAnsi="仿宋" w:eastAsia="仿宋_GB2312"/>
          <w:sz w:val="32"/>
          <w:szCs w:val="32"/>
        </w:rPr>
        <w:t>贯彻执行国家有关交通运输行业的方针、政策和法律、法规。组织拟订并监督实施公路、水路等行业规划、政策和标准，会同相关部门组织编制综合运输体系规划，参与拟订物流业发展战略和规划。拟订全县交通运输政策规定，负责本系统、本部门依法行政工作，落实行政执法责任制。指导公路、水路行业有关体制改革工作。承担地方高速公路管理的有关工作。 承担道路、水路交通运输市场监管责任，组织制订道路、水路运输有关政策并监督实施。指导城乡客运管理工作，指导出租汽车行业管理工作，会同相关部门制定运输价格。 </w:t>
      </w:r>
    </w:p>
    <w:p>
      <w:pPr>
        <w:snapToGrid w:val="0"/>
        <w:spacing w:line="52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2．机构情况，包括当年变动情况及原因。</w:t>
      </w:r>
    </w:p>
    <w:p>
      <w:pPr>
        <w:numPr>
          <w:ilvl w:val="0"/>
          <w:numId w:val="0"/>
        </w:numPr>
        <w:snapToGrid w:val="0"/>
        <w:spacing w:line="520" w:lineRule="exact"/>
        <w:ind w:firstLine="640" w:firstLineChars="200"/>
      </w:pPr>
      <w:r>
        <w:rPr>
          <w:rFonts w:hint="eastAsia" w:ascii="仿宋_GB2312" w:hAnsi="仿宋" w:eastAsia="仿宋_GB2312"/>
          <w:sz w:val="32"/>
          <w:szCs w:val="32"/>
        </w:rPr>
        <w:t>20</w:t>
      </w:r>
      <w:r>
        <w:rPr>
          <w:rFonts w:hint="eastAsia" w:ascii="仿宋_GB2312" w:hAnsi="仿宋" w:eastAsia="仿宋_GB2312"/>
          <w:sz w:val="32"/>
          <w:szCs w:val="32"/>
          <w:lang w:val="en-US" w:eastAsia="zh-CN"/>
        </w:rPr>
        <w:t>20</w:t>
      </w:r>
      <w:r>
        <w:rPr>
          <w:rFonts w:hint="eastAsia" w:ascii="仿宋_GB2312" w:hAnsi="仿宋" w:eastAsia="仿宋_GB2312"/>
          <w:sz w:val="32"/>
          <w:szCs w:val="32"/>
        </w:rPr>
        <w:t>年年末实有机构数1个，下属二级预算机构</w:t>
      </w:r>
      <w:r>
        <w:rPr>
          <w:rFonts w:hint="eastAsia" w:ascii="仿宋_GB2312" w:hAnsi="仿宋" w:eastAsia="仿宋_GB2312"/>
          <w:sz w:val="32"/>
          <w:szCs w:val="32"/>
          <w:lang w:val="en-US" w:eastAsia="zh-CN"/>
        </w:rPr>
        <w:t>1</w:t>
      </w:r>
      <w:r>
        <w:rPr>
          <w:rFonts w:hint="eastAsia" w:ascii="仿宋_GB2312" w:hAnsi="仿宋" w:eastAsia="仿宋_GB2312"/>
          <w:sz w:val="32"/>
          <w:szCs w:val="32"/>
        </w:rPr>
        <w:t>个。</w:t>
      </w:r>
    </w:p>
    <w:p>
      <w:pPr>
        <w:numPr>
          <w:ilvl w:val="0"/>
          <w:numId w:val="4"/>
        </w:numPr>
        <w:snapToGrid w:val="0"/>
        <w:spacing w:line="52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人员情况，包括当年变动情况及原因。</w:t>
      </w:r>
    </w:p>
    <w:p>
      <w:pPr>
        <w:numPr>
          <w:ilvl w:val="0"/>
          <w:numId w:val="0"/>
        </w:numPr>
        <w:snapToGrid w:val="0"/>
        <w:spacing w:line="520" w:lineRule="exact"/>
        <w:ind w:leftChars="200" w:firstLine="640" w:firstLineChars="200"/>
      </w:pPr>
      <w:r>
        <w:rPr>
          <w:rFonts w:hint="eastAsia" w:ascii="仿宋_GB2312" w:hAnsi="仿宋" w:eastAsia="仿宋_GB2312"/>
          <w:sz w:val="32"/>
          <w:szCs w:val="32"/>
        </w:rPr>
        <w:t>20</w:t>
      </w:r>
      <w:r>
        <w:rPr>
          <w:rFonts w:hint="eastAsia" w:ascii="仿宋_GB2312" w:hAnsi="仿宋" w:eastAsia="仿宋_GB2312"/>
          <w:sz w:val="32"/>
          <w:szCs w:val="32"/>
          <w:lang w:val="en-US" w:eastAsia="zh-CN"/>
        </w:rPr>
        <w:t>20</w:t>
      </w:r>
      <w:r>
        <w:rPr>
          <w:rFonts w:hint="eastAsia" w:ascii="仿宋_GB2312" w:hAnsi="仿宋" w:eastAsia="仿宋_GB2312"/>
          <w:sz w:val="32"/>
          <w:szCs w:val="32"/>
        </w:rPr>
        <w:t>年财政补助开支实有人数20</w:t>
      </w:r>
      <w:r>
        <w:rPr>
          <w:rFonts w:hint="eastAsia" w:ascii="仿宋_GB2312" w:hAnsi="仿宋" w:eastAsia="仿宋_GB2312"/>
          <w:sz w:val="32"/>
          <w:szCs w:val="32"/>
          <w:lang w:val="en-US" w:eastAsia="zh-CN"/>
        </w:rPr>
        <w:t>5</w:t>
      </w:r>
      <w:r>
        <w:rPr>
          <w:rFonts w:hint="eastAsia" w:ascii="仿宋_GB2312" w:hAnsi="仿宋" w:eastAsia="仿宋_GB2312"/>
          <w:sz w:val="32"/>
          <w:szCs w:val="32"/>
        </w:rPr>
        <w:t>人，比201</w:t>
      </w:r>
      <w:r>
        <w:rPr>
          <w:rFonts w:hint="eastAsia" w:ascii="仿宋_GB2312" w:hAnsi="仿宋" w:eastAsia="仿宋_GB2312"/>
          <w:sz w:val="32"/>
          <w:szCs w:val="32"/>
          <w:lang w:val="en-US" w:eastAsia="zh-CN"/>
        </w:rPr>
        <w:t>9</w:t>
      </w:r>
      <w:r>
        <w:rPr>
          <w:rFonts w:hint="eastAsia" w:ascii="仿宋_GB2312" w:hAnsi="仿宋" w:eastAsia="仿宋_GB2312"/>
          <w:sz w:val="32"/>
          <w:szCs w:val="32"/>
        </w:rPr>
        <w:t>年度决算</w:t>
      </w:r>
      <w:r>
        <w:rPr>
          <w:rFonts w:hint="eastAsia" w:ascii="仿宋_GB2312" w:hAnsi="仿宋" w:eastAsia="仿宋_GB2312"/>
          <w:sz w:val="32"/>
          <w:szCs w:val="32"/>
          <w:lang w:eastAsia="zh-CN"/>
        </w:rPr>
        <w:t>减少</w:t>
      </w:r>
      <w:r>
        <w:rPr>
          <w:rFonts w:hint="eastAsia" w:ascii="仿宋_GB2312" w:hAnsi="仿宋" w:eastAsia="仿宋_GB2312"/>
          <w:sz w:val="32"/>
          <w:szCs w:val="32"/>
          <w:lang w:val="en-US" w:eastAsia="zh-CN"/>
        </w:rPr>
        <w:t>4</w:t>
      </w:r>
      <w:r>
        <w:rPr>
          <w:rFonts w:hint="eastAsia" w:ascii="仿宋_GB2312" w:hAnsi="仿宋" w:eastAsia="仿宋_GB2312"/>
          <w:sz w:val="32"/>
          <w:szCs w:val="32"/>
        </w:rPr>
        <w:t>人。编制人数2</w:t>
      </w:r>
      <w:r>
        <w:rPr>
          <w:rFonts w:hint="eastAsia" w:ascii="仿宋_GB2312" w:hAnsi="仿宋" w:eastAsia="仿宋_GB2312"/>
          <w:sz w:val="32"/>
          <w:szCs w:val="32"/>
          <w:lang w:val="en-US" w:eastAsia="zh-CN"/>
        </w:rPr>
        <w:t>31</w:t>
      </w:r>
      <w:r>
        <w:rPr>
          <w:rFonts w:hint="eastAsia" w:ascii="仿宋_GB2312" w:hAnsi="仿宋" w:eastAsia="仿宋_GB2312"/>
          <w:sz w:val="32"/>
          <w:szCs w:val="32"/>
        </w:rPr>
        <w:t>人，其中：交通局机关实有年末人数</w:t>
      </w:r>
      <w:r>
        <w:rPr>
          <w:rFonts w:hint="eastAsia" w:ascii="仿宋_GB2312" w:hAnsi="仿宋" w:eastAsia="仿宋_GB2312"/>
          <w:sz w:val="32"/>
          <w:szCs w:val="32"/>
          <w:lang w:val="en-US" w:eastAsia="zh-CN"/>
        </w:rPr>
        <w:t>53</w:t>
      </w:r>
      <w:r>
        <w:rPr>
          <w:rFonts w:hint="eastAsia" w:ascii="仿宋_GB2312" w:hAnsi="仿宋" w:eastAsia="仿宋_GB2312"/>
          <w:sz w:val="32"/>
          <w:szCs w:val="32"/>
        </w:rPr>
        <w:t>人，财政拨款开支人员</w:t>
      </w:r>
      <w:r>
        <w:rPr>
          <w:rFonts w:hint="eastAsia" w:ascii="仿宋_GB2312" w:hAnsi="仿宋" w:eastAsia="仿宋_GB2312"/>
          <w:sz w:val="32"/>
          <w:szCs w:val="32"/>
          <w:lang w:val="en-US" w:eastAsia="zh-CN"/>
        </w:rPr>
        <w:t>53</w:t>
      </w:r>
      <w:r>
        <w:rPr>
          <w:rFonts w:hint="eastAsia" w:ascii="仿宋_GB2312" w:hAnsi="仿宋" w:eastAsia="仿宋_GB2312"/>
          <w:sz w:val="32"/>
          <w:szCs w:val="32"/>
        </w:rPr>
        <w:t>人。</w:t>
      </w:r>
      <w:r>
        <w:rPr>
          <w:rFonts w:hint="eastAsia" w:ascii="仿宋_GB2312" w:hAnsi="仿宋" w:eastAsia="仿宋_GB2312"/>
          <w:sz w:val="32"/>
          <w:szCs w:val="32"/>
          <w:lang w:eastAsia="zh-CN"/>
        </w:rPr>
        <w:t>旺苍县</w:t>
      </w:r>
      <w:r>
        <w:rPr>
          <w:rFonts w:hint="eastAsia" w:ascii="仿宋_GB2312" w:hAnsi="仿宋" w:eastAsia="仿宋_GB2312"/>
          <w:sz w:val="32"/>
          <w:szCs w:val="32"/>
        </w:rPr>
        <w:t>公路养护</w:t>
      </w:r>
      <w:r>
        <w:rPr>
          <w:rFonts w:hint="eastAsia" w:ascii="仿宋_GB2312" w:hAnsi="仿宋" w:eastAsia="仿宋_GB2312"/>
          <w:sz w:val="32"/>
          <w:szCs w:val="32"/>
          <w:lang w:eastAsia="zh-CN"/>
        </w:rPr>
        <w:t>管理局</w:t>
      </w:r>
      <w:r>
        <w:rPr>
          <w:rFonts w:hint="eastAsia" w:ascii="仿宋_GB2312" w:hAnsi="仿宋" w:eastAsia="仿宋_GB2312"/>
          <w:sz w:val="32"/>
          <w:szCs w:val="32"/>
          <w:lang w:val="en-US" w:eastAsia="zh-CN"/>
        </w:rPr>
        <w:t>(段）</w:t>
      </w:r>
      <w:r>
        <w:rPr>
          <w:rFonts w:hint="eastAsia" w:ascii="仿宋_GB2312" w:hAnsi="仿宋" w:eastAsia="仿宋_GB2312"/>
          <w:sz w:val="32"/>
          <w:szCs w:val="32"/>
        </w:rPr>
        <w:t>编制数</w:t>
      </w:r>
      <w:r>
        <w:rPr>
          <w:rFonts w:hint="eastAsia" w:ascii="仿宋_GB2312" w:hAnsi="仿宋" w:eastAsia="仿宋_GB2312"/>
          <w:sz w:val="32"/>
          <w:szCs w:val="32"/>
          <w:lang w:val="en-US" w:eastAsia="zh-CN"/>
        </w:rPr>
        <w:t>174</w:t>
      </w:r>
      <w:r>
        <w:rPr>
          <w:rFonts w:hint="eastAsia" w:ascii="仿宋_GB2312" w:hAnsi="仿宋" w:eastAsia="仿宋_GB2312"/>
          <w:sz w:val="32"/>
          <w:szCs w:val="32"/>
        </w:rPr>
        <w:t>人，实有年末人数</w:t>
      </w:r>
      <w:r>
        <w:rPr>
          <w:rFonts w:hint="eastAsia" w:ascii="仿宋_GB2312" w:hAnsi="仿宋" w:eastAsia="仿宋_GB2312"/>
          <w:sz w:val="32"/>
          <w:szCs w:val="32"/>
          <w:lang w:val="en-US" w:eastAsia="zh-CN"/>
        </w:rPr>
        <w:t>152</w:t>
      </w:r>
      <w:r>
        <w:rPr>
          <w:rFonts w:hint="eastAsia" w:ascii="仿宋_GB2312" w:hAnsi="仿宋" w:eastAsia="仿宋_GB2312"/>
          <w:sz w:val="32"/>
          <w:szCs w:val="32"/>
        </w:rPr>
        <w:t>人。</w:t>
      </w:r>
    </w:p>
    <w:p>
      <w:pPr>
        <w:spacing w:line="560" w:lineRule="exact"/>
        <w:ind w:firstLine="640" w:firstLineChars="200"/>
        <w:rPr>
          <w:rFonts w:hint="eastAsia" w:ascii="黑体" w:hAnsi="黑体" w:eastAsia="黑体"/>
          <w:sz w:val="32"/>
          <w:szCs w:val="32"/>
        </w:rPr>
      </w:pPr>
      <w:r>
        <w:rPr>
          <w:rFonts w:hint="eastAsia" w:ascii="黑体" w:hAnsi="黑体" w:eastAsia="黑体"/>
          <w:sz w:val="32"/>
          <w:szCs w:val="32"/>
        </w:rPr>
        <w:t>二、部门财政资金收支情况</w:t>
      </w:r>
    </w:p>
    <w:p>
      <w:pPr>
        <w:spacing w:line="560" w:lineRule="exact"/>
        <w:ind w:firstLine="643" w:firstLineChars="200"/>
        <w:rPr>
          <w:rFonts w:hint="eastAsia" w:ascii="楷体_GB2312" w:eastAsia="楷体_GB2312"/>
          <w:b/>
          <w:sz w:val="32"/>
          <w:szCs w:val="32"/>
        </w:rPr>
      </w:pPr>
      <w:r>
        <w:rPr>
          <w:rFonts w:hint="eastAsia" w:ascii="楷体_GB2312" w:eastAsia="楷体_GB2312"/>
          <w:b/>
          <w:sz w:val="32"/>
          <w:szCs w:val="32"/>
        </w:rPr>
        <w:t>（一）部门决策情况</w:t>
      </w:r>
    </w:p>
    <w:p>
      <w:pPr>
        <w:keepNext w:val="0"/>
        <w:keepLines w:val="0"/>
        <w:pageBreakBefore w:val="0"/>
        <w:widowControl w:val="0"/>
        <w:kinsoku/>
        <w:wordWrap/>
        <w:overflowPunct/>
        <w:topLinePunct w:val="0"/>
        <w:autoSpaceDE/>
        <w:autoSpaceDN w:val="0"/>
        <w:bidi w:val="0"/>
        <w:adjustRightInd/>
        <w:snapToGrid/>
        <w:spacing w:line="580" w:lineRule="exact"/>
        <w:ind w:firstLine="602"/>
        <w:textAlignment w:val="auto"/>
        <w:rPr>
          <w:rFonts w:hint="eastAsia" w:ascii="仿宋_GB2312" w:eastAsia="仿宋_GB2312"/>
          <w:sz w:val="32"/>
          <w:szCs w:val="32"/>
        </w:rPr>
      </w:pPr>
      <w:r>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t>2020年，全年累计完成交通建设固定资产投资20亿元、占目标任务133.3%；完成交通建设投资14.18亿元，占目标任务的147.7%。</w:t>
      </w:r>
    </w:p>
    <w:p>
      <w:pPr>
        <w:numPr>
          <w:ilvl w:val="0"/>
          <w:numId w:val="0"/>
        </w:numPr>
        <w:spacing w:line="560" w:lineRule="exact"/>
        <w:ind w:leftChars="200" w:firstLine="321" w:firstLineChars="100"/>
        <w:rPr>
          <w:rFonts w:hint="eastAsia" w:ascii="楷体_GB2312" w:eastAsia="楷体_GB2312"/>
          <w:b/>
          <w:sz w:val="32"/>
          <w:szCs w:val="32"/>
        </w:rPr>
      </w:pPr>
      <w:r>
        <w:rPr>
          <w:rFonts w:hint="eastAsia" w:ascii="楷体_GB2312" w:eastAsia="楷体_GB2312"/>
          <w:b/>
          <w:sz w:val="32"/>
          <w:szCs w:val="32"/>
          <w:lang w:val="en-US" w:eastAsia="zh-CN"/>
        </w:rPr>
        <w:t>(二）</w:t>
      </w:r>
      <w:r>
        <w:rPr>
          <w:rFonts w:hint="eastAsia" w:ascii="楷体_GB2312" w:eastAsia="楷体_GB2312"/>
          <w:b/>
          <w:sz w:val="32"/>
          <w:szCs w:val="32"/>
        </w:rPr>
        <w:t>部门财政资金收入情况</w:t>
      </w:r>
    </w:p>
    <w:p>
      <w:pPr>
        <w:pStyle w:val="2"/>
        <w:rPr>
          <w:rFonts w:hint="eastAsia" w:eastAsia="仿宋_GB2312"/>
          <w:lang w:eastAsia="zh-CN"/>
        </w:rPr>
      </w:pPr>
      <w:r>
        <w:rPr>
          <w:rFonts w:hint="eastAsia" w:ascii="仿宋_GB2312" w:hAnsi="仿宋" w:eastAsia="仿宋_GB2312" w:cs="仿宋"/>
          <w:color w:val="000000"/>
          <w:sz w:val="32"/>
          <w:szCs w:val="32"/>
        </w:rPr>
        <w:t>本部门</w:t>
      </w:r>
      <w:r>
        <w:rPr>
          <w:rFonts w:hint="eastAsia" w:ascii="仿宋_GB2312" w:hAnsi="仿宋" w:eastAsia="仿宋_GB2312" w:cs="仿宋"/>
          <w:color w:val="000000"/>
          <w:sz w:val="32"/>
          <w:szCs w:val="32"/>
          <w:lang w:val="en-US" w:eastAsia="zh-CN"/>
        </w:rPr>
        <w:t>2020年度</w:t>
      </w:r>
      <w:r>
        <w:rPr>
          <w:rFonts w:hint="eastAsia" w:ascii="仿宋_GB2312" w:hAnsi="仿宋" w:eastAsia="仿宋_GB2312" w:cs="仿宋"/>
          <w:color w:val="000000"/>
          <w:sz w:val="32"/>
          <w:szCs w:val="32"/>
        </w:rPr>
        <w:t>实际收到</w:t>
      </w:r>
      <w:r>
        <w:rPr>
          <w:rFonts w:hint="eastAsia" w:ascii="仿宋_GB2312" w:hAnsi="仿宋" w:eastAsia="仿宋_GB2312" w:cs="仿宋"/>
          <w:bCs/>
          <w:color w:val="000000"/>
          <w:sz w:val="32"/>
          <w:szCs w:val="32"/>
        </w:rPr>
        <w:t>一般</w:t>
      </w:r>
      <w:r>
        <w:rPr>
          <w:rFonts w:hint="eastAsia" w:ascii="仿宋_GB2312" w:hAnsi="仿宋" w:eastAsia="仿宋_GB2312" w:cs="仿宋"/>
          <w:color w:val="000000"/>
          <w:sz w:val="32"/>
          <w:szCs w:val="32"/>
        </w:rPr>
        <w:t>公共预算财政拨款收入</w:t>
      </w:r>
      <w:r>
        <w:rPr>
          <w:rFonts w:hint="eastAsia" w:ascii="仿宋_GB2312" w:hAnsi="仿宋" w:eastAsia="仿宋_GB2312" w:cs="Times New Roman"/>
          <w:color w:val="000000"/>
          <w:sz w:val="32"/>
          <w:szCs w:val="32"/>
          <w:u w:val="single"/>
        </w:rPr>
        <w:t xml:space="preserve">  </w:t>
      </w:r>
      <w:r>
        <w:rPr>
          <w:rFonts w:hint="eastAsia" w:ascii="仿宋_GB2312" w:hAnsi="仿宋" w:eastAsia="仿宋_GB2312" w:cs="Times New Roman"/>
          <w:color w:val="000000"/>
          <w:sz w:val="32"/>
          <w:szCs w:val="32"/>
          <w:u w:val="none"/>
          <w:lang w:val="en-US" w:eastAsia="zh-CN"/>
        </w:rPr>
        <w:t>18679.24</w:t>
      </w:r>
      <w:r>
        <w:rPr>
          <w:rFonts w:hint="eastAsia" w:ascii="仿宋_GB2312" w:hAnsi="仿宋" w:eastAsia="仿宋_GB2312" w:cs="仿宋"/>
          <w:color w:val="000000"/>
          <w:sz w:val="32"/>
          <w:szCs w:val="32"/>
          <w:u w:val="none"/>
        </w:rPr>
        <w:t>万元</w:t>
      </w:r>
      <w:r>
        <w:rPr>
          <w:rFonts w:hint="eastAsia" w:ascii="仿宋_GB2312" w:hAnsi="仿宋" w:eastAsia="仿宋_GB2312" w:cs="仿宋"/>
          <w:color w:val="000000"/>
          <w:sz w:val="32"/>
          <w:szCs w:val="32"/>
          <w:u w:val="none"/>
          <w:lang w:eastAsia="zh-CN"/>
        </w:rPr>
        <w:t>；</w:t>
      </w:r>
      <w:r>
        <w:rPr>
          <w:rFonts w:hint="eastAsia" w:ascii="仿宋_GB2312" w:hAnsi="仿宋" w:eastAsia="仿宋_GB2312" w:cs="仿宋"/>
          <w:color w:val="000000"/>
          <w:sz w:val="32"/>
          <w:szCs w:val="32"/>
          <w:u w:val="none"/>
        </w:rPr>
        <w:t>政府性基金预算财政拨款收入</w:t>
      </w:r>
      <w:r>
        <w:rPr>
          <w:rFonts w:hint="eastAsia" w:ascii="仿宋_GB2312" w:hAnsi="仿宋" w:eastAsia="仿宋_GB2312" w:cs="Times New Roman"/>
          <w:color w:val="000000"/>
          <w:sz w:val="32"/>
          <w:szCs w:val="32"/>
          <w:u w:val="none"/>
          <w:lang w:val="en-US" w:eastAsia="zh-CN"/>
        </w:rPr>
        <w:t>17010</w:t>
      </w:r>
      <w:r>
        <w:rPr>
          <w:rFonts w:hint="eastAsia" w:ascii="仿宋_GB2312" w:hAnsi="仿宋" w:eastAsia="仿宋_GB2312" w:cs="仿宋"/>
          <w:color w:val="000000"/>
          <w:sz w:val="32"/>
          <w:szCs w:val="32"/>
        </w:rPr>
        <w:t>万元</w:t>
      </w:r>
      <w:r>
        <w:rPr>
          <w:rFonts w:hint="eastAsia" w:ascii="仿宋_GB2312" w:hAnsi="仿宋" w:eastAsia="仿宋_GB2312" w:cs="仿宋"/>
          <w:color w:val="000000"/>
          <w:sz w:val="32"/>
          <w:szCs w:val="32"/>
          <w:lang w:eastAsia="zh-CN"/>
        </w:rPr>
        <w:t>。</w:t>
      </w:r>
    </w:p>
    <w:p>
      <w:pPr>
        <w:spacing w:line="560" w:lineRule="exact"/>
        <w:ind w:firstLine="643" w:firstLineChars="200"/>
        <w:rPr>
          <w:rFonts w:hint="eastAsia" w:ascii="楷体_GB2312" w:eastAsia="楷体_GB2312"/>
          <w:b/>
          <w:sz w:val="32"/>
          <w:szCs w:val="32"/>
        </w:rPr>
      </w:pPr>
      <w:r>
        <w:rPr>
          <w:rFonts w:hint="eastAsia" w:ascii="楷体_GB2312" w:eastAsia="楷体_GB2312"/>
          <w:b/>
          <w:sz w:val="32"/>
          <w:szCs w:val="32"/>
        </w:rPr>
        <w:t>（三）部门财政资金支出情况</w:t>
      </w:r>
    </w:p>
    <w:p>
      <w:pPr>
        <w:pStyle w:val="2"/>
        <w:rPr>
          <w:rFonts w:hint="eastAsia"/>
        </w:rPr>
      </w:pPr>
      <w:r>
        <w:rPr>
          <w:rFonts w:hint="eastAsia" w:ascii="仿宋_GB2312" w:hAnsi="仿宋" w:eastAsia="仿宋_GB2312" w:cs="仿宋"/>
          <w:color w:val="000000"/>
          <w:sz w:val="32"/>
          <w:szCs w:val="32"/>
        </w:rPr>
        <w:t>本部门</w:t>
      </w:r>
      <w:r>
        <w:rPr>
          <w:rFonts w:hint="eastAsia" w:ascii="仿宋_GB2312" w:hAnsi="仿宋" w:eastAsia="仿宋_GB2312" w:cs="仿宋"/>
          <w:color w:val="000000"/>
          <w:sz w:val="32"/>
          <w:szCs w:val="32"/>
          <w:lang w:val="en-US" w:eastAsia="zh-CN"/>
        </w:rPr>
        <w:t>2020年度</w:t>
      </w:r>
      <w:r>
        <w:rPr>
          <w:rFonts w:hint="eastAsia" w:ascii="仿宋_GB2312" w:hAnsi="仿宋" w:eastAsia="仿宋_GB2312" w:cs="仿宋"/>
          <w:bCs/>
          <w:color w:val="000000"/>
          <w:sz w:val="32"/>
          <w:szCs w:val="32"/>
          <w:lang w:eastAsia="zh-CN"/>
        </w:rPr>
        <w:t>基本支出</w:t>
      </w:r>
      <w:r>
        <w:rPr>
          <w:rFonts w:hint="eastAsia" w:ascii="仿宋_GB2312" w:hAnsi="仿宋" w:eastAsia="仿宋_GB2312" w:cs="仿宋"/>
          <w:bCs/>
          <w:color w:val="000000"/>
          <w:sz w:val="32"/>
          <w:szCs w:val="32"/>
          <w:lang w:val="en-US" w:eastAsia="zh-CN"/>
        </w:rPr>
        <w:t>2525.23</w:t>
      </w:r>
      <w:r>
        <w:rPr>
          <w:rFonts w:hint="eastAsia" w:ascii="仿宋_GB2312" w:hAnsi="仿宋" w:eastAsia="仿宋_GB2312" w:cs="仿宋"/>
          <w:color w:val="000000"/>
          <w:sz w:val="32"/>
          <w:szCs w:val="32"/>
          <w:u w:val="none"/>
        </w:rPr>
        <w:t>万元</w:t>
      </w:r>
      <w:r>
        <w:rPr>
          <w:rFonts w:hint="eastAsia" w:ascii="仿宋_GB2312" w:hAnsi="仿宋" w:eastAsia="仿宋_GB2312" w:cs="仿宋"/>
          <w:color w:val="000000"/>
          <w:sz w:val="32"/>
          <w:szCs w:val="32"/>
          <w:u w:val="none"/>
          <w:lang w:eastAsia="zh-CN"/>
        </w:rPr>
        <w:t>；项目支出</w:t>
      </w:r>
      <w:r>
        <w:rPr>
          <w:rFonts w:hint="eastAsia" w:ascii="仿宋_GB2312" w:hAnsi="仿宋" w:eastAsia="仿宋_GB2312" w:cs="仿宋"/>
          <w:color w:val="000000"/>
          <w:sz w:val="32"/>
          <w:szCs w:val="32"/>
          <w:u w:val="none"/>
          <w:lang w:val="en-US" w:eastAsia="zh-CN"/>
        </w:rPr>
        <w:t>25623.51</w:t>
      </w:r>
      <w:r>
        <w:rPr>
          <w:rFonts w:hint="eastAsia" w:ascii="仿宋_GB2312" w:hAnsi="仿宋" w:eastAsia="仿宋_GB2312" w:cs="仿宋"/>
          <w:color w:val="000000"/>
          <w:sz w:val="32"/>
          <w:szCs w:val="32"/>
        </w:rPr>
        <w:t>万元</w:t>
      </w:r>
      <w:r>
        <w:rPr>
          <w:rFonts w:hint="eastAsia" w:ascii="仿宋_GB2312" w:hAnsi="仿宋" w:eastAsia="仿宋_GB2312" w:cs="仿宋"/>
          <w:color w:val="000000"/>
          <w:sz w:val="32"/>
          <w:szCs w:val="32"/>
          <w:lang w:eastAsia="zh-CN"/>
        </w:rPr>
        <w:t>。</w:t>
      </w:r>
    </w:p>
    <w:p>
      <w:pPr>
        <w:spacing w:line="560" w:lineRule="exact"/>
        <w:ind w:firstLine="640" w:firstLineChars="200"/>
        <w:rPr>
          <w:rFonts w:hint="eastAsia" w:ascii="黑体" w:hAnsi="黑体" w:eastAsia="黑体"/>
          <w:sz w:val="32"/>
          <w:szCs w:val="32"/>
        </w:rPr>
      </w:pPr>
      <w:r>
        <w:rPr>
          <w:rFonts w:hint="eastAsia" w:ascii="黑体" w:hAnsi="黑体" w:eastAsia="黑体"/>
          <w:sz w:val="32"/>
          <w:szCs w:val="32"/>
        </w:rPr>
        <w:t>三、评价结论和绩效分析</w:t>
      </w:r>
    </w:p>
    <w:p>
      <w:pPr>
        <w:spacing w:line="560" w:lineRule="exact"/>
        <w:ind w:firstLine="643" w:firstLineChars="200"/>
        <w:rPr>
          <w:rFonts w:hint="eastAsia" w:ascii="楷体_GB2312" w:eastAsia="楷体_GB2312"/>
          <w:b/>
          <w:sz w:val="32"/>
          <w:szCs w:val="32"/>
        </w:rPr>
      </w:pPr>
      <w:r>
        <w:rPr>
          <w:rFonts w:hint="eastAsia" w:ascii="楷体_GB2312" w:eastAsia="楷体_GB2312"/>
          <w:b/>
          <w:sz w:val="32"/>
          <w:szCs w:val="32"/>
        </w:rPr>
        <w:t>（一）评价结论</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项目绩效评价总体结论（包括项目评价得分表）及效益情况</w:t>
      </w:r>
    </w:p>
    <w:tbl>
      <w:tblPr>
        <w:tblStyle w:val="6"/>
        <w:tblpPr w:leftFromText="180" w:rightFromText="180" w:vertAnchor="text" w:horzAnchor="page" w:tblpX="1328" w:tblpY="704"/>
        <w:tblOverlap w:val="never"/>
        <w:tblW w:w="10185" w:type="dxa"/>
        <w:tblInd w:w="0" w:type="dxa"/>
        <w:shd w:val="clear" w:color="auto" w:fill="auto"/>
        <w:tblLayout w:type="fixed"/>
        <w:tblCellMar>
          <w:top w:w="0" w:type="dxa"/>
          <w:left w:w="0" w:type="dxa"/>
          <w:bottom w:w="0" w:type="dxa"/>
          <w:right w:w="0" w:type="dxa"/>
        </w:tblCellMar>
      </w:tblPr>
      <w:tblGrid>
        <w:gridCol w:w="581"/>
        <w:gridCol w:w="547"/>
        <w:gridCol w:w="545"/>
        <w:gridCol w:w="356"/>
        <w:gridCol w:w="553"/>
        <w:gridCol w:w="525"/>
        <w:gridCol w:w="917"/>
        <w:gridCol w:w="681"/>
        <w:gridCol w:w="905"/>
        <w:gridCol w:w="1170"/>
        <w:gridCol w:w="1095"/>
        <w:gridCol w:w="945"/>
        <w:gridCol w:w="1365"/>
      </w:tblGrid>
      <w:tr>
        <w:tblPrEx>
          <w:shd w:val="clear" w:color="auto" w:fill="auto"/>
          <w:tblCellMar>
            <w:top w:w="0" w:type="dxa"/>
            <w:left w:w="0" w:type="dxa"/>
            <w:bottom w:w="0" w:type="dxa"/>
            <w:right w:w="0" w:type="dxa"/>
          </w:tblCellMar>
        </w:tblPrEx>
        <w:trPr>
          <w:trHeight w:val="510" w:hRule="atLeast"/>
        </w:trPr>
        <w:tc>
          <w:tcPr>
            <w:tcW w:w="10185" w:type="dxa"/>
            <w:gridSpan w:val="13"/>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ascii="方正小标宋简体" w:hAnsi="方正小标宋简体" w:eastAsia="方正小标宋简体" w:cs="方正小标宋简体"/>
                <w:b/>
                <w:i w:val="0"/>
                <w:color w:val="000000"/>
                <w:sz w:val="40"/>
                <w:szCs w:val="40"/>
                <w:u w:val="none"/>
              </w:rPr>
            </w:pPr>
            <w:r>
              <w:rPr>
                <w:rFonts w:hint="default" w:ascii="方正小标宋简体" w:hAnsi="方正小标宋简体" w:eastAsia="方正小标宋简体" w:cs="方正小标宋简体"/>
                <w:b/>
                <w:i w:val="0"/>
                <w:color w:val="000000"/>
                <w:kern w:val="0"/>
                <w:sz w:val="40"/>
                <w:szCs w:val="40"/>
                <w:u w:val="none"/>
                <w:lang w:val="en-US" w:eastAsia="zh-CN" w:bidi="ar"/>
              </w:rPr>
              <w:t>旺苍县2021年项目支出绩效评价指标体系</w:t>
            </w:r>
          </w:p>
        </w:tc>
      </w:tr>
      <w:tr>
        <w:tblPrEx>
          <w:shd w:val="clear" w:color="auto" w:fill="auto"/>
          <w:tblCellMar>
            <w:top w:w="0" w:type="dxa"/>
            <w:left w:w="0" w:type="dxa"/>
            <w:bottom w:w="0" w:type="dxa"/>
            <w:right w:w="0" w:type="dxa"/>
          </w:tblCellMar>
        </w:tblPrEx>
        <w:trPr>
          <w:trHeight w:val="345" w:hRule="atLeast"/>
        </w:trPr>
        <w:tc>
          <w:tcPr>
            <w:tcW w:w="581"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一级指标</w:t>
            </w:r>
          </w:p>
        </w:tc>
        <w:tc>
          <w:tcPr>
            <w:tcW w:w="54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二级指标　</w:t>
            </w:r>
          </w:p>
        </w:tc>
        <w:tc>
          <w:tcPr>
            <w:tcW w:w="54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三级指标</w:t>
            </w:r>
          </w:p>
        </w:tc>
        <w:tc>
          <w:tcPr>
            <w:tcW w:w="356"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分值</w:t>
            </w:r>
          </w:p>
        </w:tc>
        <w:tc>
          <w:tcPr>
            <w:tcW w:w="553"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得分</w:t>
            </w:r>
          </w:p>
        </w:tc>
        <w:tc>
          <w:tcPr>
            <w:tcW w:w="1442"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指标评价内容</w:t>
            </w:r>
          </w:p>
        </w:tc>
        <w:tc>
          <w:tcPr>
            <w:tcW w:w="4796"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评分标准（得分比值）</w:t>
            </w:r>
          </w:p>
        </w:tc>
        <w:tc>
          <w:tcPr>
            <w:tcW w:w="136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备      注</w:t>
            </w:r>
          </w:p>
        </w:tc>
      </w:tr>
      <w:tr>
        <w:tblPrEx>
          <w:shd w:val="clear" w:color="auto" w:fill="auto"/>
          <w:tblCellMar>
            <w:top w:w="0" w:type="dxa"/>
            <w:left w:w="0" w:type="dxa"/>
            <w:bottom w:w="0" w:type="dxa"/>
            <w:right w:w="0" w:type="dxa"/>
          </w:tblCellMar>
        </w:tblPrEx>
        <w:trPr>
          <w:trHeight w:val="345"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35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44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差</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较差</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一般</w:t>
            </w: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较好</w:t>
            </w: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好</w:t>
            </w:r>
          </w:p>
        </w:tc>
        <w:tc>
          <w:tcPr>
            <w:tcW w:w="13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r>
      <w:tr>
        <w:tblPrEx>
          <w:shd w:val="clear" w:color="auto" w:fill="auto"/>
          <w:tblCellMar>
            <w:top w:w="0" w:type="dxa"/>
            <w:left w:w="0" w:type="dxa"/>
            <w:bottom w:w="0" w:type="dxa"/>
            <w:right w:w="0" w:type="dxa"/>
          </w:tblCellMar>
        </w:tblPrEx>
        <w:trPr>
          <w:trHeight w:val="345"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35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44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0</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0.3</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0.6</w:t>
            </w: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0.8</w:t>
            </w: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1</w:t>
            </w:r>
          </w:p>
        </w:tc>
        <w:tc>
          <w:tcPr>
            <w:tcW w:w="13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r>
      <w:tr>
        <w:tblPrEx>
          <w:shd w:val="clear" w:color="auto" w:fill="auto"/>
          <w:tblCellMar>
            <w:top w:w="0" w:type="dxa"/>
            <w:left w:w="0" w:type="dxa"/>
            <w:bottom w:w="0" w:type="dxa"/>
            <w:right w:w="0" w:type="dxa"/>
          </w:tblCellMar>
        </w:tblPrEx>
        <w:trPr>
          <w:trHeight w:val="2720" w:hRule="atLeast"/>
        </w:trPr>
        <w:tc>
          <w:tcPr>
            <w:tcW w:w="581"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项目决策（25分）</w:t>
            </w:r>
          </w:p>
        </w:tc>
        <w:tc>
          <w:tcPr>
            <w:tcW w:w="54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绩效目标（6分）</w:t>
            </w:r>
          </w:p>
        </w:tc>
        <w:tc>
          <w:tcPr>
            <w:tcW w:w="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目标内容</w:t>
            </w: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项目预期提供的产品、服务、效益或其他目标明确，即绩效目标实际明确个数/应当明确个数×100%</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x=0%</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0%＜x＜30%</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30%≤x＜60%</w:t>
            </w: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60%≤x＜100%</w:t>
            </w: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x=100%</w:t>
            </w:r>
          </w:p>
        </w:tc>
        <w:tc>
          <w:tcPr>
            <w:tcW w:w="13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查阅项目申报、批复等有关文件，重点检查数量、质量、功能、受益群体满意度等目标、经济效益、社会效益、环境效益和可持续效益等是否明确、可量化。按照绩效目标实际明确个数占应该明确个数比例判断得分档次。</w:t>
            </w:r>
          </w:p>
        </w:tc>
      </w:tr>
      <w:tr>
        <w:tblPrEx>
          <w:shd w:val="clear" w:color="auto" w:fill="auto"/>
          <w:tblCellMar>
            <w:top w:w="0" w:type="dxa"/>
            <w:left w:w="0" w:type="dxa"/>
            <w:bottom w:w="0" w:type="dxa"/>
            <w:right w:w="0" w:type="dxa"/>
          </w:tblCellMar>
        </w:tblPrEx>
        <w:trPr>
          <w:trHeight w:val="192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进度计划</w:t>
            </w: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项目计划实施进度明确</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不明确</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基本明确</w:t>
            </w: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明确</w:t>
            </w:r>
          </w:p>
        </w:tc>
        <w:tc>
          <w:tcPr>
            <w:tcW w:w="13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查阅项目申报、批复等有关文件，重点检查项目计划实施进度是否明确。其中只有完成时间或时限的为基本明确，有分步实施步骤和分步完成时间的为明确。</w:t>
            </w:r>
          </w:p>
        </w:tc>
      </w:tr>
      <w:tr>
        <w:tblPrEx>
          <w:shd w:val="clear" w:color="auto" w:fill="auto"/>
          <w:tblCellMar>
            <w:top w:w="0" w:type="dxa"/>
            <w:left w:w="0" w:type="dxa"/>
            <w:bottom w:w="0" w:type="dxa"/>
            <w:right w:w="0" w:type="dxa"/>
          </w:tblCellMar>
        </w:tblPrEx>
        <w:trPr>
          <w:trHeight w:val="96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目标匹配</w:t>
            </w: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绩效目标设定符合实际需求的抽样项目点个数/抽样项目点总数×100%</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x&lt;70%</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70%≤x＜80%</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80%≤x＜90%</w:t>
            </w: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90%≤x＜100%</w:t>
            </w: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x=100%</w:t>
            </w:r>
          </w:p>
        </w:tc>
        <w:tc>
          <w:tcPr>
            <w:tcW w:w="13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检查绩效目标与实施需求之间的吻合度。</w:t>
            </w:r>
          </w:p>
        </w:tc>
      </w:tr>
      <w:tr>
        <w:tblPrEx>
          <w:shd w:val="clear" w:color="auto" w:fill="auto"/>
          <w:tblCellMar>
            <w:top w:w="0" w:type="dxa"/>
            <w:left w:w="0" w:type="dxa"/>
            <w:bottom w:w="0" w:type="dxa"/>
            <w:right w:w="0" w:type="dxa"/>
          </w:tblCellMar>
        </w:tblPrEx>
        <w:trPr>
          <w:trHeight w:val="192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决策依据(10分)</w:t>
            </w:r>
          </w:p>
        </w:tc>
        <w:tc>
          <w:tcPr>
            <w:tcW w:w="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政策依据</w:t>
            </w: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项目符合党中央、国务院和省委、省政府决策部署，符合当前经济社会发展需要</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不符合</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符合</w:t>
            </w:r>
          </w:p>
        </w:tc>
        <w:tc>
          <w:tcPr>
            <w:tcW w:w="13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检查项目设立有无相关文件规定或领导批示；相关政策文件规定的执行时限是否已经到期；项目是否已明显不适应当前经济社会实际需求。</w:t>
            </w:r>
          </w:p>
        </w:tc>
      </w:tr>
      <w:tr>
        <w:tblPrEx>
          <w:shd w:val="clear" w:color="auto" w:fill="auto"/>
          <w:tblCellMar>
            <w:top w:w="0" w:type="dxa"/>
            <w:left w:w="0" w:type="dxa"/>
            <w:bottom w:w="0" w:type="dxa"/>
            <w:right w:w="0" w:type="dxa"/>
          </w:tblCellMar>
        </w:tblPrEx>
        <w:trPr>
          <w:trHeight w:val="126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实施规划</w:t>
            </w: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连续性项目根据需要制定中长期实施规划</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无</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有</w:t>
            </w:r>
          </w:p>
        </w:tc>
        <w:tc>
          <w:tcPr>
            <w:tcW w:w="13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无需制定中长期实施规划的项目、阶段性或短期项目不扣分（正在制定规划视为有）。</w:t>
            </w:r>
          </w:p>
        </w:tc>
      </w:tr>
      <w:tr>
        <w:tblPrEx>
          <w:shd w:val="clear" w:color="auto" w:fill="auto"/>
          <w:tblCellMar>
            <w:top w:w="0" w:type="dxa"/>
            <w:left w:w="0" w:type="dxa"/>
            <w:bottom w:w="0" w:type="dxa"/>
            <w:right w:w="0" w:type="dxa"/>
          </w:tblCellMar>
        </w:tblPrEx>
        <w:trPr>
          <w:trHeight w:val="102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实施规划符合实际，并根据情况变化适时调整</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不符合</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基本符合</w:t>
            </w: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符合</w:t>
            </w:r>
          </w:p>
        </w:tc>
        <w:tc>
          <w:tcPr>
            <w:tcW w:w="13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检查项目实施规划是否符合实际，并根据情况变化适时修改规划。</w:t>
            </w:r>
          </w:p>
        </w:tc>
      </w:tr>
      <w:tr>
        <w:tblPrEx>
          <w:shd w:val="clear" w:color="auto" w:fill="auto"/>
          <w:tblCellMar>
            <w:top w:w="0" w:type="dxa"/>
            <w:left w:w="0" w:type="dxa"/>
            <w:bottom w:w="0" w:type="dxa"/>
            <w:right w:w="0" w:type="dxa"/>
          </w:tblCellMar>
        </w:tblPrEx>
        <w:trPr>
          <w:trHeight w:val="36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管理制度</w:t>
            </w: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制定项目资金管理办法</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无</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有</w:t>
            </w:r>
          </w:p>
        </w:tc>
        <w:tc>
          <w:tcPr>
            <w:tcW w:w="13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仿宋" w:hAnsi="仿宋" w:eastAsia="仿宋" w:cs="仿宋"/>
                <w:i w:val="0"/>
                <w:color w:val="FF0000"/>
                <w:sz w:val="20"/>
                <w:szCs w:val="20"/>
                <w:u w:val="none"/>
              </w:rPr>
            </w:pPr>
          </w:p>
        </w:tc>
      </w:tr>
      <w:tr>
        <w:tblPrEx>
          <w:shd w:val="clear" w:color="auto" w:fill="auto"/>
          <w:tblCellMar>
            <w:top w:w="0" w:type="dxa"/>
            <w:left w:w="0" w:type="dxa"/>
            <w:bottom w:w="0" w:type="dxa"/>
            <w:right w:w="0" w:type="dxa"/>
          </w:tblCellMar>
        </w:tblPrEx>
        <w:trPr>
          <w:trHeight w:val="164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项目资金分配决策程序明确</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不明确</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基本明确</w:t>
            </w: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明确</w:t>
            </w:r>
          </w:p>
        </w:tc>
        <w:tc>
          <w:tcPr>
            <w:tcW w:w="13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重点检查制定项目资金管理办法的基本要素设定情况，包括资金使用范围、申报条件、拨付程序等是否明确。</w:t>
            </w:r>
          </w:p>
        </w:tc>
      </w:tr>
      <w:tr>
        <w:tblPrEx>
          <w:shd w:val="clear" w:color="auto" w:fill="auto"/>
          <w:tblCellMar>
            <w:top w:w="0" w:type="dxa"/>
            <w:left w:w="0" w:type="dxa"/>
            <w:bottom w:w="0" w:type="dxa"/>
            <w:right w:w="0" w:type="dxa"/>
          </w:tblCellMar>
        </w:tblPrEx>
        <w:trPr>
          <w:trHeight w:val="106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资金分配(4分)</w:t>
            </w:r>
          </w:p>
        </w:tc>
        <w:tc>
          <w:tcPr>
            <w:tcW w:w="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分配方法</w:t>
            </w: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资金分配方法是否科学合理</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否</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一般</w:t>
            </w: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是</w:t>
            </w:r>
          </w:p>
        </w:tc>
        <w:tc>
          <w:tcPr>
            <w:tcW w:w="13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重点检查是否按照相关政策要求、项目特性，选择科学合理的资金分配方法。</w:t>
            </w:r>
          </w:p>
        </w:tc>
      </w:tr>
      <w:tr>
        <w:tblPrEx>
          <w:shd w:val="clear" w:color="auto" w:fill="auto"/>
          <w:tblCellMar>
            <w:top w:w="0" w:type="dxa"/>
            <w:left w:w="0" w:type="dxa"/>
            <w:bottom w:w="0" w:type="dxa"/>
            <w:right w:w="0" w:type="dxa"/>
          </w:tblCellMar>
        </w:tblPrEx>
        <w:trPr>
          <w:trHeight w:val="106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分配过程</w:t>
            </w: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分配过程符合相关规定</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不符合</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符合</w:t>
            </w:r>
          </w:p>
        </w:tc>
        <w:tc>
          <w:tcPr>
            <w:tcW w:w="13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重点检查是否按相关规定进行专家评审、公告公示、投资评审、审核报批等。</w:t>
            </w:r>
          </w:p>
        </w:tc>
      </w:tr>
      <w:tr>
        <w:tblPrEx>
          <w:shd w:val="clear" w:color="auto" w:fill="auto"/>
          <w:tblCellMar>
            <w:top w:w="0" w:type="dxa"/>
            <w:left w:w="0" w:type="dxa"/>
            <w:bottom w:w="0" w:type="dxa"/>
            <w:right w:w="0" w:type="dxa"/>
          </w:tblCellMar>
        </w:tblPrEx>
        <w:trPr>
          <w:trHeight w:val="206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分配结果(5分)</w:t>
            </w:r>
          </w:p>
        </w:tc>
        <w:tc>
          <w:tcPr>
            <w:tcW w:w="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审核把关</w:t>
            </w: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3</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3</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符合申报条件的抽样项目点个数/抽样项目点总数×100%</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x＜70%</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70%≤x＜80%</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80%≤x＜90%</w:t>
            </w: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90%≤x＜100%</w:t>
            </w: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x=100%</w:t>
            </w:r>
          </w:p>
        </w:tc>
        <w:tc>
          <w:tcPr>
            <w:tcW w:w="13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重点检查是否据实申报项目，有无存在虚报项目套取财政资金和不符合申报条件情况，某项目点发现一例未据实申报的，则该项目点视作不符合申报条件。</w:t>
            </w:r>
          </w:p>
        </w:tc>
      </w:tr>
      <w:tr>
        <w:tblPrEx>
          <w:shd w:val="clear" w:color="auto" w:fill="auto"/>
          <w:tblCellMar>
            <w:top w:w="0" w:type="dxa"/>
            <w:left w:w="0" w:type="dxa"/>
            <w:bottom w:w="0" w:type="dxa"/>
            <w:right w:w="0" w:type="dxa"/>
          </w:tblCellMar>
        </w:tblPrEx>
        <w:trPr>
          <w:trHeight w:val="282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资金集中（均衡）</w:t>
            </w:r>
          </w:p>
        </w:tc>
        <w:tc>
          <w:tcPr>
            <w:tcW w:w="356"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集中</w:t>
            </w:r>
          </w:p>
        </w:tc>
        <w:tc>
          <w:tcPr>
            <w:tcW w:w="9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财政资金占项目资金总额比重较小项目个数/项目总数×100%</w:t>
            </w:r>
          </w:p>
        </w:tc>
        <w:tc>
          <w:tcPr>
            <w:tcW w:w="68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X&gt;35%</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25%&lt;X≤35%</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15%&lt;X≤25%</w:t>
            </w: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5%&lt;X≤15%</w:t>
            </w: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X≤5%</w:t>
            </w:r>
          </w:p>
        </w:tc>
        <w:tc>
          <w:tcPr>
            <w:tcW w:w="13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财政资金占项目资金总额比重较小项目是指补助资金分配对象的财政金额/实际投入资金总额*100%&lt;1%的项目；该项指标适用于产业发展类项目（根据项目实际情况，若无此项指标则其分值调至“审核把关”）</w:t>
            </w:r>
          </w:p>
        </w:tc>
      </w:tr>
      <w:tr>
        <w:tblPrEx>
          <w:shd w:val="clear" w:color="auto" w:fill="auto"/>
          <w:tblCellMar>
            <w:top w:w="0" w:type="dxa"/>
            <w:left w:w="0" w:type="dxa"/>
            <w:bottom w:w="0" w:type="dxa"/>
            <w:right w:w="0" w:type="dxa"/>
          </w:tblCellMar>
        </w:tblPrEx>
        <w:trPr>
          <w:trHeight w:val="1245"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35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5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均衡</w:t>
            </w:r>
          </w:p>
        </w:tc>
        <w:tc>
          <w:tcPr>
            <w:tcW w:w="9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按实际分配结果选择客观因素测算验证资金分配方法制定、分配要素设定、基础数据应用、测算依据选取等是否科学合理（2分）</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不合理</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较合理</w:t>
            </w: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合理</w:t>
            </w:r>
          </w:p>
        </w:tc>
        <w:tc>
          <w:tcPr>
            <w:tcW w:w="13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该项指标适用于民生保障类和基础设施类项目（根据项目实际情况，若无此项指标则其分值调至“审核把关”）</w:t>
            </w:r>
          </w:p>
        </w:tc>
      </w:tr>
      <w:tr>
        <w:tblPrEx>
          <w:shd w:val="clear" w:color="auto" w:fill="auto"/>
          <w:tblCellMar>
            <w:top w:w="0" w:type="dxa"/>
            <w:left w:w="0" w:type="dxa"/>
            <w:bottom w:w="0" w:type="dxa"/>
            <w:right w:w="0" w:type="dxa"/>
          </w:tblCellMar>
        </w:tblPrEx>
        <w:trPr>
          <w:trHeight w:val="740" w:hRule="atLeast"/>
        </w:trPr>
        <w:tc>
          <w:tcPr>
            <w:tcW w:w="581"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项目管理（15分）</w:t>
            </w:r>
          </w:p>
        </w:tc>
        <w:tc>
          <w:tcPr>
            <w:tcW w:w="54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资金到位(3分)</w:t>
            </w:r>
          </w:p>
        </w:tc>
        <w:tc>
          <w:tcPr>
            <w:tcW w:w="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分配时效</w:t>
            </w: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1</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1</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主管部门按规定及时分配资金</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不及时</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及时</w:t>
            </w:r>
          </w:p>
        </w:tc>
        <w:tc>
          <w:tcPr>
            <w:tcW w:w="13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按有关项目资金管理规定时间限分配下达资金</w:t>
            </w:r>
          </w:p>
        </w:tc>
      </w:tr>
      <w:tr>
        <w:tblPrEx>
          <w:shd w:val="clear" w:color="auto" w:fill="auto"/>
          <w:tblCellMar>
            <w:top w:w="0" w:type="dxa"/>
            <w:left w:w="0" w:type="dxa"/>
            <w:bottom w:w="0" w:type="dxa"/>
            <w:right w:w="0" w:type="dxa"/>
          </w:tblCellMar>
        </w:tblPrEx>
        <w:trPr>
          <w:trHeight w:val="1245"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资金拨付</w:t>
            </w: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1.8</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按规定及时拨付资金</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严重滞后</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滞后</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较滞后</w:t>
            </w: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较及时</w:t>
            </w: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及时</w:t>
            </w:r>
          </w:p>
        </w:tc>
        <w:tc>
          <w:tcPr>
            <w:tcW w:w="13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按规定时间要求内拨付的为及时，超过规定时间10个工作日内据传的为较滞后，20个工作日内的为滞后，30个工作日内的为严重滞后；无规定时间要求的，截止评价日，拨付进度为90%以上的为及时，80%-90%的为较及时，70%-80%为较滞后，低于60%的为严重滞后。</w:t>
            </w:r>
          </w:p>
        </w:tc>
      </w:tr>
      <w:tr>
        <w:tblPrEx>
          <w:shd w:val="clear" w:color="auto" w:fill="auto"/>
          <w:tblCellMar>
            <w:top w:w="0" w:type="dxa"/>
            <w:left w:w="0" w:type="dxa"/>
            <w:bottom w:w="0" w:type="dxa"/>
            <w:right w:w="0" w:type="dxa"/>
          </w:tblCellMar>
        </w:tblPrEx>
        <w:trPr>
          <w:trHeight w:val="36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资金管理(4分)</w:t>
            </w:r>
          </w:p>
        </w:tc>
        <w:tc>
          <w:tcPr>
            <w:tcW w:w="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使用范围</w:t>
            </w: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资金使用是否合规</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否</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是</w:t>
            </w: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现场查账，重点检查是资金使用是否符合相关规定，</w:t>
            </w:r>
          </w:p>
        </w:tc>
      </w:tr>
      <w:tr>
        <w:tblPrEx>
          <w:shd w:val="clear" w:color="auto" w:fill="auto"/>
          <w:tblCellMar>
            <w:top w:w="0" w:type="dxa"/>
            <w:left w:w="0" w:type="dxa"/>
            <w:bottom w:w="0" w:type="dxa"/>
            <w:right w:w="0" w:type="dxa"/>
          </w:tblCellMar>
        </w:tblPrEx>
        <w:trPr>
          <w:trHeight w:val="54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支付依据</w:t>
            </w: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1</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1</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资金支付依据符合规定，即支付依据合规资金量/资金总量×100%</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X&lt;70%</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70%≤X&lt;80%</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80%≤X&lt;90%</w:t>
            </w: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90%≤X&lt;100%</w:t>
            </w: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X=100%</w:t>
            </w:r>
          </w:p>
        </w:tc>
        <w:tc>
          <w:tcPr>
            <w:tcW w:w="13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现场查账，重点检查是否提供合法票据，是否虚列项目成本，是否进行大额现金支付等。</w:t>
            </w:r>
          </w:p>
        </w:tc>
      </w:tr>
      <w:tr>
        <w:tblPrEx>
          <w:shd w:val="clear" w:color="auto" w:fill="auto"/>
          <w:tblCellMar>
            <w:top w:w="0" w:type="dxa"/>
            <w:left w:w="0" w:type="dxa"/>
            <w:bottom w:w="0" w:type="dxa"/>
            <w:right w:w="0" w:type="dxa"/>
          </w:tblCellMar>
        </w:tblPrEx>
        <w:trPr>
          <w:trHeight w:val="525"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开支标准</w:t>
            </w: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1</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1</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资金开支标准符合规定，即开支标准合规资金量/资金总量×100%</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X&lt;70%</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70%≤X&lt;80%</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80%≤X&lt;90%</w:t>
            </w: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90%≤X&lt;100%</w:t>
            </w: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x=100%</w:t>
            </w:r>
          </w:p>
        </w:tc>
        <w:tc>
          <w:tcPr>
            <w:tcW w:w="13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现场查账，重点检查资金开支是否按规定标准执行。</w:t>
            </w:r>
          </w:p>
        </w:tc>
      </w:tr>
      <w:tr>
        <w:tblPrEx>
          <w:shd w:val="clear" w:color="auto" w:fill="auto"/>
          <w:tblCellMar>
            <w:top w:w="0" w:type="dxa"/>
            <w:left w:w="0" w:type="dxa"/>
            <w:bottom w:w="0" w:type="dxa"/>
            <w:right w:w="0" w:type="dxa"/>
          </w:tblCellMar>
        </w:tblPrEx>
        <w:trPr>
          <w:trHeight w:val="735"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财务管理(4分)</w:t>
            </w:r>
          </w:p>
        </w:tc>
        <w:tc>
          <w:tcPr>
            <w:tcW w:w="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财务制度</w:t>
            </w: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财务制度健全，管理规范</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不规范</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较规范</w:t>
            </w: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规范</w:t>
            </w:r>
          </w:p>
        </w:tc>
        <w:tc>
          <w:tcPr>
            <w:tcW w:w="13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现场查阅项目点的制度文件情况；检查岗位分设、印鉴管理情况；检查资金支付审批、申报款项依据是否完备，存在1-3个问题为较规范，3个或3个以上为不规范，没有问题为规范。</w:t>
            </w:r>
          </w:p>
        </w:tc>
      </w:tr>
      <w:tr>
        <w:tblPrEx>
          <w:shd w:val="clear" w:color="auto" w:fill="auto"/>
          <w:tblCellMar>
            <w:top w:w="0" w:type="dxa"/>
            <w:left w:w="0" w:type="dxa"/>
            <w:bottom w:w="0" w:type="dxa"/>
            <w:right w:w="0" w:type="dxa"/>
          </w:tblCellMar>
        </w:tblPrEx>
        <w:trPr>
          <w:trHeight w:val="126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会计核算</w:t>
            </w: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会计核算规范</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不规范</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较规范</w:t>
            </w: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规范</w:t>
            </w:r>
          </w:p>
        </w:tc>
        <w:tc>
          <w:tcPr>
            <w:tcW w:w="13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现场查账。存在1-3个问题为较规范，3个或3个以上为不规范，没有问题为规范。</w:t>
            </w:r>
          </w:p>
        </w:tc>
      </w:tr>
      <w:tr>
        <w:tblPrEx>
          <w:shd w:val="clear" w:color="auto" w:fill="auto"/>
          <w:tblCellMar>
            <w:top w:w="0" w:type="dxa"/>
            <w:left w:w="0" w:type="dxa"/>
            <w:bottom w:w="0" w:type="dxa"/>
            <w:right w:w="0" w:type="dxa"/>
          </w:tblCellMar>
        </w:tblPrEx>
        <w:trPr>
          <w:trHeight w:val="44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组织实施(4分)</w:t>
            </w:r>
          </w:p>
        </w:tc>
        <w:tc>
          <w:tcPr>
            <w:tcW w:w="54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项目调整</w:t>
            </w:r>
          </w:p>
        </w:tc>
        <w:tc>
          <w:tcPr>
            <w:tcW w:w="356"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1</w:t>
            </w:r>
          </w:p>
        </w:tc>
        <w:tc>
          <w:tcPr>
            <w:tcW w:w="553"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1</w:t>
            </w:r>
          </w:p>
        </w:tc>
        <w:tc>
          <w:tcPr>
            <w:tcW w:w="1442"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项目调整严格履行相关手续</w:t>
            </w:r>
          </w:p>
        </w:tc>
        <w:tc>
          <w:tcPr>
            <w:tcW w:w="681"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未履行</w:t>
            </w:r>
          </w:p>
        </w:tc>
        <w:tc>
          <w:tcPr>
            <w:tcW w:w="90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17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09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4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履行</w:t>
            </w:r>
          </w:p>
        </w:tc>
        <w:tc>
          <w:tcPr>
            <w:tcW w:w="136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现场查阅有关文件，检查是否按规定申报并得到批准。</w:t>
            </w:r>
          </w:p>
        </w:tc>
      </w:tr>
      <w:tr>
        <w:tblPrEx>
          <w:shd w:val="clear" w:color="auto" w:fill="auto"/>
          <w:tblCellMar>
            <w:top w:w="0" w:type="dxa"/>
            <w:left w:w="0" w:type="dxa"/>
            <w:bottom w:w="0" w:type="dxa"/>
            <w:right w:w="0" w:type="dxa"/>
          </w:tblCellMar>
        </w:tblPrEx>
        <w:trPr>
          <w:trHeight w:val="44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35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44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仿宋" w:hAnsi="仿宋" w:eastAsia="仿宋" w:cs="仿宋"/>
                <w:i w:val="0"/>
                <w:color w:val="000000"/>
                <w:sz w:val="20"/>
                <w:szCs w:val="20"/>
                <w:u w:val="none"/>
              </w:rPr>
            </w:pPr>
          </w:p>
        </w:tc>
        <w:tc>
          <w:tcPr>
            <w:tcW w:w="6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0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17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09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3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仿宋" w:hAnsi="仿宋" w:eastAsia="仿宋" w:cs="仿宋"/>
                <w:i w:val="0"/>
                <w:color w:val="000000"/>
                <w:sz w:val="20"/>
                <w:szCs w:val="20"/>
                <w:u w:val="none"/>
              </w:rPr>
            </w:pPr>
          </w:p>
        </w:tc>
      </w:tr>
      <w:tr>
        <w:tblPrEx>
          <w:shd w:val="clear" w:color="auto" w:fill="auto"/>
          <w:tblCellMar>
            <w:top w:w="0" w:type="dxa"/>
            <w:left w:w="0" w:type="dxa"/>
            <w:bottom w:w="0" w:type="dxa"/>
            <w:right w:w="0" w:type="dxa"/>
          </w:tblCellMar>
        </w:tblPrEx>
        <w:trPr>
          <w:trHeight w:val="220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投资变更</w:t>
            </w: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1</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项目投资变更额/项目总投入×100%</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X&gt;20%</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20%≥X&gt;15%</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15%≥X&gt;10%</w:t>
            </w: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10%≥X&gt;5%</w:t>
            </w: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X≤5%</w:t>
            </w:r>
          </w:p>
        </w:tc>
        <w:tc>
          <w:tcPr>
            <w:tcW w:w="13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针对基本建设类项目（其他类项目此分值平分调至项目调整和制度执行指标）。项目总投资额变更的，直接计算；子项目之间进行调整变更的，只计算调增或调减的一方，不重复计算。</w:t>
            </w:r>
          </w:p>
        </w:tc>
      </w:tr>
      <w:tr>
        <w:tblPrEx>
          <w:shd w:val="clear" w:color="auto" w:fill="auto"/>
          <w:tblCellMar>
            <w:top w:w="0" w:type="dxa"/>
            <w:left w:w="0" w:type="dxa"/>
            <w:bottom w:w="0" w:type="dxa"/>
            <w:right w:w="0" w:type="dxa"/>
          </w:tblCellMar>
        </w:tblPrEx>
        <w:trPr>
          <w:trHeight w:val="270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制度执行</w:t>
            </w: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2</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严格按照项目有关制度规定</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不严格</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较严格</w:t>
            </w: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严格</w:t>
            </w:r>
          </w:p>
        </w:tc>
        <w:tc>
          <w:tcPr>
            <w:tcW w:w="13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现场查阅执行文件、会议记录等资料，重点检查管理程序、招投标、工程监理、项目公示、政府采购、合同管理、一事一议等相关制度是否严格执行，存在1-3个问题较为严格，3个或3个以上为不严格，没有问题为严格。</w:t>
            </w:r>
          </w:p>
        </w:tc>
      </w:tr>
      <w:tr>
        <w:tblPrEx>
          <w:shd w:val="clear" w:color="auto" w:fill="auto"/>
          <w:tblCellMar>
            <w:top w:w="0" w:type="dxa"/>
            <w:left w:w="0" w:type="dxa"/>
            <w:bottom w:w="0" w:type="dxa"/>
            <w:right w:w="0" w:type="dxa"/>
          </w:tblCellMar>
        </w:tblPrEx>
        <w:trPr>
          <w:trHeight w:val="560" w:hRule="atLeast"/>
        </w:trPr>
        <w:tc>
          <w:tcPr>
            <w:tcW w:w="581"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项目绩效（特性指标60分）</w:t>
            </w:r>
          </w:p>
        </w:tc>
        <w:tc>
          <w:tcPr>
            <w:tcW w:w="54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项目完成(15分)</w:t>
            </w:r>
          </w:p>
        </w:tc>
        <w:tc>
          <w:tcPr>
            <w:tcW w:w="54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完成数量</w:t>
            </w:r>
          </w:p>
        </w:tc>
        <w:tc>
          <w:tcPr>
            <w:tcW w:w="356"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3</w:t>
            </w:r>
          </w:p>
        </w:tc>
        <w:tc>
          <w:tcPr>
            <w:tcW w:w="553"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3</w:t>
            </w:r>
          </w:p>
        </w:tc>
        <w:tc>
          <w:tcPr>
            <w:tcW w:w="1442"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实际完成任务量/绩效目标设定任务量×100%</w:t>
            </w:r>
          </w:p>
        </w:tc>
        <w:tc>
          <w:tcPr>
            <w:tcW w:w="681"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x&lt;85%</w:t>
            </w:r>
          </w:p>
        </w:tc>
        <w:tc>
          <w:tcPr>
            <w:tcW w:w="90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85%≤x＜90%</w:t>
            </w:r>
          </w:p>
        </w:tc>
        <w:tc>
          <w:tcPr>
            <w:tcW w:w="117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90%≤x＜95%</w:t>
            </w:r>
          </w:p>
        </w:tc>
        <w:tc>
          <w:tcPr>
            <w:tcW w:w="109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95%≤x＜100%</w:t>
            </w:r>
          </w:p>
        </w:tc>
        <w:tc>
          <w:tcPr>
            <w:tcW w:w="94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X=100%</w:t>
            </w:r>
          </w:p>
        </w:tc>
        <w:tc>
          <w:tcPr>
            <w:tcW w:w="136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具体特性指标根据项目绩效目标、项目申报资料，以及行业特点、资金具体投向、使用用途等因素而设定</w:t>
            </w:r>
          </w:p>
        </w:tc>
      </w:tr>
      <w:tr>
        <w:tblPrEx>
          <w:shd w:val="clear" w:color="auto" w:fill="auto"/>
          <w:tblCellMar>
            <w:top w:w="0" w:type="dxa"/>
            <w:left w:w="0" w:type="dxa"/>
            <w:bottom w:w="0" w:type="dxa"/>
            <w:right w:w="0" w:type="dxa"/>
          </w:tblCellMar>
        </w:tblPrEx>
        <w:trPr>
          <w:trHeight w:val="56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仿宋" w:hAnsi="仿宋" w:eastAsia="仿宋" w:cs="仿宋"/>
                <w:i w:val="0"/>
                <w:color w:val="000000"/>
                <w:sz w:val="20"/>
                <w:szCs w:val="20"/>
                <w:u w:val="none"/>
              </w:rPr>
            </w:pPr>
          </w:p>
        </w:tc>
        <w:tc>
          <w:tcPr>
            <w:tcW w:w="35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44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仿宋" w:hAnsi="仿宋" w:eastAsia="仿宋" w:cs="仿宋"/>
                <w:i w:val="0"/>
                <w:color w:val="000000"/>
                <w:sz w:val="20"/>
                <w:szCs w:val="20"/>
                <w:u w:val="none"/>
              </w:rPr>
            </w:pPr>
          </w:p>
        </w:tc>
        <w:tc>
          <w:tcPr>
            <w:tcW w:w="6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仿宋" w:hAnsi="仿宋" w:eastAsia="仿宋" w:cs="仿宋"/>
                <w:i w:val="0"/>
                <w:color w:val="000000"/>
                <w:sz w:val="20"/>
                <w:szCs w:val="20"/>
                <w:u w:val="none"/>
              </w:rPr>
            </w:pPr>
          </w:p>
        </w:tc>
        <w:tc>
          <w:tcPr>
            <w:tcW w:w="90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仿宋" w:hAnsi="仿宋" w:eastAsia="仿宋" w:cs="仿宋"/>
                <w:i w:val="0"/>
                <w:color w:val="000000"/>
                <w:sz w:val="20"/>
                <w:szCs w:val="20"/>
                <w:u w:val="none"/>
              </w:rPr>
            </w:pPr>
          </w:p>
        </w:tc>
        <w:tc>
          <w:tcPr>
            <w:tcW w:w="117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仿宋" w:hAnsi="仿宋" w:eastAsia="仿宋" w:cs="仿宋"/>
                <w:i w:val="0"/>
                <w:color w:val="000000"/>
                <w:sz w:val="20"/>
                <w:szCs w:val="20"/>
                <w:u w:val="none"/>
              </w:rPr>
            </w:pPr>
          </w:p>
        </w:tc>
        <w:tc>
          <w:tcPr>
            <w:tcW w:w="109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仿宋" w:hAnsi="仿宋" w:eastAsia="仿宋" w:cs="仿宋"/>
                <w:i w:val="0"/>
                <w:color w:val="000000"/>
                <w:sz w:val="20"/>
                <w:szCs w:val="20"/>
                <w:u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3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仿宋" w:hAnsi="仿宋" w:eastAsia="仿宋" w:cs="仿宋"/>
                <w:i w:val="0"/>
                <w:color w:val="000000"/>
                <w:sz w:val="20"/>
                <w:szCs w:val="20"/>
                <w:u w:val="none"/>
              </w:rPr>
            </w:pPr>
          </w:p>
        </w:tc>
      </w:tr>
      <w:tr>
        <w:tblPrEx>
          <w:shd w:val="clear" w:color="auto" w:fill="auto"/>
          <w:tblCellMar>
            <w:top w:w="0" w:type="dxa"/>
            <w:left w:w="0" w:type="dxa"/>
            <w:bottom w:w="0" w:type="dxa"/>
            <w:right w:w="0" w:type="dxa"/>
          </w:tblCellMar>
        </w:tblPrEx>
        <w:trPr>
          <w:trHeight w:val="84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完成质量</w:t>
            </w: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4</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3</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符合绩效目标设定的验收标准，达到行业基准水平</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不符合</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符合</w:t>
            </w:r>
          </w:p>
        </w:tc>
        <w:tc>
          <w:tcPr>
            <w:tcW w:w="13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仿宋" w:hAnsi="仿宋" w:eastAsia="仿宋" w:cs="仿宋"/>
                <w:i w:val="0"/>
                <w:color w:val="000000"/>
                <w:sz w:val="20"/>
                <w:szCs w:val="20"/>
                <w:u w:val="none"/>
              </w:rPr>
            </w:pPr>
          </w:p>
        </w:tc>
      </w:tr>
      <w:tr>
        <w:tblPrEx>
          <w:shd w:val="clear" w:color="auto" w:fill="auto"/>
          <w:tblCellMar>
            <w:top w:w="0" w:type="dxa"/>
            <w:left w:w="0" w:type="dxa"/>
            <w:bottom w:w="0" w:type="dxa"/>
            <w:right w:w="0" w:type="dxa"/>
          </w:tblCellMar>
        </w:tblPrEx>
        <w:trPr>
          <w:trHeight w:val="100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完成时效</w:t>
            </w: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4</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3</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（实际完成时间-绩效目标设定完成时间）/绩效目标设定完成时间×100%</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x＞15%</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15%≥x＞10%</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10%≥x＞5%</w:t>
            </w: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5%≥x＞0</w:t>
            </w: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X≤0</w:t>
            </w:r>
          </w:p>
        </w:tc>
        <w:tc>
          <w:tcPr>
            <w:tcW w:w="13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仿宋" w:hAnsi="仿宋" w:eastAsia="仿宋" w:cs="仿宋"/>
                <w:i w:val="0"/>
                <w:color w:val="000000"/>
                <w:sz w:val="20"/>
                <w:szCs w:val="20"/>
                <w:u w:val="none"/>
              </w:rPr>
            </w:pPr>
          </w:p>
        </w:tc>
      </w:tr>
      <w:tr>
        <w:tblPrEx>
          <w:shd w:val="clear" w:color="auto" w:fill="auto"/>
          <w:tblCellMar>
            <w:top w:w="0" w:type="dxa"/>
            <w:left w:w="0" w:type="dxa"/>
            <w:bottom w:w="0" w:type="dxa"/>
            <w:right w:w="0" w:type="dxa"/>
          </w:tblCellMar>
        </w:tblPrEx>
        <w:trPr>
          <w:trHeight w:val="82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完成成本</w:t>
            </w: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4</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4</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（实际完成成本-预计完成成本）/预计完成成本×100%</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x＞15%</w:t>
            </w: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15%≥x＞10%</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10%≥x＞5%</w:t>
            </w: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5%≥x＞0</w:t>
            </w: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X≤0</w:t>
            </w:r>
          </w:p>
        </w:tc>
        <w:tc>
          <w:tcPr>
            <w:tcW w:w="13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仿宋" w:hAnsi="仿宋" w:eastAsia="仿宋" w:cs="仿宋"/>
                <w:i w:val="0"/>
                <w:color w:val="000000"/>
                <w:sz w:val="20"/>
                <w:szCs w:val="20"/>
                <w:u w:val="none"/>
              </w:rPr>
            </w:pPr>
          </w:p>
        </w:tc>
      </w:tr>
      <w:tr>
        <w:tblPrEx>
          <w:shd w:val="clear" w:color="auto" w:fill="auto"/>
          <w:tblCellMar>
            <w:top w:w="0" w:type="dxa"/>
            <w:left w:w="0" w:type="dxa"/>
            <w:bottom w:w="0" w:type="dxa"/>
            <w:right w:w="0" w:type="dxa"/>
          </w:tblCellMar>
        </w:tblPrEx>
        <w:trPr>
          <w:trHeight w:val="110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项目效益(40分)</w:t>
            </w:r>
          </w:p>
        </w:tc>
        <w:tc>
          <w:tcPr>
            <w:tcW w:w="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经济效益</w:t>
            </w: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10</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10</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反映相关产出对经济社会发展带来的影响和效果，根据项目实际细化具体指标。</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仿宋" w:hAnsi="仿宋" w:eastAsia="仿宋" w:cs="仿宋"/>
                <w:i w:val="0"/>
                <w:color w:val="000000"/>
                <w:sz w:val="20"/>
                <w:szCs w:val="20"/>
                <w:u w:val="none"/>
              </w:rPr>
            </w:pPr>
          </w:p>
        </w:tc>
      </w:tr>
      <w:tr>
        <w:tblPrEx>
          <w:shd w:val="clear" w:color="auto" w:fill="auto"/>
          <w:tblCellMar>
            <w:top w:w="0" w:type="dxa"/>
            <w:left w:w="0" w:type="dxa"/>
            <w:bottom w:w="0" w:type="dxa"/>
            <w:right w:w="0" w:type="dxa"/>
          </w:tblCellMar>
        </w:tblPrEx>
        <w:trPr>
          <w:trHeight w:val="110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社会效益</w:t>
            </w: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10</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9</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反映相关产出对社会发展带来的影响和效果，根据项目实际细化具体指标。</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仿宋" w:hAnsi="仿宋" w:eastAsia="仿宋" w:cs="仿宋"/>
                <w:i w:val="0"/>
                <w:color w:val="000000"/>
                <w:sz w:val="20"/>
                <w:szCs w:val="20"/>
                <w:u w:val="none"/>
              </w:rPr>
            </w:pPr>
          </w:p>
        </w:tc>
      </w:tr>
      <w:tr>
        <w:tblPrEx>
          <w:shd w:val="clear" w:color="auto" w:fill="auto"/>
          <w:tblCellMar>
            <w:top w:w="0" w:type="dxa"/>
            <w:left w:w="0" w:type="dxa"/>
            <w:bottom w:w="0" w:type="dxa"/>
            <w:right w:w="0" w:type="dxa"/>
          </w:tblCellMar>
        </w:tblPrEx>
        <w:trPr>
          <w:trHeight w:val="74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生态效益</w:t>
            </w: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10</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10</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反映相关产出对自然环境带来的影响和效果，根据项目实际细化具体指标。</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仿宋" w:hAnsi="仿宋" w:eastAsia="仿宋" w:cs="仿宋"/>
                <w:i w:val="0"/>
                <w:color w:val="000000"/>
                <w:sz w:val="20"/>
                <w:szCs w:val="20"/>
                <w:u w:val="none"/>
              </w:rPr>
            </w:pPr>
          </w:p>
        </w:tc>
      </w:tr>
      <w:tr>
        <w:tblPrEx>
          <w:tblCellMar>
            <w:top w:w="0" w:type="dxa"/>
            <w:left w:w="0" w:type="dxa"/>
            <w:bottom w:w="0" w:type="dxa"/>
            <w:right w:w="0" w:type="dxa"/>
          </w:tblCellMar>
        </w:tblPrEx>
        <w:trPr>
          <w:trHeight w:val="74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可持续效益</w:t>
            </w:r>
          </w:p>
        </w:tc>
        <w:tc>
          <w:tcPr>
            <w:tcW w:w="356"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10</w:t>
            </w:r>
          </w:p>
        </w:tc>
        <w:tc>
          <w:tcPr>
            <w:tcW w:w="553"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9</w:t>
            </w:r>
          </w:p>
        </w:tc>
        <w:tc>
          <w:tcPr>
            <w:tcW w:w="1442"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反映相关产出带来的影响的可持续期限，根据项目实际细化具体指标。</w:t>
            </w:r>
          </w:p>
        </w:tc>
        <w:tc>
          <w:tcPr>
            <w:tcW w:w="681"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0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17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09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4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36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仿宋" w:hAnsi="仿宋" w:eastAsia="仿宋" w:cs="仿宋"/>
                <w:i w:val="0"/>
                <w:color w:val="000000"/>
                <w:sz w:val="20"/>
                <w:szCs w:val="20"/>
                <w:u w:val="none"/>
              </w:rPr>
            </w:pPr>
          </w:p>
        </w:tc>
      </w:tr>
      <w:tr>
        <w:tblPrEx>
          <w:tblCellMar>
            <w:top w:w="0" w:type="dxa"/>
            <w:left w:w="0" w:type="dxa"/>
            <w:bottom w:w="0" w:type="dxa"/>
            <w:right w:w="0" w:type="dxa"/>
          </w:tblCellMar>
        </w:tblPrEx>
        <w:trPr>
          <w:trHeight w:val="50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35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5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44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仿宋" w:hAnsi="仿宋" w:eastAsia="仿宋" w:cs="仿宋"/>
                <w:i w:val="0"/>
                <w:color w:val="000000"/>
                <w:sz w:val="20"/>
                <w:szCs w:val="20"/>
                <w:u w:val="none"/>
              </w:rPr>
            </w:pPr>
          </w:p>
        </w:tc>
        <w:tc>
          <w:tcPr>
            <w:tcW w:w="6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0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17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09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3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仿宋" w:hAnsi="仿宋" w:eastAsia="仿宋" w:cs="仿宋"/>
                <w:i w:val="0"/>
                <w:color w:val="000000"/>
                <w:sz w:val="20"/>
                <w:szCs w:val="20"/>
                <w:u w:val="none"/>
              </w:rPr>
            </w:pPr>
          </w:p>
        </w:tc>
      </w:tr>
      <w:tr>
        <w:tblPrEx>
          <w:tblCellMar>
            <w:top w:w="0" w:type="dxa"/>
            <w:left w:w="0" w:type="dxa"/>
            <w:bottom w:w="0" w:type="dxa"/>
            <w:right w:w="0" w:type="dxa"/>
          </w:tblCellMar>
        </w:tblPrEx>
        <w:trPr>
          <w:trHeight w:val="740" w:hRule="atLeast"/>
        </w:trPr>
        <w:tc>
          <w:tcPr>
            <w:tcW w:w="5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5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满意度(5分）</w:t>
            </w:r>
          </w:p>
        </w:tc>
        <w:tc>
          <w:tcPr>
            <w:tcW w:w="5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服务对象满意度</w:t>
            </w:r>
          </w:p>
        </w:tc>
        <w:tc>
          <w:tcPr>
            <w:tcW w:w="3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5</w:t>
            </w:r>
          </w:p>
        </w:tc>
        <w:tc>
          <w:tcPr>
            <w:tcW w:w="5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4</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20"/>
                <w:szCs w:val="20"/>
                <w:u w:val="none"/>
              </w:rPr>
            </w:pPr>
            <w:r>
              <w:rPr>
                <w:rFonts w:hint="default" w:ascii="仿宋" w:hAnsi="仿宋" w:eastAsia="仿宋" w:cs="仿宋"/>
                <w:i w:val="0"/>
                <w:color w:val="000000"/>
                <w:kern w:val="0"/>
                <w:sz w:val="20"/>
                <w:szCs w:val="20"/>
                <w:u w:val="none"/>
                <w:lang w:val="en-US" w:eastAsia="zh-CN" w:bidi="ar"/>
              </w:rPr>
              <w:t>反映服务对象或项目受益人对相关产出及其影响的认可程度，根据项目实际细化具体指标。</w:t>
            </w:r>
          </w:p>
        </w:tc>
        <w:tc>
          <w:tcPr>
            <w:tcW w:w="6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i w:val="0"/>
                <w:color w:val="000000"/>
                <w:sz w:val="20"/>
                <w:szCs w:val="20"/>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仿宋" w:hAnsi="仿宋" w:eastAsia="仿宋" w:cs="仿宋"/>
                <w:i w:val="0"/>
                <w:color w:val="000000"/>
                <w:sz w:val="20"/>
                <w:szCs w:val="20"/>
                <w:u w:val="none"/>
              </w:rPr>
            </w:pPr>
          </w:p>
        </w:tc>
      </w:tr>
      <w:tr>
        <w:tblPrEx>
          <w:tblCellMar>
            <w:top w:w="0" w:type="dxa"/>
            <w:left w:w="0" w:type="dxa"/>
            <w:bottom w:w="0" w:type="dxa"/>
            <w:right w:w="0" w:type="dxa"/>
          </w:tblCellMar>
        </w:tblPrEx>
        <w:trPr>
          <w:trHeight w:val="285" w:hRule="atLeast"/>
        </w:trPr>
        <w:tc>
          <w:tcPr>
            <w:tcW w:w="1673" w:type="dxa"/>
            <w:gridSpan w:val="3"/>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总分合计</w:t>
            </w:r>
          </w:p>
        </w:tc>
        <w:tc>
          <w:tcPr>
            <w:tcW w:w="3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ascii="宋体" w:hAnsi="宋体" w:eastAsia="宋体" w:cs="宋体"/>
                <w:i w:val="0"/>
                <w:color w:val="000000"/>
                <w:sz w:val="20"/>
                <w:szCs w:val="20"/>
                <w:u w:val="none"/>
              </w:rPr>
            </w:pPr>
          </w:p>
        </w:tc>
        <w:tc>
          <w:tcPr>
            <w:tcW w:w="55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93.8</w:t>
            </w:r>
          </w:p>
        </w:tc>
        <w:tc>
          <w:tcPr>
            <w:tcW w:w="1442"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8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ascii="宋体" w:hAnsi="宋体" w:eastAsia="宋体" w:cs="宋体"/>
                <w:i w:val="0"/>
                <w:color w:val="000000"/>
                <w:sz w:val="20"/>
                <w:szCs w:val="20"/>
                <w:u w:val="none"/>
              </w:rPr>
            </w:pPr>
          </w:p>
        </w:tc>
        <w:tc>
          <w:tcPr>
            <w:tcW w:w="90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ascii="宋体" w:hAnsi="宋体" w:eastAsia="宋体" w:cs="宋体"/>
                <w:i w:val="0"/>
                <w:color w:val="000000"/>
                <w:sz w:val="20"/>
                <w:szCs w:val="20"/>
                <w:u w:val="none"/>
              </w:rPr>
            </w:pP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ascii="宋体" w:hAnsi="宋体" w:eastAsia="宋体" w:cs="宋体"/>
                <w:i w:val="0"/>
                <w:color w:val="000000"/>
                <w:sz w:val="20"/>
                <w:szCs w:val="20"/>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ascii="宋体" w:hAnsi="宋体" w:eastAsia="宋体" w:cs="宋体"/>
                <w:i w:val="0"/>
                <w:color w:val="000000"/>
                <w:sz w:val="20"/>
                <w:szCs w:val="20"/>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ascii="宋体" w:hAnsi="宋体" w:eastAsia="宋体" w:cs="宋体"/>
                <w:i w:val="0"/>
                <w:color w:val="000000"/>
                <w:sz w:val="20"/>
                <w:szCs w:val="20"/>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eastAsia" w:ascii="宋体" w:hAnsi="宋体" w:eastAsia="宋体" w:cs="宋体"/>
                <w:i w:val="0"/>
                <w:color w:val="000000"/>
                <w:sz w:val="20"/>
                <w:szCs w:val="20"/>
                <w:u w:val="none"/>
              </w:rPr>
            </w:pPr>
          </w:p>
        </w:tc>
      </w:tr>
    </w:tbl>
    <w:p>
      <w:pPr>
        <w:pStyle w:val="2"/>
        <w:rPr>
          <w:rFonts w:hint="eastAsia"/>
        </w:rPr>
      </w:pPr>
    </w:p>
    <w:p>
      <w:pPr>
        <w:spacing w:line="560" w:lineRule="exact"/>
        <w:ind w:firstLine="643" w:firstLineChars="200"/>
        <w:rPr>
          <w:rFonts w:hint="eastAsia" w:ascii="楷体_GB2312" w:eastAsia="楷体_GB2312"/>
          <w:b/>
          <w:sz w:val="32"/>
          <w:szCs w:val="32"/>
        </w:rPr>
      </w:pPr>
      <w:r>
        <w:rPr>
          <w:rFonts w:hint="eastAsia" w:ascii="楷体_GB2312" w:eastAsia="楷体_GB2312"/>
          <w:b/>
          <w:sz w:val="32"/>
          <w:szCs w:val="32"/>
        </w:rPr>
        <w:t>（二）绩效分析</w:t>
      </w:r>
    </w:p>
    <w:p>
      <w:pPr>
        <w:spacing w:line="560" w:lineRule="exact"/>
        <w:ind w:firstLine="643" w:firstLineChars="200"/>
        <w:rPr>
          <w:rFonts w:hint="eastAsia" w:ascii="仿宋_GB2312" w:eastAsia="仿宋_GB2312"/>
          <w:b/>
          <w:sz w:val="32"/>
          <w:szCs w:val="32"/>
        </w:rPr>
      </w:pPr>
      <w:r>
        <w:rPr>
          <w:rFonts w:hint="eastAsia" w:ascii="仿宋_GB2312" w:eastAsia="仿宋_GB2312"/>
          <w:b/>
          <w:sz w:val="32"/>
          <w:szCs w:val="32"/>
        </w:rPr>
        <w:t>1.部门预算管理情况分析</w:t>
      </w:r>
    </w:p>
    <w:p>
      <w:pPr>
        <w:rPr>
          <w:rFonts w:hint="eastAsia" w:ascii="仿宋_GB2312" w:hAnsi="Times New Roman" w:eastAsia="仿宋_GB2312" w:cs="Times New Roman"/>
          <w:sz w:val="32"/>
          <w:szCs w:val="32"/>
          <w:lang w:val="en-US" w:eastAsia="zh-CN"/>
        </w:rPr>
      </w:pPr>
      <w:r>
        <w:rPr>
          <w:rFonts w:hint="eastAsia" w:ascii="仿宋_GB2312" w:eastAsia="仿宋_GB2312"/>
          <w:sz w:val="32"/>
          <w:szCs w:val="32"/>
          <w:lang w:val="en-US" w:eastAsia="zh-CN"/>
        </w:rPr>
        <w:t xml:space="preserve">   我单位在进行</w:t>
      </w:r>
      <w:r>
        <w:rPr>
          <w:rFonts w:hint="eastAsia" w:ascii="仿宋_GB2312" w:hAnsi="Times New Roman" w:eastAsia="仿宋_GB2312" w:cs="Times New Roman"/>
          <w:sz w:val="32"/>
          <w:szCs w:val="32"/>
          <w:lang w:val="en-US" w:eastAsia="zh-CN"/>
        </w:rPr>
        <w:t>预算编制时</w:t>
      </w:r>
      <w:r>
        <w:rPr>
          <w:rFonts w:hint="eastAsia" w:ascii="仿宋_GB2312" w:hAnsi="Times New Roman" w:eastAsia="仿宋_GB2312" w:cs="Times New Roman"/>
          <w:sz w:val="32"/>
          <w:szCs w:val="32"/>
        </w:rPr>
        <w:t>遵循统筹兼顾、勤俭节约、量力而行、讲求绩效</w:t>
      </w:r>
      <w:r>
        <w:rPr>
          <w:rFonts w:hint="eastAsia" w:ascii="仿宋_GB2312" w:hAnsi="Times New Roman" w:eastAsia="仿宋_GB2312" w:cs="Times New Roman"/>
          <w:sz w:val="32"/>
          <w:szCs w:val="32"/>
          <w:lang w:eastAsia="zh-CN"/>
        </w:rPr>
        <w:t>、</w:t>
      </w:r>
      <w:r>
        <w:rPr>
          <w:rFonts w:hint="eastAsia" w:ascii="仿宋_GB2312" w:hAnsi="Times New Roman" w:eastAsia="仿宋_GB2312" w:cs="Times New Roman"/>
          <w:sz w:val="32"/>
          <w:szCs w:val="32"/>
          <w:lang w:val="zh-TW"/>
        </w:rPr>
        <w:t>按照量入为出、收支平衡的原则编制，</w:t>
      </w:r>
      <w:r>
        <w:rPr>
          <w:rFonts w:hint="eastAsia" w:ascii="仿宋_GB2312" w:hAnsi="Times New Roman" w:eastAsia="仿宋_GB2312" w:cs="Times New Roman"/>
          <w:sz w:val="32"/>
          <w:szCs w:val="32"/>
          <w:lang w:val="zh-TW" w:eastAsia="zh-CN"/>
        </w:rPr>
        <w:t>不列赤字。</w:t>
      </w:r>
      <w:r>
        <w:rPr>
          <w:rFonts w:hint="eastAsia" w:ascii="仿宋_GB2312" w:hAnsi="Times New Roman" w:eastAsia="仿宋_GB2312" w:cs="Times New Roman"/>
          <w:sz w:val="32"/>
          <w:szCs w:val="32"/>
          <w:lang w:val="en-US" w:eastAsia="zh-CN"/>
        </w:rPr>
        <w:t>一上由单位按照财政部门的布置，根据本单位财力状况、宏观经济发展目标和本单位的工作需要，按照人员经费支出定额标准和公用经费定额标准，采取规定的预算编制方法，编制预算建议数，上报财政部门;二上部门根据预算控制数编制本部门预算报送财政部门。严格按照收入预算、支出预算执行，控制预算支出的合理性，充分发挥预算硬约束作用，使各项费用控制在预算内。对单位内部预算的编审、批复、执行、追加、调整、决算考评等进行全过程管理。</w:t>
      </w:r>
    </w:p>
    <w:p>
      <w:pPr>
        <w:spacing w:line="560" w:lineRule="exact"/>
        <w:ind w:firstLine="643" w:firstLineChars="200"/>
        <w:rPr>
          <w:rFonts w:hint="eastAsia" w:ascii="仿宋_GB2312" w:eastAsia="仿宋_GB2312"/>
          <w:b/>
          <w:sz w:val="32"/>
          <w:szCs w:val="32"/>
        </w:rPr>
      </w:pPr>
      <w:r>
        <w:rPr>
          <w:rFonts w:hint="eastAsia" w:ascii="仿宋_GB2312" w:eastAsia="仿宋_GB2312"/>
          <w:b/>
          <w:sz w:val="32"/>
          <w:szCs w:val="32"/>
        </w:rPr>
        <w:t>2.专项预算管理情况分析（有专项预算的）</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lang w:eastAsia="zh-CN"/>
        </w:rPr>
        <w:t>我单位根据项目规模及上年度项目资金使用情况来编制专项预算，并且</w:t>
      </w:r>
      <w:r>
        <w:rPr>
          <w:rFonts w:hint="eastAsia" w:ascii="仿宋_GB2312" w:eastAsia="仿宋_GB2312"/>
          <w:sz w:val="32"/>
          <w:szCs w:val="32"/>
        </w:rPr>
        <w:t>严格按照批准的用途使用</w:t>
      </w:r>
      <w:r>
        <w:rPr>
          <w:rFonts w:hint="eastAsia" w:ascii="仿宋_GB2312" w:eastAsia="仿宋_GB2312"/>
          <w:sz w:val="32"/>
          <w:szCs w:val="32"/>
          <w:lang w:eastAsia="zh-CN"/>
        </w:rPr>
        <w:t>，根据项目绩效情况开展绩效评价。</w:t>
      </w:r>
    </w:p>
    <w:p>
      <w:pPr>
        <w:spacing w:line="560" w:lineRule="exact"/>
        <w:ind w:firstLine="643" w:firstLineChars="200"/>
        <w:rPr>
          <w:rFonts w:hint="eastAsia" w:ascii="仿宋_GB2312" w:eastAsia="仿宋_GB2312"/>
          <w:b/>
          <w:sz w:val="32"/>
          <w:szCs w:val="32"/>
        </w:rPr>
      </w:pPr>
      <w:r>
        <w:rPr>
          <w:rFonts w:hint="eastAsia" w:ascii="仿宋_GB2312" w:eastAsia="仿宋_GB2312"/>
          <w:b/>
          <w:sz w:val="32"/>
          <w:szCs w:val="32"/>
        </w:rPr>
        <w:t>3.绩效结果应用分析</w:t>
      </w:r>
    </w:p>
    <w:p>
      <w:pPr>
        <w:pStyle w:val="2"/>
        <w:numPr>
          <w:ilvl w:val="0"/>
          <w:numId w:val="0"/>
        </w:numPr>
        <w:ind w:leftChars="200" w:firstLine="640" w:firstLineChars="200"/>
        <w:rPr>
          <w:rFonts w:hint="eastAsia" w:ascii="仿宋_GB2312" w:eastAsia="仿宋_GB2312"/>
          <w:sz w:val="32"/>
          <w:szCs w:val="32"/>
        </w:rPr>
      </w:pPr>
      <w:r>
        <w:rPr>
          <w:rFonts w:hint="eastAsia" w:ascii="仿宋_GB2312" w:eastAsia="仿宋_GB2312"/>
          <w:sz w:val="32"/>
          <w:szCs w:val="32"/>
          <w:lang w:eastAsia="zh-CN"/>
        </w:rPr>
        <w:t>本单位的部门绩效目标及</w:t>
      </w:r>
      <w:r>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t>绩效自评结果都在本部门网站上进行信息公开，接受社会监督。</w:t>
      </w:r>
    </w:p>
    <w:p>
      <w:pPr>
        <w:numPr>
          <w:ilvl w:val="0"/>
          <w:numId w:val="5"/>
        </w:numPr>
        <w:spacing w:line="560" w:lineRule="exact"/>
        <w:ind w:firstLine="640" w:firstLineChars="200"/>
        <w:rPr>
          <w:rFonts w:hint="eastAsia" w:ascii="黑体" w:hAnsi="黑体" w:eastAsia="黑体"/>
          <w:sz w:val="32"/>
          <w:szCs w:val="32"/>
        </w:rPr>
      </w:pPr>
      <w:r>
        <w:rPr>
          <w:rFonts w:hint="eastAsia" w:ascii="黑体" w:hAnsi="黑体" w:eastAsia="黑体"/>
          <w:sz w:val="32"/>
          <w:szCs w:val="32"/>
        </w:rPr>
        <w:t>存在的主要问题</w:t>
      </w:r>
    </w:p>
    <w:p>
      <w:pPr>
        <w:pStyle w:val="2"/>
        <w:numPr>
          <w:ilvl w:val="0"/>
          <w:numId w:val="0"/>
        </w:numPr>
        <w:ind w:leftChars="200" w:firstLine="640" w:firstLineChars="200"/>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pPr>
      <w:r>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t>资金拨付进度滞后。</w:t>
      </w:r>
    </w:p>
    <w:p>
      <w:pPr>
        <w:spacing w:line="560" w:lineRule="exact"/>
        <w:ind w:firstLine="640" w:firstLineChars="200"/>
        <w:rPr>
          <w:rFonts w:hint="eastAsia" w:ascii="黑体" w:hAnsi="黑体" w:eastAsia="黑体"/>
          <w:sz w:val="32"/>
          <w:szCs w:val="32"/>
        </w:rPr>
      </w:pPr>
      <w:r>
        <w:rPr>
          <w:rFonts w:hint="eastAsia" w:ascii="黑体" w:hAnsi="黑体" w:eastAsia="黑体"/>
          <w:sz w:val="32"/>
          <w:szCs w:val="32"/>
        </w:rPr>
        <w:t>五、整改措施及建议</w:t>
      </w:r>
    </w:p>
    <w:p>
      <w:pPr>
        <w:pStyle w:val="2"/>
        <w:numPr>
          <w:ilvl w:val="0"/>
          <w:numId w:val="0"/>
        </w:numPr>
        <w:ind w:leftChars="200" w:firstLine="640" w:firstLineChars="200"/>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pPr>
      <w:r>
        <w:rPr>
          <w:rFonts w:hint="eastAsia" w:ascii="仿宋_GB2312" w:hAnsi="仿宋_GB2312" w:eastAsia="仿宋_GB2312" w:cs="仿宋_GB2312"/>
          <w:b w:val="0"/>
          <w:caps w:val="0"/>
          <w:smallCaps w:val="0"/>
          <w:vanish w:val="0"/>
          <w:color w:val="auto"/>
          <w:spacing w:val="0"/>
          <w:w w:val="100"/>
          <w:kern w:val="2"/>
          <w:sz w:val="32"/>
          <w:szCs w:val="22"/>
          <w:lang w:val="en-US" w:eastAsia="zh-CN" w:bidi="ar-SA"/>
        </w:rPr>
        <w:t>加快资金拨付进度。</w:t>
      </w:r>
    </w:p>
    <w:p/>
    <w:sectPr>
      <w:headerReference r:id="rId3" w:type="default"/>
      <w:footerReference r:id="rId4" w:type="default"/>
      <w:footerReference r:id="rId5" w:type="even"/>
      <w:pgSz w:w="11906" w:h="16838"/>
      <w:pgMar w:top="2098" w:right="1474" w:bottom="1985" w:left="1588" w:header="851" w:footer="1559" w:gutter="0"/>
      <w:pgNumType w:fmt="numberInDash" w:start="15"/>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2010601030101010101"/>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Fonts w:hint="eastAsia" w:ascii="宋体" w:hAnsi="宋体"/>
        <w:sz w:val="28"/>
        <w:szCs w:val="28"/>
      </w:rPr>
    </w:pPr>
    <w:r>
      <w:rPr>
        <w:rFonts w:hint="eastAsia" w:ascii="宋体" w:hAnsi="宋体"/>
        <w:sz w:val="28"/>
        <w:szCs w:val="28"/>
      </w:rPr>
      <w:fldChar w:fldCharType="begin"/>
    </w:r>
    <w:r>
      <w:rPr>
        <w:rStyle w:val="8"/>
        <w:rFonts w:hint="eastAsia" w:ascii="宋体" w:hAnsi="宋体"/>
        <w:sz w:val="28"/>
        <w:szCs w:val="28"/>
      </w:rPr>
      <w:instrText xml:space="preserve">PAGE  </w:instrText>
    </w:r>
    <w:r>
      <w:rPr>
        <w:rFonts w:hint="eastAsia" w:ascii="宋体" w:hAnsi="宋体"/>
        <w:sz w:val="28"/>
        <w:szCs w:val="28"/>
      </w:rPr>
      <w:fldChar w:fldCharType="separate"/>
    </w:r>
    <w:r>
      <w:rPr>
        <w:rStyle w:val="8"/>
        <w:rFonts w:ascii="宋体" w:hAnsi="宋体"/>
        <w:sz w:val="28"/>
        <w:szCs w:val="28"/>
      </w:rPr>
      <w:t>- 29 -</w:t>
    </w:r>
    <w:r>
      <w:rPr>
        <w:rFonts w:hint="eastAsia" w:ascii="宋体" w:hAnsi="宋体"/>
        <w:sz w:val="28"/>
        <w:szCs w:val="28"/>
      </w:rPr>
      <w:fldChar w:fldCharType="end"/>
    </w:r>
  </w:p>
  <w:p>
    <w:pPr>
      <w:pStyle w:val="4"/>
      <w:ind w:right="360"/>
      <w:jc w:val="both"/>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Pr>
    </w:pPr>
    <w:r>
      <w:fldChar w:fldCharType="begin"/>
    </w:r>
    <w:r>
      <w:rPr>
        <w:rStyle w:val="8"/>
      </w:rPr>
      <w:instrText xml:space="preserve">PAGE  </w:instrText>
    </w:r>
    <w:r>
      <w:fldChar w:fldCharType="end"/>
    </w:r>
  </w:p>
  <w:p>
    <w:pPr>
      <w:pStyle w:val="4"/>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28954A"/>
    <w:multiLevelType w:val="singleLevel"/>
    <w:tmpl w:val="9628954A"/>
    <w:lvl w:ilvl="0" w:tentative="0">
      <w:start w:val="2"/>
      <w:numFmt w:val="decimal"/>
      <w:lvlText w:val="%1."/>
      <w:lvlJc w:val="left"/>
      <w:pPr>
        <w:tabs>
          <w:tab w:val="left" w:pos="312"/>
        </w:tabs>
      </w:pPr>
    </w:lvl>
  </w:abstractNum>
  <w:abstractNum w:abstractNumId="1">
    <w:nsid w:val="10626EE3"/>
    <w:multiLevelType w:val="singleLevel"/>
    <w:tmpl w:val="10626EE3"/>
    <w:lvl w:ilvl="0" w:tentative="0">
      <w:start w:val="2"/>
      <w:numFmt w:val="chineseCounting"/>
      <w:suff w:val="nothing"/>
      <w:lvlText w:val="（%1）"/>
      <w:lvlJc w:val="left"/>
      <w:rPr>
        <w:rFonts w:hint="eastAsia"/>
      </w:rPr>
    </w:lvl>
  </w:abstractNum>
  <w:abstractNum w:abstractNumId="2">
    <w:nsid w:val="3188F8B4"/>
    <w:multiLevelType w:val="singleLevel"/>
    <w:tmpl w:val="3188F8B4"/>
    <w:lvl w:ilvl="0" w:tentative="0">
      <w:start w:val="4"/>
      <w:numFmt w:val="chineseCounting"/>
      <w:suff w:val="nothing"/>
      <w:lvlText w:val="%1、"/>
      <w:lvlJc w:val="left"/>
      <w:rPr>
        <w:rFonts w:hint="eastAsia"/>
      </w:rPr>
    </w:lvl>
  </w:abstractNum>
  <w:abstractNum w:abstractNumId="3">
    <w:nsid w:val="4B3AA50F"/>
    <w:multiLevelType w:val="singleLevel"/>
    <w:tmpl w:val="4B3AA50F"/>
    <w:lvl w:ilvl="0" w:tentative="0">
      <w:start w:val="3"/>
      <w:numFmt w:val="decimal"/>
      <w:suff w:val="nothing"/>
      <w:lvlText w:val="%1．"/>
      <w:lvlJc w:val="left"/>
    </w:lvl>
  </w:abstractNum>
  <w:abstractNum w:abstractNumId="4">
    <w:nsid w:val="723D0198"/>
    <w:multiLevelType w:val="singleLevel"/>
    <w:tmpl w:val="723D0198"/>
    <w:lvl w:ilvl="0" w:tentative="0">
      <w:start w:val="2"/>
      <w:numFmt w:val="chineseCounting"/>
      <w:suff w:val="nothing"/>
      <w:lvlText w:val="（%1）"/>
      <w:lvlJc w:val="left"/>
      <w:rPr>
        <w:rFonts w:hint="eastAsia"/>
      </w:rPr>
    </w:lvl>
  </w:abstractNum>
  <w:num w:numId="1">
    <w:abstractNumId w:val="1"/>
  </w:num>
  <w:num w:numId="2">
    <w:abstractNumId w:val="4"/>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A03561A"/>
    <w:rsid w:val="05EF24E4"/>
    <w:rsid w:val="06491E6F"/>
    <w:rsid w:val="0D175BAF"/>
    <w:rsid w:val="0F866A42"/>
    <w:rsid w:val="10FB4081"/>
    <w:rsid w:val="1A5A654A"/>
    <w:rsid w:val="1C663275"/>
    <w:rsid w:val="1E8250BA"/>
    <w:rsid w:val="2DBE7254"/>
    <w:rsid w:val="2FE6040A"/>
    <w:rsid w:val="35B12A5B"/>
    <w:rsid w:val="3D5B455A"/>
    <w:rsid w:val="42621F1A"/>
    <w:rsid w:val="47903142"/>
    <w:rsid w:val="4A03561A"/>
    <w:rsid w:val="4BD36DF3"/>
    <w:rsid w:val="50275849"/>
    <w:rsid w:val="58635077"/>
    <w:rsid w:val="58C21825"/>
    <w:rsid w:val="5C1E5449"/>
    <w:rsid w:val="60A553B8"/>
    <w:rsid w:val="6A02621C"/>
    <w:rsid w:val="6B652007"/>
    <w:rsid w:val="6C67168A"/>
    <w:rsid w:val="70430118"/>
    <w:rsid w:val="73C429C3"/>
    <w:rsid w:val="74522B6C"/>
    <w:rsid w:val="78AD4D74"/>
    <w:rsid w:val="C5FFDA7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0"/>
    <w:pPr>
      <w:spacing w:line="576" w:lineRule="exact"/>
      <w:ind w:firstLine="420" w:firstLineChars="200"/>
    </w:pPr>
  </w:style>
  <w:style w:type="paragraph" w:styleId="3">
    <w:name w:val="Body Text Indent"/>
    <w:basedOn w:val="1"/>
    <w:qFormat/>
    <w:uiPriority w:val="0"/>
    <w:pPr>
      <w:spacing w:after="120"/>
      <w:ind w:left="420" w:leftChars="200"/>
    </w:pPr>
  </w:style>
  <w:style w:type="paragraph" w:styleId="4">
    <w:name w:val="footer"/>
    <w:basedOn w:val="1"/>
    <w:qFormat/>
    <w:uiPriority w:val="99"/>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8">
    <w:name w:val="page number"/>
    <w:basedOn w:val="7"/>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60</TotalTime>
  <ScaleCrop>false</ScaleCrop>
  <LinksUpToDate>false</LinksUpToDate>
  <CharactersWithSpaces>0</CharactersWithSpaces>
  <Application>WPS Office_11.8.6.11825_F1E327BC-269C-435d-A152-05C5408002CA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2021-08-18T09:39:00Z</dcterms:created>
  <dc:creator>ww1381333484</dc:creator>
  <cp:lastModifiedBy>向红桔</cp:lastModifiedBy>
  <cp:lastPrinted>2021-09-23T17:19:00Z</cp:lastPrinted>
  <dcterms:modified xsi:type="dcterms:W3CDTF">2025-01-07T07:44:47Z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2052-11.8.6.11825</vt:lpwstr>
  </property>
  <property fmtid="{D5CDD505-2E9C-101B-9397-08002B2CF9AE}" pid="3" name="ICV">
    <vt:lpwstr>F4FE47FC1E1A431A9AC52D8E58BD2E89</vt:lpwstr>
  </property>
</Properties>
</file>