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旺苍县国有林场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2022年部门预算及绩效目标情况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说  明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sdt>
      <w:sdtPr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highlight w:val="none"/>
          <w:lang w:val="en-US" w:eastAsia="zh-CN" w:bidi="ar-SA"/>
        </w:rPr>
        <w:id w:val="147462166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2"/>
          <w:highlight w:val="none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50" w:lineRule="exact"/>
            <w:ind w:left="0" w:leftChars="0" w:right="0" w:rightChars="0" w:firstLine="0" w:firstLineChars="0"/>
            <w:jc w:val="center"/>
            <w:textAlignment w:val="auto"/>
            <w:rPr>
              <w:rFonts w:hint="eastAsia" w:ascii="仿宋_GB2312" w:hAnsi="仿宋_GB2312" w:eastAsia="仿宋_GB2312" w:cs="仿宋_GB2312"/>
              <w:b/>
              <w:bCs/>
              <w:sz w:val="44"/>
              <w:szCs w:val="44"/>
              <w:highlight w:val="none"/>
            </w:rPr>
          </w:pPr>
          <w:r>
            <w:rPr>
              <w:rFonts w:hint="eastAsia" w:ascii="仿宋_GB2312" w:hAnsi="仿宋_GB2312" w:eastAsia="仿宋_GB2312" w:cs="仿宋_GB2312"/>
              <w:b/>
              <w:bCs/>
              <w:sz w:val="44"/>
              <w:szCs w:val="44"/>
              <w:highlight w:val="none"/>
            </w:rPr>
            <w:t>目录</w:t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</w:pP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instrText xml:space="preserve">TOC \o "1-3" \h \u </w:instrTex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instrText xml:space="preserve"> HYPERLINK \l _Toc12603 </w:instrTex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kern w:val="0"/>
              <w:sz w:val="30"/>
              <w:szCs w:val="30"/>
              <w:highlight w:val="none"/>
            </w:rPr>
            <w:t>一、基本情况、职能和主要工作</w: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tab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instrText xml:space="preserve"> PAGEREF _Toc12603 \h </w:instrTex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t>3</w: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</w:pP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instrText xml:space="preserve"> HYPERLINK \l _Toc13497 </w:instrTex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kern w:val="0"/>
              <w:sz w:val="30"/>
              <w:szCs w:val="30"/>
              <w:highlight w:val="none"/>
            </w:rPr>
            <w:t>二、收支预算情况说明</w: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tab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instrText xml:space="preserve"> PAGEREF _Toc13497 \h </w:instrTex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t>3</w: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instrText xml:space="preserve"> HYPERLINK \l _Toc250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t>（一）收入预算情况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</w:rPr>
            <w:instrText xml:space="preserve"> PAGEREF _Toc250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</w:rPr>
            <w:t>4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instrText xml:space="preserve"> HYPERLINK \l _Toc7356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t>（二）支出预算情况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</w:rPr>
            <w:instrText xml:space="preserve"> PAGEREF _Toc7356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</w:rPr>
            <w:t>4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</w:pP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instrText xml:space="preserve"> HYPERLINK \l _Toc31194 </w:instrTex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kern w:val="0"/>
              <w:sz w:val="30"/>
              <w:szCs w:val="30"/>
              <w:highlight w:val="none"/>
            </w:rPr>
            <w:t>三、财政拨款收支预算情况说明</w: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tab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instrText xml:space="preserve"> PAGEREF _Toc31194 \h </w:instrTex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t>4</w: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</w:pP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instrText xml:space="preserve"> HYPERLINK \l _Toc31618 </w:instrTex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kern w:val="0"/>
              <w:sz w:val="30"/>
              <w:szCs w:val="30"/>
              <w:highlight w:val="none"/>
            </w:rPr>
            <w:t>四、一般公共预算当年拨款情况说明</w: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tab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instrText xml:space="preserve"> PAGEREF _Toc31618 \h </w:instrTex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t>4</w: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instrText xml:space="preserve"> HYPERLINK \l _Toc27892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t>（一）一般公共预算当年拨款规模变化情况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instrText xml:space="preserve"> PAGEREF _Toc27892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t>4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instrText xml:space="preserve"> HYPERLINK \l _Toc12557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t>（二）一般公共预算当年拨款结构情况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instrText xml:space="preserve"> PAGEREF _Toc12557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t>4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instrText xml:space="preserve"> HYPERLINK \l _Toc26727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t>（三）一般公共预算当年拨款具体使用情况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instrText xml:space="preserve"> PAGEREF _Toc26727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t>4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</w:pP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instrText xml:space="preserve"> HYPERLINK \l _Toc4250 </w:instrTex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kern w:val="0"/>
              <w:sz w:val="30"/>
              <w:szCs w:val="30"/>
              <w:highlight w:val="none"/>
            </w:rPr>
            <w:t>五、一般公共预算基本支出情况说明</w: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tab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instrText xml:space="preserve"> PAGEREF _Toc4250 \h </w:instrTex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t>5</w: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</w:pP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instrText xml:space="preserve"> HYPERLINK \l _Toc25003 </w:instrTex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kern w:val="0"/>
              <w:sz w:val="30"/>
              <w:szCs w:val="30"/>
              <w:highlight w:val="none"/>
            </w:rPr>
            <w:t>六、“三公”经费财政拨款预算安排情况说明</w: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tab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instrText xml:space="preserve"> PAGEREF _Toc25003 \h </w:instrTex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t>5</w: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</w:pP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instrText xml:space="preserve"> HYPERLINK \l _Toc13357 </w:instrTex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kern w:val="0"/>
              <w:sz w:val="30"/>
              <w:szCs w:val="30"/>
              <w:highlight w:val="none"/>
            </w:rPr>
            <w:t>七、政府性基金预算支出情况说明</w: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tab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instrText xml:space="preserve"> PAGEREF _Toc13357 \h </w:instrTex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t>5</w: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</w:pP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instrText xml:space="preserve"> HYPERLINK \l _Toc17271 </w:instrTex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kern w:val="0"/>
              <w:sz w:val="30"/>
              <w:szCs w:val="30"/>
              <w:highlight w:val="none"/>
            </w:rPr>
            <w:t>八、国有资本经营预算支出情况说明</w: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tab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instrText xml:space="preserve"> PAGEREF _Toc17271 \h </w:instrTex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t>5</w: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</w:pP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instrText xml:space="preserve"> HYPERLINK \l _Toc14679 </w:instrTex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kern w:val="0"/>
              <w:sz w:val="30"/>
              <w:szCs w:val="30"/>
              <w:highlight w:val="none"/>
            </w:rPr>
            <w:t>九、其他重要事项的情况说明</w: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tab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instrText xml:space="preserve"> PAGEREF _Toc14679 \h </w:instrTex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t>5</w: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instrText xml:space="preserve"> HYPERLINK \l _Toc1001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t>（一）机关运行经费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instrText xml:space="preserve"> PAGEREF _Toc1001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t>5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instrText xml:space="preserve"> HYPERLINK \l _Toc6475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t>（二）政府采购情况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instrText xml:space="preserve"> PAGEREF _Toc6475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t>5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instrText xml:space="preserve"> HYPERLINK \l _Toc19662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t>（三）国有资产占有使用情况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instrText xml:space="preserve"> PAGEREF _Toc19662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t>5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instrText xml:space="preserve"> HYPERLINK \l _Toc7806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t>（四）绩效评价及绩效目标设置情况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instrText xml:space="preserve"> PAGEREF _Toc7806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t>5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highlight w:val="none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</w:pP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instrText xml:space="preserve"> HYPERLINK \l _Toc20278 </w:instrTex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kern w:val="0"/>
              <w:sz w:val="30"/>
              <w:szCs w:val="30"/>
              <w:highlight w:val="none"/>
            </w:rPr>
            <w:t>十、专用名词解释</w: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tab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instrText xml:space="preserve"> PAGEREF _Toc20278 \h </w:instrTex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t>6</w:t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50" w:lineRule="exact"/>
            <w:textAlignment w:val="auto"/>
            <w:rPr>
              <w:rFonts w:hint="eastAsia"/>
              <w:highlight w:val="none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sz w:val="30"/>
              <w:szCs w:val="30"/>
              <w:highlight w:val="none"/>
              <w:lang w:val="en-US" w:eastAsia="zh-CN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outlineLvl w:val="0"/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outlineLvl w:val="0"/>
        <w:rPr>
          <w:rFonts w:ascii="黑体" w:hAnsi="黑体" w:eastAsia="黑体" w:cs="宋体"/>
          <w:b/>
          <w:color w:val="333333"/>
          <w:kern w:val="0"/>
          <w:sz w:val="32"/>
          <w:szCs w:val="32"/>
          <w:highlight w:val="none"/>
        </w:rPr>
      </w:pPr>
      <w:bookmarkStart w:id="0" w:name="_Toc12603"/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highlight w:val="none"/>
        </w:rPr>
        <w:t>一、基本情况、职能</w:t>
      </w:r>
      <w:r>
        <w:rPr>
          <w:rFonts w:ascii="黑体" w:hAnsi="黑体" w:eastAsia="黑体" w:cs="宋体"/>
          <w:b/>
          <w:color w:val="333333"/>
          <w:kern w:val="0"/>
          <w:sz w:val="32"/>
          <w:szCs w:val="32"/>
          <w:highlight w:val="none"/>
        </w:rPr>
        <w:t>和主要工作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（一）基本情况：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旺苍县国有林场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属一类事业单位，直属旺苍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县林业局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二级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财政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预算单位，内设办公室、业务室、财务室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；下设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马家坪工区、老君山工区、光头山工区、老林坪工区。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/>
        </w:rPr>
        <w:t>编制机构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核定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/>
        </w:rPr>
        <w:t>我场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事业编制数39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/>
        </w:rPr>
        <w:t>个。单位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实有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/>
        </w:rPr>
        <w:t>人员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52人，其中，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/>
        </w:rPr>
        <w:t>有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事业编制人员35名，未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/>
        </w:rPr>
        <w:t>进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事业编制人员17人。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/>
        </w:rPr>
        <w:t>退休人员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  <w:t xml:space="preserve"> 44 人。有事业编制人员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经费形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式为收支统管，全额保障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未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/>
        </w:rPr>
        <w:t>进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事业编制人员经费由天保资金解决，不足部分县财政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/>
        </w:rPr>
        <w:t>承担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。固定资产总额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  <w:t xml:space="preserve"> 1218.13 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（二）职能职责和主要工作：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1.贯彻执行国家有关林业方针、政策和法律、法规，扩大森林资源，提高森林质量，充分发挥国有林地生产潜力，提高生态、社会和经济效益。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2.制定林场中长期发展规划和年度发展计划并组织实施。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3.负责管护区域内的森林资源保护和培育、种植资源收集和保存、生物多样性和野生动植物保护、林业有害生物防治、森林防火和火灾扑救等工作。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4.承担上级主管部门交办的其他工作任务。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outlineLvl w:val="0"/>
        <w:rPr>
          <w:rFonts w:ascii="黑体" w:hAnsi="黑体" w:eastAsia="黑体" w:cs="宋体"/>
          <w:b/>
          <w:color w:val="333333"/>
          <w:kern w:val="0"/>
          <w:sz w:val="32"/>
          <w:szCs w:val="32"/>
          <w:highlight w:val="none"/>
        </w:rPr>
      </w:pPr>
      <w:bookmarkStart w:id="1" w:name="_Toc13497"/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highlight w:val="none"/>
        </w:rPr>
        <w:t>二、收支预算情况说明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按照综合预算的原则，所有收入和支出均纳入部门预算管理。2022年收支总预算4322869元，比2021年收支预算总数增加872373元，主要原因为人员增加和公用经费增加。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2" w:name="_Toc25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（一）收入预算情况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2022年收入预算4322869元，其中：一般公共预算拨款收入4322869，占100%；政府性基金预算拨款收入0元，占0%；国有资本经营预算拨款收入0元，占0%。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3" w:name="_Toc7356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（二）支出预算情况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2022年支出预算4322869元，其中：基本支出4322869元，占100%；项目支出0元，占0%。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ascii="黑体" w:hAnsi="黑体" w:eastAsia="黑体" w:cs="宋体"/>
          <w:b/>
          <w:color w:val="333333"/>
          <w:kern w:val="0"/>
          <w:sz w:val="32"/>
          <w:szCs w:val="32"/>
          <w:highlight w:val="none"/>
        </w:rPr>
      </w:pPr>
      <w:bookmarkStart w:id="4" w:name="_Toc31194"/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highlight w:val="none"/>
        </w:rPr>
        <w:t>三、财政</w:t>
      </w:r>
      <w:r>
        <w:rPr>
          <w:rFonts w:ascii="黑体" w:hAnsi="黑体" w:eastAsia="黑体" w:cs="宋体"/>
          <w:b/>
          <w:color w:val="333333"/>
          <w:kern w:val="0"/>
          <w:sz w:val="32"/>
          <w:szCs w:val="32"/>
          <w:highlight w:val="none"/>
        </w:rPr>
        <w:t>拨款</w:t>
      </w: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highlight w:val="none"/>
        </w:rPr>
        <w:t>收支预算情况说明</w:t>
      </w:r>
      <w:bookmarkEnd w:id="4"/>
    </w:p>
    <w:p>
      <w:pPr>
        <w:spacing w:line="550" w:lineRule="exact"/>
        <w:ind w:firstLine="960" w:firstLineChars="3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2022年财政拨款收支总预算4322869元，比2021年收支预算总数增加872373元，主要原因人员增加和公用经费。</w:t>
      </w:r>
    </w:p>
    <w:p>
      <w:pPr>
        <w:spacing w:line="550" w:lineRule="exact"/>
        <w:ind w:firstLine="960" w:firstLineChars="3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收入包括：本年一般公共预算拨款收入4322869元、政府性基金预算拨款收入0元，国有资本经营预算拨款收入0。支出包括：一般公共服务支出0元。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ascii="黑体" w:hAnsi="黑体" w:eastAsia="黑体" w:cs="宋体"/>
          <w:b/>
          <w:color w:val="333333"/>
          <w:kern w:val="0"/>
          <w:sz w:val="32"/>
          <w:szCs w:val="32"/>
          <w:highlight w:val="none"/>
        </w:rPr>
      </w:pPr>
      <w:bookmarkStart w:id="5" w:name="_Toc31618"/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highlight w:val="none"/>
        </w:rPr>
        <w:t>四、一般公共预算当年拨款情况说明</w:t>
      </w:r>
      <w:bookmarkEnd w:id="5"/>
    </w:p>
    <w:p>
      <w:pPr>
        <w:spacing w:line="550" w:lineRule="exact"/>
        <w:ind w:firstLine="960" w:firstLineChars="300"/>
        <w:outlineLvl w:val="1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6" w:name="_Toc27892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（一）一般公共预算当年拨款规模变化情况</w:t>
      </w:r>
      <w:bookmarkEnd w:id="6"/>
    </w:p>
    <w:p>
      <w:pPr>
        <w:spacing w:line="550" w:lineRule="exact"/>
        <w:ind w:firstLine="960" w:firstLineChars="3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2022年一般公共预算当年拨款4322869元，比2021年收支预算总数增加872373元，变动的主要原因是人员增加和公用经费增加。</w:t>
      </w:r>
    </w:p>
    <w:p>
      <w:pPr>
        <w:spacing w:line="550" w:lineRule="exact"/>
        <w:ind w:firstLine="960" w:firstLineChars="300"/>
        <w:outlineLvl w:val="1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7" w:name="_Toc12557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（二）一般公共预算当年拨款结构情况</w:t>
      </w:r>
      <w:bookmarkEnd w:id="7"/>
    </w:p>
    <w:p>
      <w:pPr>
        <w:spacing w:line="550" w:lineRule="exact"/>
        <w:ind w:firstLine="960" w:firstLineChars="3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一般公共服务支出0元，占0%；公共安全支出0元，占0%；教育支出0元，占0%。</w:t>
      </w:r>
    </w:p>
    <w:p>
      <w:pPr>
        <w:spacing w:line="550" w:lineRule="exact"/>
        <w:ind w:firstLine="960" w:firstLineChars="300"/>
        <w:outlineLvl w:val="1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8" w:name="_Toc26727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（三）一般公共预算当年拨款具体使用情况</w:t>
      </w:r>
      <w:bookmarkEnd w:id="8"/>
    </w:p>
    <w:p>
      <w:pPr>
        <w:spacing w:line="550" w:lineRule="exact"/>
        <w:ind w:firstLine="960" w:firstLineChars="3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1.一般公共服务（类）人大事务（款）行政运行（项）2022年预算数为0元。</w:t>
      </w:r>
    </w:p>
    <w:p>
      <w:pPr>
        <w:spacing w:line="550" w:lineRule="exact"/>
        <w:ind w:firstLine="960" w:firstLineChars="3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2.一般公共服务（类）人大事务（款）一般行政管理事务（项目）2022年预算数为0元。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ascii="黑体" w:hAnsi="黑体" w:eastAsia="黑体" w:cs="宋体"/>
          <w:b/>
          <w:color w:val="333333"/>
          <w:kern w:val="0"/>
          <w:sz w:val="32"/>
          <w:szCs w:val="32"/>
          <w:highlight w:val="none"/>
        </w:rPr>
      </w:pPr>
      <w:bookmarkStart w:id="9" w:name="_Toc4250"/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highlight w:val="none"/>
        </w:rPr>
        <w:t>五、一般公共预算基本支出情况说明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2022年一般公共预算基本支出4322869元，其中：人员经费3854474元，主要包括：基本工资、津贴补贴、奖金、社会保险缴费等支出。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公用经费468395元，主要包括：办公费、印刷费、水费、电费、邮电费、差旅费、维修（护）费、物业管理费、劳务费等支出。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ascii="黑体" w:hAnsi="黑体" w:eastAsia="黑体" w:cs="宋体"/>
          <w:b/>
          <w:color w:val="333333"/>
          <w:kern w:val="0"/>
          <w:sz w:val="32"/>
          <w:szCs w:val="32"/>
          <w:highlight w:val="none"/>
        </w:rPr>
      </w:pPr>
      <w:bookmarkStart w:id="10" w:name="_Toc25003"/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highlight w:val="none"/>
        </w:rPr>
        <w:t>六、“三公”经费财政拨款预算安排情况说明</w:t>
      </w:r>
      <w:bookmarkEnd w:id="10"/>
    </w:p>
    <w:p>
      <w:pPr>
        <w:spacing w:line="550" w:lineRule="exact"/>
        <w:ind w:firstLine="960" w:firstLineChars="3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2022年财政拨款安排“三公”经费预算70000.00元。为公务用车运行维护费。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ascii="黑体" w:hAnsi="黑体" w:eastAsia="黑体" w:cs="宋体"/>
          <w:b/>
          <w:color w:val="333333"/>
          <w:kern w:val="0"/>
          <w:sz w:val="32"/>
          <w:szCs w:val="32"/>
          <w:highlight w:val="none"/>
        </w:rPr>
      </w:pPr>
      <w:bookmarkStart w:id="11" w:name="_Toc13357"/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highlight w:val="none"/>
        </w:rPr>
        <w:t>七、政府性基金预算支出情况说明</w:t>
      </w:r>
      <w:bookmarkEnd w:id="11"/>
    </w:p>
    <w:p>
      <w:pPr>
        <w:spacing w:line="550" w:lineRule="exact"/>
        <w:ind w:firstLine="960" w:firstLineChars="3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2022年政府性基金预算拨款安排的支出0元。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ascii="黑体" w:hAnsi="黑体" w:eastAsia="黑体" w:cs="宋体"/>
          <w:b/>
          <w:color w:val="333333"/>
          <w:kern w:val="0"/>
          <w:sz w:val="32"/>
          <w:szCs w:val="32"/>
          <w:highlight w:val="none"/>
        </w:rPr>
      </w:pPr>
      <w:bookmarkStart w:id="12" w:name="_Toc17271"/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highlight w:val="none"/>
        </w:rPr>
        <w:t>八、国有资本经营预算支出情况说明</w:t>
      </w:r>
      <w:bookmarkEnd w:id="12"/>
    </w:p>
    <w:p>
      <w:pPr>
        <w:spacing w:line="550" w:lineRule="exact"/>
        <w:ind w:firstLine="960" w:firstLineChars="3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2022年国有资本经营预算拨款安排的支出0元。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ascii="黑体" w:hAnsi="黑体" w:eastAsia="黑体" w:cs="宋体"/>
          <w:b/>
          <w:color w:val="333333"/>
          <w:kern w:val="0"/>
          <w:sz w:val="32"/>
          <w:szCs w:val="32"/>
          <w:highlight w:val="none"/>
        </w:rPr>
      </w:pPr>
      <w:bookmarkStart w:id="13" w:name="_Toc14679"/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highlight w:val="none"/>
        </w:rPr>
        <w:t>九、其他重要事项的情况说明</w:t>
      </w:r>
      <w:bookmarkEnd w:id="13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1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bookmarkStart w:id="14" w:name="_Toc1001"/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highlight w:val="none"/>
        </w:rPr>
        <w:t>（一）机关运行经费</w:t>
      </w:r>
      <w:bookmarkEnd w:id="14"/>
    </w:p>
    <w:p>
      <w:pPr>
        <w:spacing w:line="550" w:lineRule="exact"/>
        <w:ind w:firstLine="960" w:firstLineChars="3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2022年，机关运行经费财政拨款预算为0元。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1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bookmarkStart w:id="15" w:name="_Toc6475"/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highlight w:val="none"/>
        </w:rPr>
        <w:t>（二）政府采购情况</w:t>
      </w:r>
      <w:bookmarkEnd w:id="15"/>
    </w:p>
    <w:p>
      <w:pPr>
        <w:spacing w:line="550" w:lineRule="exact"/>
        <w:ind w:firstLine="960" w:firstLineChars="3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安排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政府采购预算0元。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1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bookmarkStart w:id="16" w:name="_Toc19662"/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highlight w:val="none"/>
        </w:rPr>
        <w:t>（三）国有资产占有使用情况</w:t>
      </w:r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截至2021年底，我单位有一般公务用车、执法执勤用车。2022年部门预算未安排购置车辆。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1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bookmarkStart w:id="17" w:name="_Toc7806"/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highlight w:val="none"/>
        </w:rPr>
        <w:t>（四）绩效评价</w:t>
      </w:r>
      <w:r>
        <w:rPr>
          <w:rFonts w:ascii="仿宋_GB2312" w:hAnsi="微软雅黑" w:eastAsia="仿宋_GB2312" w:cs="宋体"/>
          <w:b/>
          <w:bCs/>
          <w:color w:val="333333"/>
          <w:kern w:val="0"/>
          <w:sz w:val="32"/>
          <w:szCs w:val="32"/>
          <w:highlight w:val="none"/>
        </w:rPr>
        <w:t>及绩效</w:t>
      </w: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highlight w:val="none"/>
        </w:rPr>
        <w:t>目标设置情况</w:t>
      </w:r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按《旺苍县财政支出绩效评价管理办法》规定，我单位编制了部门整体支出绩效目标。我单位将牢牢树立绩效管理理念、强化主体意识、落实工作责任，切实将绩效评价作为改进工作管理、提升工作水平、提高资金效益的有力措施。在开展评价工作中，积极提供资料、主动配合工作，共同推进绩效评价有序开展、取得实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ascii="黑体" w:hAnsi="黑体" w:eastAsia="黑体" w:cs="宋体"/>
          <w:b/>
          <w:color w:val="333333"/>
          <w:kern w:val="0"/>
          <w:sz w:val="32"/>
          <w:szCs w:val="32"/>
          <w:highlight w:val="none"/>
        </w:rPr>
      </w:pPr>
      <w:bookmarkStart w:id="18" w:name="_Toc20278"/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highlight w:val="none"/>
        </w:rPr>
        <w:t>十、专用名词解释</w:t>
      </w:r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1、一般公共预算拨款收入。指财政当年拨付的资金。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2、基本支出：指为保障机构正常运转、完成日常工作任务而发生的人员支出和公用支出。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3、“三公”</w:t>
      </w:r>
      <w:bookmarkStart w:id="19" w:name="_GoBack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经费</w:t>
      </w:r>
      <w:bookmarkEnd w:id="19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：是指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、绩效评价：财政绩效评价也称政府支出绩效评价，是指运用一定的评价方法、量化指标及评价标准，对政府部门为实现其职能所确定的绩效目标的实现程度、以及为实现这一目标所安排预算的执行结果进行的综合性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、机关运行经费。为保障行政单位（包括参照公务员法管理的事业单位）运行用于购买货物和服务的各项资金。包括办公及印刷费、邮电费、差旅费、福利费、日常维修费、办公用房水电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6、社会保障和就业（类）行政事业单位离退休（款）机关事业单位基本养老保险缴费支出（项）。指部门实施养老保险制度后，由单位缴纳的养老保险费的支出。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7、卫生健康（类）行政事业单位医疗（款）事业单位医疗（项）。指事业单位用于缴纳单位基本医疗保险支出。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8、住房保障（类）住房改革支出（款）住房公积金（项）。指按照《住房公积金管理条例》的规定，由单位及其在职职工缴存的长期住房储金。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207262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2MDcyMzMzMTA3NzhlNjRhNTlkYzNjMzgyZmIwZDkifQ=="/>
  </w:docVars>
  <w:rsids>
    <w:rsidRoot w:val="00BB5391"/>
    <w:rsid w:val="00052F1C"/>
    <w:rsid w:val="000B785C"/>
    <w:rsid w:val="00161957"/>
    <w:rsid w:val="002422E0"/>
    <w:rsid w:val="002A63AB"/>
    <w:rsid w:val="00461C1F"/>
    <w:rsid w:val="004678FA"/>
    <w:rsid w:val="00475D25"/>
    <w:rsid w:val="004A08FD"/>
    <w:rsid w:val="004E3253"/>
    <w:rsid w:val="005423BA"/>
    <w:rsid w:val="00612517"/>
    <w:rsid w:val="00672132"/>
    <w:rsid w:val="006C2636"/>
    <w:rsid w:val="00765CD1"/>
    <w:rsid w:val="007778B7"/>
    <w:rsid w:val="007F34CF"/>
    <w:rsid w:val="00A372A6"/>
    <w:rsid w:val="00AF7787"/>
    <w:rsid w:val="00B179AD"/>
    <w:rsid w:val="00B603FB"/>
    <w:rsid w:val="00BB5391"/>
    <w:rsid w:val="00BB579F"/>
    <w:rsid w:val="00BF4C33"/>
    <w:rsid w:val="00C74BA3"/>
    <w:rsid w:val="00D37AFA"/>
    <w:rsid w:val="00D60952"/>
    <w:rsid w:val="00D8617D"/>
    <w:rsid w:val="00DA746F"/>
    <w:rsid w:val="00FA15EA"/>
    <w:rsid w:val="031B3528"/>
    <w:rsid w:val="03F164B8"/>
    <w:rsid w:val="05DE36F7"/>
    <w:rsid w:val="08A116EA"/>
    <w:rsid w:val="095C5DB5"/>
    <w:rsid w:val="0FB32D84"/>
    <w:rsid w:val="12B02AC5"/>
    <w:rsid w:val="12E53E60"/>
    <w:rsid w:val="13F8323F"/>
    <w:rsid w:val="18775797"/>
    <w:rsid w:val="1DCF1963"/>
    <w:rsid w:val="1F2E743E"/>
    <w:rsid w:val="255B4D05"/>
    <w:rsid w:val="274F505D"/>
    <w:rsid w:val="2D4666C6"/>
    <w:rsid w:val="35635C3C"/>
    <w:rsid w:val="36B67FED"/>
    <w:rsid w:val="3D2D6B2F"/>
    <w:rsid w:val="3DB05381"/>
    <w:rsid w:val="42750D5C"/>
    <w:rsid w:val="434D0E60"/>
    <w:rsid w:val="469D2F78"/>
    <w:rsid w:val="4D756FEB"/>
    <w:rsid w:val="4ED05ADA"/>
    <w:rsid w:val="4F607F88"/>
    <w:rsid w:val="50597BD2"/>
    <w:rsid w:val="52C5188C"/>
    <w:rsid w:val="55620380"/>
    <w:rsid w:val="58B96D92"/>
    <w:rsid w:val="5AEE2D41"/>
    <w:rsid w:val="5D055F58"/>
    <w:rsid w:val="5DD76917"/>
    <w:rsid w:val="5F5057A2"/>
    <w:rsid w:val="60DF73D4"/>
    <w:rsid w:val="62AB53B5"/>
    <w:rsid w:val="6A0C7949"/>
    <w:rsid w:val="6D0F39D8"/>
    <w:rsid w:val="6DBE71AC"/>
    <w:rsid w:val="7839316D"/>
    <w:rsid w:val="7E4D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next w:val="1"/>
    <w:qFormat/>
    <w:uiPriority w:val="39"/>
    <w:pPr>
      <w:keepNext/>
      <w:keepLines/>
      <w:spacing w:before="480" w:beforeAutospacing="0" w:after="0" w:afterAutospacing="0" w:line="276" w:lineRule="auto"/>
      <w:jc w:val="both"/>
      <w:outlineLvl w:val="9"/>
    </w:pPr>
    <w:rPr>
      <w:rFonts w:ascii="仿宋" w:hAnsi="仿宋" w:eastAsia="仿宋" w:cs="Times New Roman"/>
      <w:color w:val="000000"/>
      <w:kern w:val="0"/>
      <w:sz w:val="32"/>
      <w:szCs w:val="32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3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A22A4-97C1-489E-87A1-AA4B3A5E72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2558</Words>
  <Characters>2733</Characters>
  <Lines>19</Lines>
  <Paragraphs>5</Paragraphs>
  <TotalTime>0</TotalTime>
  <ScaleCrop>false</ScaleCrop>
  <LinksUpToDate>false</LinksUpToDate>
  <CharactersWithSpaces>3865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2018-02-02T00:59:00Z</dcterms:created>
  <dc:creator>HP</dc:creator>
  <cp:lastModifiedBy>向红桔</cp:lastModifiedBy>
  <dcterms:modified xsi:type="dcterms:W3CDTF">2024-12-20T09:32:18Z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1C1DE300CC2B46A1B6D52B67F58E0F4A</vt:lpwstr>
  </property>
</Properties>
</file>