
<file path=[Content_Types].xml><?xml version="1.0" encoding="utf-8"?>
<Types xmlns="http://schemas.openxmlformats.org/package/2006/content-types">
  <Default Extension="xml" ContentType="application/xml"/>
  <Default Extension="xls" ContentType="application/vnd.ms-excel"/>
  <Default Extension="xlsx" ContentType="application/vnd.openxmlformats-officedocument.spreadsheetml.sheet"/>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outlineLvl w:val="0"/>
        <w:rPr>
          <w:rFonts w:ascii="方正小标宋简体" w:hAnsi="宋体" w:eastAsia="方正小标宋简体"/>
          <w:sz w:val="72"/>
          <w:szCs w:val="72"/>
        </w:rPr>
      </w:pPr>
      <w:bookmarkStart w:id="0" w:name="_Toc15306267"/>
    </w:p>
    <w:p>
      <w:pPr>
        <w:adjustRightInd w:val="0"/>
        <w:snapToGrid w:val="0"/>
        <w:spacing w:line="360" w:lineRule="auto"/>
        <w:jc w:val="center"/>
        <w:outlineLvl w:val="0"/>
        <w:rPr>
          <w:rFonts w:ascii="黑体" w:hAnsi="黑体" w:eastAsia="黑体"/>
          <w:color w:val="000000"/>
          <w:sz w:val="52"/>
          <w:szCs w:val="52"/>
        </w:rPr>
      </w:pPr>
      <w:bookmarkStart w:id="1" w:name="_Toc15377425"/>
      <w:bookmarkStart w:id="2" w:name="_Toc15396597"/>
      <w:bookmarkStart w:id="3" w:name="_Toc15396475"/>
      <w:bookmarkStart w:id="4" w:name="_Toc15378441"/>
      <w:bookmarkStart w:id="5" w:name="_Toc15377193"/>
    </w:p>
    <w:p>
      <w:pPr>
        <w:adjustRightInd w:val="0"/>
        <w:snapToGrid w:val="0"/>
        <w:spacing w:line="360" w:lineRule="auto"/>
        <w:jc w:val="center"/>
        <w:outlineLvl w:val="0"/>
        <w:rPr>
          <w:rFonts w:ascii="黑体" w:hAnsi="黑体" w:eastAsia="黑体"/>
          <w:color w:val="000000"/>
          <w:sz w:val="52"/>
          <w:szCs w:val="52"/>
        </w:rPr>
      </w:pPr>
      <w:r>
        <w:rPr>
          <w:rFonts w:hint="eastAsia" w:ascii="黑体" w:hAnsi="黑体" w:eastAsia="黑体"/>
          <w:color w:val="000000"/>
          <w:sz w:val="52"/>
          <w:szCs w:val="52"/>
        </w:rPr>
        <w:t>2021年度</w:t>
      </w:r>
      <w:bookmarkEnd w:id="0"/>
      <w:bookmarkEnd w:id="1"/>
      <w:bookmarkEnd w:id="2"/>
      <w:bookmarkEnd w:id="3"/>
      <w:bookmarkEnd w:id="4"/>
      <w:bookmarkEnd w:id="5"/>
      <w:bookmarkStart w:id="6" w:name="_Toc15377426"/>
      <w:bookmarkStart w:id="7" w:name="_Toc15378442"/>
      <w:bookmarkStart w:id="8" w:name="_Toc15396598"/>
      <w:bookmarkStart w:id="9" w:name="_Toc15377194"/>
      <w:bookmarkStart w:id="10" w:name="_Toc15396476"/>
      <w:bookmarkStart w:id="11" w:name="_Toc15306268"/>
    </w:p>
    <w:p>
      <w:pPr>
        <w:adjustRightInd w:val="0"/>
        <w:snapToGrid w:val="0"/>
        <w:spacing w:line="360" w:lineRule="auto"/>
        <w:jc w:val="center"/>
        <w:outlineLvl w:val="0"/>
        <w:rPr>
          <w:rFonts w:ascii="黑体" w:hAnsi="黑体" w:eastAsia="黑体"/>
          <w:color w:val="000000"/>
          <w:sz w:val="52"/>
          <w:szCs w:val="52"/>
        </w:rPr>
      </w:pPr>
      <w:r>
        <w:rPr>
          <w:rFonts w:hint="eastAsia" w:ascii="黑体" w:hAnsi="黑体" w:eastAsia="黑体"/>
          <w:color w:val="000000"/>
          <w:sz w:val="52"/>
          <w:szCs w:val="52"/>
        </w:rPr>
        <w:t>四川省旺苍县文化馆</w:t>
      </w:r>
    </w:p>
    <w:p>
      <w:pPr>
        <w:adjustRightInd w:val="0"/>
        <w:snapToGrid w:val="0"/>
        <w:spacing w:line="360" w:lineRule="auto"/>
        <w:jc w:val="center"/>
        <w:outlineLvl w:val="0"/>
        <w:rPr>
          <w:rFonts w:ascii="方正小标宋简体" w:hAnsi="方正小标宋简体" w:eastAsia="方正小标宋简体" w:cs="方正小标宋简体"/>
          <w:sz w:val="52"/>
          <w:szCs w:val="52"/>
        </w:rPr>
      </w:pPr>
      <w:r>
        <w:rPr>
          <w:rFonts w:hint="eastAsia" w:ascii="黑体" w:hAnsi="黑体" w:eastAsia="黑体"/>
          <w:color w:val="000000"/>
          <w:sz w:val="52"/>
          <w:szCs w:val="52"/>
        </w:rPr>
        <w:t>单位决算</w:t>
      </w:r>
      <w:bookmarkEnd w:id="6"/>
      <w:bookmarkEnd w:id="7"/>
      <w:bookmarkEnd w:id="8"/>
      <w:bookmarkEnd w:id="9"/>
      <w:bookmarkEnd w:id="10"/>
      <w:bookmarkEnd w:id="11"/>
    </w:p>
    <w:p>
      <w:pPr>
        <w:widowControl/>
        <w:jc w:val="center"/>
        <w:rPr>
          <w:rFonts w:ascii="方正小标宋简体" w:hAnsi="宋体" w:eastAsia="方正小标宋简体"/>
          <w:sz w:val="52"/>
          <w:szCs w:val="52"/>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widowControl/>
        <w:jc w:val="center"/>
        <w:rPr>
          <w:rFonts w:ascii="方正小标宋简体" w:hAnsi="宋体" w:eastAsia="方正小标宋简体"/>
          <w:sz w:val="36"/>
          <w:szCs w:val="36"/>
        </w:rPr>
      </w:pPr>
    </w:p>
    <w:p>
      <w:pPr>
        <w:pStyle w:val="6"/>
      </w:pPr>
    </w:p>
    <w:p>
      <w:pPr>
        <w:widowControl/>
        <w:jc w:val="center"/>
        <w:rPr>
          <w:rFonts w:ascii="黑体" w:hAnsi="黑体" w:eastAsia="黑体"/>
          <w:sz w:val="48"/>
          <w:szCs w:val="48"/>
        </w:rPr>
      </w:pPr>
    </w:p>
    <w:p>
      <w:pPr>
        <w:widowControl/>
        <w:rPr>
          <w:rFonts w:ascii="黑体" w:hAnsi="黑体" w:eastAsia="黑体"/>
          <w:sz w:val="48"/>
          <w:szCs w:val="48"/>
        </w:rPr>
      </w:pPr>
    </w:p>
    <w:p>
      <w:pPr>
        <w:widowControl/>
        <w:rPr>
          <w:rFonts w:ascii="黑体" w:hAnsi="黑体" w:eastAsia="黑体" w:cstheme="minorBidi"/>
          <w:sz w:val="28"/>
          <w:szCs w:val="28"/>
        </w:rPr>
      </w:pPr>
    </w:p>
    <w:p>
      <w:pPr>
        <w:jc w:val="center"/>
        <w:rPr>
          <w:rFonts w:ascii="黑体" w:hAnsi="黑体" w:eastAsia="黑体"/>
          <w:color w:val="000000"/>
          <w:sz w:val="48"/>
          <w:szCs w:val="48"/>
        </w:rPr>
      </w:pPr>
      <w:r>
        <w:rPr>
          <w:rFonts w:hint="eastAsia" w:ascii="黑体" w:hAnsi="黑体" w:eastAsia="黑体"/>
          <w:color w:val="000000"/>
          <w:sz w:val="48"/>
          <w:szCs w:val="48"/>
        </w:rPr>
        <w:t>目     录</w:t>
      </w:r>
    </w:p>
    <w:p>
      <w:pPr>
        <w:rPr>
          <w:rFonts w:ascii="仿宋_GB2312" w:hAnsi="仿宋_GB2312" w:eastAsia="仿宋_GB2312" w:cs="仿宋_GB2312"/>
          <w:sz w:val="32"/>
          <w:szCs w:val="32"/>
        </w:rPr>
      </w:pPr>
    </w:p>
    <w:p>
      <w:pPr>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公开时间：2022年10月10日</w:t>
      </w:r>
    </w:p>
    <w:p>
      <w:pPr>
        <w:rPr>
          <w:rFonts w:ascii="仿宋_GB2312" w:hAnsi="仿宋_GB2312" w:cs="仿宋_GB2312"/>
          <w:sz w:val="32"/>
          <w:szCs w:val="32"/>
        </w:rPr>
      </w:pPr>
      <w:r>
        <w:rPr>
          <w:rFonts w:hint="eastAsia" w:ascii="仿宋_GB2312" w:hAnsi="仿宋_GB2312" w:eastAsia="仿宋_GB2312" w:cs="仿宋_GB2312"/>
          <w:sz w:val="32"/>
          <w:szCs w:val="32"/>
        </w:rPr>
        <w:t>第一部分 单位概况</w:t>
      </w:r>
      <w:r>
        <w:rPr>
          <w:rFonts w:hint="eastAsia"/>
          <w:sz w:val="24"/>
        </w:rPr>
        <w:tab/>
      </w:r>
      <w:r>
        <w:rPr>
          <w:rFonts w:hint="eastAsia"/>
          <w:sz w:val="24"/>
        </w:rPr>
        <w:t>....................................................................................4</w:t>
      </w:r>
    </w:p>
    <w:p>
      <w:pPr>
        <w:rPr>
          <w:rFonts w:ascii="仿宋_GB2312" w:hAnsi="仿宋_GB2312" w:cs="仿宋_GB2312"/>
          <w:sz w:val="32"/>
          <w:szCs w:val="32"/>
        </w:rPr>
      </w:pPr>
      <w:r>
        <w:rPr>
          <w:rFonts w:hint="eastAsia" w:ascii="仿宋_GB2312" w:hAnsi="仿宋_GB2312" w:eastAsia="仿宋_GB2312" w:cs="仿宋_GB2312"/>
          <w:sz w:val="32"/>
          <w:szCs w:val="32"/>
        </w:rPr>
        <w:t>一、职能简介</w:t>
      </w:r>
      <w:r>
        <w:rPr>
          <w:rFonts w:hint="eastAsia"/>
          <w:sz w:val="24"/>
        </w:rPr>
        <w:tab/>
      </w:r>
      <w:r>
        <w:rPr>
          <w:rFonts w:hint="eastAsia"/>
          <w:sz w:val="24"/>
        </w:rPr>
        <w:t>..................................................................................................4</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二、2021年重点工作完成情况</w:t>
      </w:r>
      <w:r>
        <w:rPr>
          <w:rFonts w:hint="eastAsia"/>
          <w:sz w:val="24"/>
        </w:rPr>
        <w:t>..............................................................4</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第二部分 2021年度单位决算情况说明</w:t>
      </w:r>
      <w:r>
        <w:rPr>
          <w:rFonts w:hint="eastAsia"/>
          <w:sz w:val="24"/>
        </w:rPr>
        <w:t>...........................................12</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一、收入支出决算总体情况说明</w:t>
      </w:r>
      <w:r>
        <w:rPr>
          <w:rFonts w:hint="eastAsia"/>
          <w:sz w:val="24"/>
        </w:rPr>
        <w:t>..........................................................12</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二、收入决算情况说明</w:t>
      </w:r>
      <w:r>
        <w:rPr>
          <w:rFonts w:hint="eastAsia"/>
          <w:sz w:val="24"/>
        </w:rPr>
        <w:t>...............................................................................12</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三、支出决算情况说明</w:t>
      </w:r>
      <w:r>
        <w:rPr>
          <w:rFonts w:hint="eastAsia"/>
          <w:sz w:val="24"/>
        </w:rPr>
        <w:t>...............................................................................13</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四、财政拨款收入支出决算总体情况说明</w:t>
      </w:r>
      <w:r>
        <w:rPr>
          <w:rFonts w:hint="eastAsia"/>
          <w:sz w:val="24"/>
        </w:rPr>
        <w:t>.....................................13</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五、一般公共预算财政拨款支出决算情况说明</w:t>
      </w:r>
      <w:r>
        <w:rPr>
          <w:rFonts w:hint="eastAsia"/>
          <w:sz w:val="24"/>
        </w:rPr>
        <w:t>...........................14</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六、一般公共预算财政拨款基本支出决算情况说明</w:t>
      </w:r>
      <w:r>
        <w:rPr>
          <w:rFonts w:hint="eastAsia"/>
          <w:sz w:val="24"/>
        </w:rPr>
        <w:t>.................16</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七、“三公”经费财政拨款支出决算情况说明</w:t>
      </w:r>
      <w:r>
        <w:rPr>
          <w:rFonts w:hint="eastAsia"/>
          <w:sz w:val="24"/>
        </w:rPr>
        <w:t>...............................16</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八、政府性基金预算支出决算情况说明</w:t>
      </w:r>
      <w:r>
        <w:rPr>
          <w:rFonts w:hint="eastAsia"/>
          <w:sz w:val="24"/>
        </w:rPr>
        <w:t>...........................................17</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九、国有资本经营预算支出决算情况说明</w:t>
      </w:r>
      <w:r>
        <w:rPr>
          <w:rFonts w:hint="eastAsia"/>
          <w:sz w:val="24"/>
        </w:rPr>
        <w:t>.......................................17</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十、预算绩效管理情况</w:t>
      </w:r>
      <w:r>
        <w:rPr>
          <w:rFonts w:hint="eastAsia"/>
          <w:sz w:val="24"/>
        </w:rPr>
        <w:t>................................................................................18</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十一、其他重要事项的情况说明</w:t>
      </w:r>
      <w:r>
        <w:rPr>
          <w:rFonts w:hint="eastAsia"/>
          <w:sz w:val="24"/>
        </w:rPr>
        <w:t>..........................................................18</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第三部分 名词解释</w:t>
      </w:r>
      <w:r>
        <w:rPr>
          <w:rFonts w:hint="eastAsia"/>
          <w:sz w:val="24"/>
        </w:rPr>
        <w:t>........................................................................................19</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第四部分 附件</w:t>
      </w:r>
      <w:r>
        <w:rPr>
          <w:rFonts w:hint="eastAsia"/>
          <w:sz w:val="24"/>
        </w:rPr>
        <w:t>...................................................................................................21</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第五部分 附表</w:t>
      </w:r>
      <w:r>
        <w:rPr>
          <w:rFonts w:hint="eastAsia"/>
          <w:sz w:val="24"/>
        </w:rPr>
        <w:t>...................................................................................................25</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一、收入支出决算总表</w:t>
      </w:r>
      <w:r>
        <w:rPr>
          <w:rFonts w:hint="eastAsia"/>
          <w:sz w:val="24"/>
        </w:rPr>
        <w:t>................................................................................26</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二、收入决算表</w:t>
      </w:r>
      <w:r>
        <w:rPr>
          <w:rFonts w:hint="eastAsia"/>
          <w:sz w:val="24"/>
        </w:rPr>
        <w:t>..............................................................................................27</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三、支出决算表</w:t>
      </w:r>
      <w:r>
        <w:rPr>
          <w:rFonts w:hint="eastAsia"/>
          <w:sz w:val="24"/>
        </w:rPr>
        <w:t>..............................................................................................28</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四、财政拨款收入支出决算总表</w:t>
      </w:r>
      <w:r>
        <w:rPr>
          <w:rFonts w:hint="eastAsia"/>
          <w:sz w:val="24"/>
        </w:rPr>
        <w:t>........................................................29</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五、财政拨款支出决算明细表</w:t>
      </w:r>
      <w:r>
        <w:rPr>
          <w:rFonts w:hint="eastAsia"/>
          <w:sz w:val="24"/>
        </w:rPr>
        <w:t>..............................................................30</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六、一般公共预算财政拨款支出决算表</w:t>
      </w:r>
      <w:r>
        <w:rPr>
          <w:rFonts w:hint="eastAsia"/>
          <w:sz w:val="24"/>
        </w:rPr>
        <w:t>.........................................31</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七、一般公共预算财政拨款支出决算明细表</w:t>
      </w:r>
      <w:r>
        <w:rPr>
          <w:rFonts w:hint="eastAsia"/>
          <w:sz w:val="24"/>
        </w:rPr>
        <w:t>...............................32</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八、一般公共预算财政拨款基本支出决算表</w:t>
      </w:r>
      <w:r>
        <w:rPr>
          <w:rFonts w:hint="eastAsia"/>
          <w:sz w:val="24"/>
        </w:rPr>
        <w:t>................................42</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九、一般公共预算财政拨款项目支出决算表</w:t>
      </w:r>
      <w:r>
        <w:rPr>
          <w:rFonts w:hint="eastAsia"/>
          <w:sz w:val="24"/>
        </w:rPr>
        <w:t>..................................43</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十、一般公共预算财政拨款“三公”经费支出决算表</w:t>
      </w:r>
      <w:r>
        <w:rPr>
          <w:rFonts w:hint="eastAsia"/>
          <w:sz w:val="24"/>
        </w:rPr>
        <w:t>.............44</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十一、政府性基金预算财政拨款收入支出决算表</w:t>
      </w:r>
      <w:r>
        <w:rPr>
          <w:rFonts w:hint="eastAsia"/>
          <w:sz w:val="24"/>
        </w:rPr>
        <w:t>.......................45</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十二、政府性基金预算财政拨款“三公”经费支出决算表</w:t>
      </w:r>
      <w:r>
        <w:rPr>
          <w:rFonts w:hint="eastAsia"/>
          <w:sz w:val="24"/>
        </w:rPr>
        <w:t>.........46</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十三、国有资本经营预算财政拨款收入支出决算表</w:t>
      </w:r>
      <w:r>
        <w:rPr>
          <w:rFonts w:hint="eastAsia"/>
          <w:sz w:val="24"/>
        </w:rPr>
        <w:t>.................47</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十四、国有资本经营预算财政拨款支出决算表</w:t>
      </w:r>
      <w:r>
        <w:rPr>
          <w:rFonts w:hint="eastAsia"/>
          <w:sz w:val="24"/>
        </w:rPr>
        <w:t>...........................48</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pStyle w:val="2"/>
        <w:spacing w:before="93"/>
      </w:pPr>
    </w:p>
    <w:p>
      <w:pPr>
        <w:pStyle w:val="2"/>
        <w:spacing w:before="93"/>
      </w:pPr>
    </w:p>
    <w:p>
      <w:pPr>
        <w:pStyle w:val="2"/>
        <w:spacing w:before="93"/>
      </w:pPr>
    </w:p>
    <w:p>
      <w:pPr>
        <w:pStyle w:val="2"/>
        <w:spacing w:before="93"/>
      </w:pPr>
    </w:p>
    <w:p>
      <w:pPr>
        <w:pStyle w:val="2"/>
        <w:spacing w:before="93"/>
      </w:pPr>
    </w:p>
    <w:p/>
    <w:p>
      <w:pPr>
        <w:widowControl/>
        <w:spacing w:line="440" w:lineRule="exact"/>
        <w:jc w:val="center"/>
        <w:rPr>
          <w:rFonts w:ascii="黑体" w:eastAsia="黑体"/>
          <w:sz w:val="32"/>
          <w:szCs w:val="32"/>
        </w:rPr>
      </w:pPr>
      <w:bookmarkStart w:id="12" w:name="_Toc15377196"/>
      <w:bookmarkStart w:id="13" w:name="_Toc15396599"/>
      <w:r>
        <w:rPr>
          <w:rStyle w:val="25"/>
          <w:rFonts w:hint="eastAsia" w:ascii="黑体" w:hAnsi="黑体" w:eastAsia="黑体"/>
          <w:b w:val="0"/>
          <w:bCs w:val="0"/>
        </w:rPr>
        <w:t>第一部分 单位概况</w:t>
      </w:r>
      <w:bookmarkEnd w:id="12"/>
      <w:bookmarkEnd w:id="13"/>
    </w:p>
    <w:p>
      <w:pPr>
        <w:pStyle w:val="4"/>
        <w:ind w:firstLine="640" w:firstLineChars="200"/>
        <w:rPr>
          <w:rStyle w:val="26"/>
          <w:rFonts w:ascii="黑体" w:hAnsi="黑体" w:eastAsia="黑体"/>
          <w:b w:val="0"/>
          <w:bCs w:val="0"/>
        </w:rPr>
      </w:pPr>
      <w:bookmarkStart w:id="14" w:name="_Toc15396600"/>
      <w:bookmarkStart w:id="15" w:name="_Toc15377197"/>
      <w:r>
        <w:rPr>
          <w:rStyle w:val="26"/>
          <w:rFonts w:hint="eastAsia" w:ascii="黑体" w:hAnsi="黑体" w:eastAsia="黑体"/>
          <w:b w:val="0"/>
          <w:bCs w:val="0"/>
        </w:rPr>
        <w:t>一、职能简介</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1．主要职能。</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（1）开办各类社会文化艺术培训；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（2）组织创作文艺作品；</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（3）组织策划和承办各类群众文化艺术活动展演；</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（4）抓好全县非物质文化遗产名录普查申报传承保护工作；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（5）免费开放文化活动厅室等文化设施；</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（6）指导全县乡镇、社区文艺团队建设和发展；</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（7）指导全县群文理论研究和全县文艺创作；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（8）紧扣党委、政府中心工作开展宣传思想文化工作。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2．机构情况，包括当年变动情况及原因。</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旺苍县文化馆，为旺苍县文化旅游和体育局的下级直属单位，独立核算，二级预算单位。</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3．人员情况，包括当年变动情况及原因。</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现有事业编制11人，与上年相比无变化；年末实际在编在职11人。</w:t>
      </w:r>
    </w:p>
    <w:p>
      <w:pPr>
        <w:ind w:firstLine="640" w:firstLineChars="200"/>
        <w:rPr>
          <w:rStyle w:val="26"/>
          <w:rFonts w:ascii="黑体" w:hAnsi="黑体" w:eastAsia="黑体"/>
          <w:b w:val="0"/>
          <w:bCs w:val="0"/>
        </w:rPr>
      </w:pPr>
      <w:r>
        <w:rPr>
          <w:rStyle w:val="26"/>
          <w:rFonts w:hint="eastAsia" w:ascii="黑体" w:hAnsi="黑体" w:eastAsia="黑体"/>
          <w:b w:val="0"/>
          <w:bCs w:val="0"/>
        </w:rPr>
        <w:t>二、2021年重点工作</w:t>
      </w:r>
      <w:bookmarkEnd w:id="14"/>
      <w:bookmarkEnd w:id="15"/>
      <w:r>
        <w:rPr>
          <w:rStyle w:val="26"/>
          <w:rFonts w:hint="eastAsia" w:ascii="黑体" w:hAnsi="黑体" w:eastAsia="黑体"/>
          <w:b w:val="0"/>
          <w:bCs w:val="0"/>
        </w:rPr>
        <w:t>完成情况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年，紧紧围绕庆祝中国共产党成立一百周年、全面建成小康设会为主题，共开展活动15余场，惠及群众30万人次，如开展2021年四川省“川茶”手工制茶职业技能竞赛暨旺苍县第十一届米仓山采茶节开幕式、2021年旺苍县第十届乡村文化旅游节分会场活动（东河镇油茶花节、英萃镇芍药花节、东河镇杨梅节、木门镇蓝莓节）、“万人踏歌行永远跟党走”广元市庆祝建党一百周年旺苍分会场活动展演、“献礼奋斗百年路 启航美好新生活”广元市首届乡村文化振兴魅力乡镇竞演颁奖活动、开展旺苍县文化馆免费开放成果展演暨“孝亲敬老为爱励行”主题党日活动走进敬老院，开展“学党史·启新程”省高级专家组来旺联谊交流活动。开展打造旺苍志愿服务平台，助力省级文明城市创建“红城民生志愿服务联盟”启动仪式等。</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免费培训惠民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针对群众文化所需，结合疫情防控，规范开展8类免费服务项目，全年服务人次达11万人次。一是开展新老两馆场地免费开放和常规艺术免费培训，二是开展文化交流（红城书画院）、惠明展演（红军剧场）非遗展览（旺苍端公戏）活动，三是开展基层流动培训服务。</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作品塑形利民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围绕县委</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政府中心工作、聚焦现实题材创作文艺作品共计15件。如：民俗舞蹈《龙鼓迎盛世》音乐小品《幸福山歌唱起来》、非遗节目《醒狮》连厢情景剧《张华四季果飘香》、秧歌舞蹈《微山湖》、小品《让爱在阳光下成长》、方言《两委换届利民生》、知客秀《话采茶》、歌曲说唱《说高阳》舞蹈《嘉川石语》等。其中作品《幸福山歌唱起来》、《茶山情歌》、《爷爷的马灯》入围“献礼奋斗百年路 启航美好新生活”广元市首届乡村文化振兴魅力乡镇竞演颁奖活动，广场舞《节气歌》参加2021四川省广播电视台四川乡村频道、四川省电视艺术家协会、四川省音乐家协会联合主办的“唱支山歌给党听 百首金曲庆华诞”山水实景歌会展演、参加由中共四川省委农办、中共四川省委宣传部 、四川省农业农村厅、联合主办的“听党话、感党恩、跟党走”优秀宣讲员专场宣讲活动展演。非遗节目《醒狮》参加“颂</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百年辉煌 承千年技艺”四川非遗惠民展演、小品《让爱在阳光下成长》参加广元市第二届残疾人艺术节、《旺苍群文》12期半年刊。</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外出交流富民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为不断的提升我馆干部职工创新创造能力，助力我县乡村文化旅游事业发展再上新台阶，根据文件精神要求和特定指示，积极组织相关业务干部参加所属领域的技能培训。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一是以“请进来”的形式邀请四川省音乐家协会参加“红城红军情”采风创作交流活动。</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是以“走出去”的形式组织业务干部参加四川省文化和旅游厅主办的2021年“优秀文旅人才研修计划”乡村文旅振兴暨基层文旅网络媒体宣传推广骨干研修班、2021年全市宣传系统科级领导干部进修班培训、2021年乡村文化和旅游能人培训班、赴浙江大学参加2021年全域旅游及文旅体融合发展专题培训；资阳市文广旅系统基层文化干部培训班培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获奖增信爱民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1、在全国文化馆第五次评估定级中再次获评为国家一级馆。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2、小品《让爱在阳光下成长》参加广元市第二届残疾人文化艺术节荣获语言类评选二等奖。</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3、歌曲《那一抹红》荣获广元市庆祝建党一百周年“百年荣光”十大金曲。</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4、广场舞《节气歌》荣获“唱支山歌给党听百首金曲庆华诞”银奖金曲。</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5、张仲杰荣获四川省委农工办颁发的“听党话感党恩跟党走”优秀宣讲员称号。荣获广元市委、市政府庆祝100周年系列文艺活动先进个人称号，荣获广元市委、市政府2021年广元女儿节活动先进个人通报。</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6、冯菊荣获2021年度三江建投杯“好作品”优秀奖。</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7、杨敉、叶鲡江、刘浩、张仲杰获四川省乡村文化和旅游能人。</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疫情防控保民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四川省应对新型冠状病毒肺炎疫情应急指挥部关于进一步加强新冠肺炎疫情防控工作的通知》、《四川省文化和旅游行业疫情防控工作技术方案》通知要求，本着疫情防控、文化惠明两手抓的宗旨，按照“属地管理”和“谁主管、谁负责”原则，成立新老两馆疫情防控工作小组，压实属地责任、部室责任，有效保障广大市民来馆的生命安全。</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党史学习为民</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年、根据中央、省市县委关于开展党史学习教育专题活动部署安排，结合我馆工作实际，积极组织开展党史集中学习和自我学习，同时结合本职工作展文化惠民活动走进敬老院主题党日共建活动，用党史经验、党的成长历史引导和提升干部休养，不断增强全馆党员、干部职工为人民服务的自觉感和责任感。</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重点工作创造开展</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（一）活动开展</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万人踏歌行永远跟党走”让我们以自己的热爱方式为党的100周年华诞献礼。此次活动历经3个月，演职人员达500余人，在接到通知任务后，我馆及时进行活动策划和统筹部署，在人员多、体量大、温度高、时间紧和排练分散的困难下，所有演职人员都憋着劲，克服一个个困难全身心投入，将每一次排练都发挥出极致，活动效果在全市反响热烈，受到到市委、市政府、县委、</w:t>
      </w:r>
      <w:r>
        <w:rPr>
          <w:rFonts w:hint="eastAsia" w:ascii="仿宋_GB2312" w:hAnsi="仿宋_GB2312" w:eastAsia="仿宋_GB2312" w:cs="仿宋_GB2312"/>
          <w:sz w:val="32"/>
          <w:szCs w:val="32"/>
          <w:lang w:eastAsia="zh-CN"/>
        </w:rPr>
        <w:t>县</w:t>
      </w:r>
      <w:bookmarkStart w:id="67" w:name="_GoBack"/>
      <w:bookmarkEnd w:id="67"/>
      <w:r>
        <w:rPr>
          <w:rFonts w:hint="eastAsia" w:ascii="仿宋_GB2312" w:hAnsi="仿宋_GB2312" w:eastAsia="仿宋_GB2312" w:cs="仿宋_GB2312"/>
          <w:sz w:val="32"/>
          <w:szCs w:val="32"/>
        </w:rPr>
        <w:t>政府的高度重视和表演。</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“献礼奋斗百年路 启航美好新生活”让我们的幸福生活唱起来本次活动历经4个月，全市共计43个乡镇参与线上初审和线下10个节目的最终展演。由于我县在此次的活动中组织有力、推进有序、挖掘深入，广元市首届乡村文化振兴魅力乡镇竞演最终在我县红军城落下帷幕。活动效果良好，不断彰显出我县城市核心品牌和四张名片的美誉度，让老百姓的幸福生活唱起来</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（二）免费开放</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免费培训走进基层</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创新我县基层文艺队伍服务方式，夯实我县基层队伍建设，丰富我县基层群众文化生活。结合我县群文实际工作，对三江镇等四个乡镇免费开展文化专干、文艺骨干开展文艺技能免费培训8场次，惠及群众2000人次，激励更多的基层文化工作者积极投入到公共文化服务事业建设中，</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免费展演走进敬老院</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进一步拉近我们与老人之间的距离，不断增强全馆党员、干部职工、群文工作者的责任感、自觉感和使命感。结合工作实际，对普济镇敬老院等3个乡镇免费开展文艺服务演出，通过活动开展，进一步坚定文化自信，让群文力量全身心投入到公共文化事业服务建设，让文化馆的公共文化服务职能在基层得到有效发挥。</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科学实践，推动群文数字化工作高效开展 —旺苍县文化馆线上社会艺术水平舞蹈测试考级受疫情影响，此次考级首次实现了线上展示，按照《四川省文化和旅游厅&lt;关于印发四川省文化和旅游行业疫情防控工作技术方案&gt;紧急通知》的通知、中国舞蹈家协会考级四川考区旺苍考点疫情期间考级防控要求。县文化馆积极做好疫情防护防范措施，分级、分批、分期、分段、分时完成视频录制考级任务，现场秩序井然，工作有条不紊。共计400余名考生完成了此次2-11级中国舞测试考评。</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三、实践经验培育</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——人才队伍建设培育典例</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一是以培训为抓手，实现人才队伍从育到艺的量变。</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比如在“孝亲敬老为爱励行”的文艺演出活动中，以免费培训学员作为活动演出班底，利用免费培训所学到的文艺技能和特长，通过节目的打造、排练和展示，让学员去感悟、体验群文工作的魅力。通过演出实践，不仅达到群众艺术普及实效性的目的，同时还增强学员在群众文化工作建设的积极性和主动性，让学员更好的实现了从育到艺的华丽转身。</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二是以活动为切口，实现人才队伍从艺到创的质变。</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比如在乡村文化振兴魅力乡镇竞演活动中，我县优秀文艺演人才（土专家）在作品创作中发挥了主创人员的作用。在音乐小品“幸福山歌唱起来”作品创作中，通过实地采风和对作品主题的深入挖掘，结合我县“山歌王”何显湘的山歌特长，打造与之相融相合的现实生活题材作品。这一作品的实现同时也打破了以往我县在创作和表演“独自性”的格局、实现了创作和表演的“一体性”，让文艺作品的创造性更加深刻，表演更加生动。</w:t>
      </w:r>
      <w:bookmarkStart w:id="16" w:name="_Toc15396602"/>
      <w:bookmarkStart w:id="17" w:name="_Toc15377204"/>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rPr>
          <w:rStyle w:val="25"/>
          <w:rFonts w:ascii="黑体" w:hAnsi="黑体" w:eastAsia="黑体"/>
          <w:b w:val="0"/>
        </w:rPr>
      </w:pPr>
    </w:p>
    <w:p>
      <w:pPr>
        <w:jc w:val="center"/>
      </w:pPr>
      <w:r>
        <w:rPr>
          <w:rStyle w:val="25"/>
          <w:rFonts w:hint="eastAsia" w:ascii="黑体" w:hAnsi="黑体" w:eastAsia="黑体"/>
          <w:b w:val="0"/>
        </w:rPr>
        <w:t>第二部分 2021年度单位决算情况说明</w:t>
      </w:r>
      <w:bookmarkEnd w:id="16"/>
      <w:bookmarkEnd w:id="17"/>
    </w:p>
    <w:p>
      <w:pPr>
        <w:pStyle w:val="24"/>
        <w:numPr>
          <w:ilvl w:val="0"/>
          <w:numId w:val="1"/>
        </w:numPr>
        <w:spacing w:line="600" w:lineRule="exact"/>
        <w:ind w:firstLineChars="0"/>
        <w:jc w:val="left"/>
        <w:outlineLvl w:val="1"/>
        <w:rPr>
          <w:rFonts w:ascii="仿宋" w:hAnsi="仿宋" w:eastAsia="仿宋"/>
          <w:b/>
          <w:sz w:val="32"/>
          <w:szCs w:val="32"/>
        </w:rPr>
      </w:pPr>
      <w:bookmarkStart w:id="18" w:name="_Toc15377205"/>
      <w:bookmarkStart w:id="19" w:name="_Toc15396603"/>
      <w:r>
        <w:rPr>
          <w:rFonts w:hint="eastAsia" w:ascii="仿宋" w:hAnsi="仿宋" w:eastAsia="仿宋"/>
          <w:b/>
          <w:sz w:val="32"/>
          <w:szCs w:val="32"/>
        </w:rPr>
        <w:t>收入支出决算总体情况说明</w:t>
      </w:r>
      <w:bookmarkEnd w:id="18"/>
      <w:bookmarkEnd w:id="19"/>
    </w:p>
    <w:p>
      <w:pPr>
        <w:ind w:firstLine="640" w:firstLineChars="200"/>
      </w:pPr>
      <w:r>
        <w:rPr>
          <w:rFonts w:hint="eastAsia" w:ascii="仿宋_GB2312" w:hAnsi="仿宋_GB2312" w:eastAsia="仿宋_GB2312" w:cs="仿宋_GB2312"/>
          <w:sz w:val="32"/>
          <w:szCs w:val="32"/>
        </w:rPr>
        <w:t>2021年度收、支总计221.09万元。与2020年相比，收、支总计减少44.91万元、收、支下降16.9%。主要变动原因是项目资金减少。</w:t>
      </w:r>
    </w:p>
    <w:p>
      <w:pPr>
        <w:jc w:val="center"/>
        <w:rPr>
          <w:rFonts w:ascii="仿宋_GB2312" w:eastAsia="仿宋_GB2312"/>
          <w:color w:val="000000"/>
          <w:sz w:val="32"/>
          <w:szCs w:val="32"/>
        </w:rPr>
      </w:pPr>
      <w:r>
        <w:rPr>
          <w:rFonts w:hint="eastAsia" w:ascii="仿宋_GB2312" w:eastAsia="仿宋_GB2312"/>
          <w:color w:val="000000"/>
          <w:sz w:val="32"/>
          <w:szCs w:val="32"/>
        </w:rPr>
        <w:object>
          <v:shape id="_x0000_i1025" o:spt="75" type="#_x0000_t75" style="height:170.6pt;width:358.45pt;" o:ole="t" filled="f" o:preferrelative="t" stroked="f" coordsize="21600,21600" o:gfxdata="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">
            <v:path/>
            <v:fill on="f" focussize="0,0"/>
            <v:stroke on="f" joinstyle="miter"/>
            <v:imagedata r:id="rId7" o:title=""/>
            <o:lock v:ext="edit" aspectratio="t"/>
            <w10:wrap type="none"/>
            <w10:anchorlock/>
          </v:shape>
          <o:OLEObject Type="Embed" ProgID="Excel.Sheet.8" ShapeID="_x0000_i1025" DrawAspect="Content" ObjectID="_1468075725" r:id="rId6">
            <o:LockedField>false</o:LockedField>
          </o:OLEObject>
        </w:object>
      </w:r>
    </w:p>
    <w:p>
      <w:pPr>
        <w:jc w:val="center"/>
        <w:rPr>
          <w:rFonts w:ascii="仿宋_GB2312" w:eastAsia="仿宋_GB2312"/>
          <w:sz w:val="32"/>
          <w:szCs w:val="32"/>
        </w:rPr>
      </w:pPr>
      <w:r>
        <w:rPr>
          <w:rFonts w:hint="eastAsia" w:ascii="仿宋_GB2312" w:hAnsi="仿宋_GB2312" w:eastAsia="仿宋_GB2312" w:cs="仿宋_GB2312"/>
          <w:sz w:val="32"/>
          <w:szCs w:val="32"/>
        </w:rPr>
        <w:t>（图1：收、支决算总计变动情况图）（柱状图）</w:t>
      </w:r>
    </w:p>
    <w:p>
      <w:pPr>
        <w:pStyle w:val="24"/>
        <w:numPr>
          <w:ilvl w:val="0"/>
          <w:numId w:val="1"/>
        </w:numPr>
        <w:spacing w:line="600" w:lineRule="exact"/>
        <w:ind w:firstLineChars="0"/>
        <w:outlineLvl w:val="1"/>
        <w:rPr>
          <w:rFonts w:ascii="仿宋" w:hAnsi="仿宋" w:eastAsia="仿宋"/>
          <w:b/>
          <w:sz w:val="32"/>
          <w:szCs w:val="32"/>
        </w:rPr>
      </w:pPr>
      <w:bookmarkStart w:id="20" w:name="_Toc15377206"/>
      <w:bookmarkStart w:id="21" w:name="_Toc15396604"/>
      <w:r>
        <w:rPr>
          <w:rFonts w:hint="eastAsia" w:ascii="仿宋" w:hAnsi="仿宋" w:eastAsia="仿宋"/>
          <w:b/>
          <w:sz w:val="32"/>
          <w:szCs w:val="32"/>
        </w:rPr>
        <w:t>收入决算情况说明</w:t>
      </w:r>
      <w:bookmarkEnd w:id="20"/>
      <w:bookmarkEnd w:id="21"/>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2021年本年收入合计162.62万元，其中：一般公共预算财政拨款收入162.62万元，占100%。</w:t>
      </w:r>
    </w:p>
    <w:p>
      <w:pPr>
        <w:jc w:val="center"/>
      </w:pPr>
      <w:r>
        <w:rPr>
          <w:rFonts w:hint="eastAsia"/>
        </w:rPr>
        <w:drawing>
          <wp:inline distT="0" distB="0" distL="114300" distR="114300">
            <wp:extent cx="4109085" cy="2467610"/>
            <wp:effectExtent l="4445" t="4445" r="20320" b="23495"/>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
      <w:pPr>
        <w:spacing w:line="600" w:lineRule="exact"/>
        <w:ind w:firstLine="640" w:firstLineChars="200"/>
        <w:rPr>
          <w:rFonts w:ascii="仿宋_GB2312" w:eastAsia="仿宋_GB2312"/>
          <w:sz w:val="32"/>
          <w:szCs w:val="32"/>
        </w:rPr>
      </w:pPr>
      <w:r>
        <w:rPr>
          <w:rFonts w:hint="eastAsia" w:ascii="仿宋" w:hAnsi="仿宋" w:eastAsia="仿宋"/>
          <w:sz w:val="32"/>
          <w:szCs w:val="32"/>
        </w:rPr>
        <w:t>（图2：收入决算结构图）（饼状图）</w:t>
      </w:r>
    </w:p>
    <w:p>
      <w:pPr>
        <w:pStyle w:val="24"/>
        <w:numPr>
          <w:ilvl w:val="0"/>
          <w:numId w:val="1"/>
        </w:numPr>
        <w:spacing w:line="600" w:lineRule="exact"/>
        <w:ind w:firstLineChars="0"/>
        <w:outlineLvl w:val="1"/>
        <w:rPr>
          <w:rFonts w:ascii="仿宋" w:hAnsi="仿宋" w:eastAsia="仿宋"/>
          <w:b/>
          <w:sz w:val="32"/>
          <w:szCs w:val="32"/>
        </w:rPr>
      </w:pPr>
      <w:bookmarkStart w:id="22" w:name="_Toc15377207"/>
      <w:bookmarkStart w:id="23" w:name="_Toc15396605"/>
      <w:r>
        <w:rPr>
          <w:rFonts w:hint="eastAsia" w:ascii="仿宋" w:hAnsi="仿宋" w:eastAsia="仿宋"/>
          <w:b/>
          <w:sz w:val="32"/>
          <w:szCs w:val="32"/>
        </w:rPr>
        <w:t>支出决算情况说明</w:t>
      </w:r>
      <w:bookmarkEnd w:id="22"/>
      <w:bookmarkEnd w:id="23"/>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2021年本年支出合计209.79万元，其中：基本支出162.25万元，占77.33%；项目支出47.53万元，占22.65%。</w:t>
      </w:r>
    </w:p>
    <w:p>
      <w:pPr>
        <w:jc w:val="center"/>
        <w:rPr>
          <w:rFonts w:ascii="仿宋" w:hAnsi="仿宋" w:eastAsia="仿宋"/>
          <w:sz w:val="32"/>
          <w:szCs w:val="32"/>
          <w:shd w:val="pct10" w:color="auto" w:fill="FFFFFF"/>
        </w:rPr>
      </w:pPr>
      <w:r>
        <w:rPr>
          <w:rFonts w:hint="eastAsia"/>
        </w:rPr>
        <w:drawing>
          <wp:inline distT="0" distB="0" distL="114300" distR="114300">
            <wp:extent cx="4331335" cy="3493770"/>
            <wp:effectExtent l="4445" t="4445" r="7620" b="6985"/>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600" w:lineRule="exact"/>
        <w:ind w:firstLine="640" w:firstLineChars="200"/>
        <w:rPr>
          <w:rFonts w:ascii="仿宋_GB2312" w:eastAsia="仿宋_GB2312"/>
          <w:sz w:val="32"/>
          <w:szCs w:val="32"/>
        </w:rPr>
      </w:pPr>
      <w:r>
        <w:rPr>
          <w:rFonts w:hint="eastAsia" w:ascii="仿宋" w:hAnsi="仿宋" w:eastAsia="仿宋"/>
          <w:sz w:val="32"/>
          <w:szCs w:val="32"/>
        </w:rPr>
        <w:t>（图3：支出决算结构图）（饼状图）</w:t>
      </w:r>
    </w:p>
    <w:p>
      <w:pPr>
        <w:spacing w:line="600" w:lineRule="exact"/>
        <w:ind w:firstLine="640"/>
        <w:rPr>
          <w:rFonts w:ascii="仿宋" w:hAnsi="仿宋" w:eastAsia="仿宋"/>
          <w:b/>
          <w:sz w:val="32"/>
          <w:szCs w:val="32"/>
        </w:rPr>
      </w:pPr>
      <w:bookmarkStart w:id="24" w:name="_Toc15396606"/>
      <w:bookmarkStart w:id="25" w:name="_Toc15377208"/>
      <w:r>
        <w:rPr>
          <w:rFonts w:hint="eastAsia" w:ascii="仿宋" w:hAnsi="仿宋" w:eastAsia="仿宋"/>
          <w:b/>
          <w:sz w:val="32"/>
          <w:szCs w:val="32"/>
        </w:rPr>
        <w:t>四、财政拨款收入支出决算总体情况说明</w:t>
      </w:r>
      <w:bookmarkEnd w:id="24"/>
      <w:bookmarkEnd w:id="25"/>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2021年财政拨款收、支总计221.09万元。与2020年相比，财政拨款收、支总计减少收44.91万元，收支下降16.9%。主要变动原因是项目资金减少。</w:t>
      </w:r>
    </w:p>
    <w:p>
      <w:pPr>
        <w:jc w:val="center"/>
        <w:rPr>
          <w:rFonts w:ascii="仿宋" w:hAnsi="仿宋" w:eastAsia="仿宋"/>
          <w:color w:val="000000"/>
          <w:sz w:val="32"/>
          <w:szCs w:val="32"/>
        </w:rPr>
      </w:pPr>
      <w:r>
        <w:rPr>
          <w:rFonts w:hint="eastAsia" w:ascii="仿宋" w:hAnsi="仿宋" w:eastAsia="仿宋"/>
          <w:color w:val="000000"/>
          <w:sz w:val="32"/>
          <w:szCs w:val="32"/>
        </w:rPr>
        <w:object>
          <v:shape id="_x0000_i1026" o:spt="75" type="#_x0000_t75" style="height:152.6pt;width:268.45pt;" o:ole="t" filled="f" o:preferrelative="t" stroked="f" coordsize="21600,21600">
            <v:path/>
            <v:fill on="f" focussize="0,0"/>
            <v:stroke on="f" joinstyle="miter"/>
            <v:imagedata r:id="rId11" o:title=""/>
            <o:lock v:ext="edit" aspectratio="t"/>
            <w10:wrap type="none"/>
            <w10:anchorlock/>
          </v:shape>
          <o:OLEObject Type="Embed" ProgID="Excel.Sheet.8" ShapeID="_x0000_i1026" DrawAspect="Content" ObjectID="_1468075726" r:id="rId10">
            <o:LockedField>false</o:LockedField>
          </o:OLEObject>
        </w:object>
      </w:r>
    </w:p>
    <w:p>
      <w:pPr>
        <w:jc w:val="center"/>
        <w:rPr>
          <w:rFonts w:ascii="仿宋" w:hAnsi="仿宋" w:eastAsia="仿宋"/>
          <w:b/>
          <w:sz w:val="32"/>
          <w:szCs w:val="32"/>
        </w:rPr>
      </w:pPr>
      <w:r>
        <w:rPr>
          <w:rFonts w:hint="eastAsia" w:ascii="仿宋" w:hAnsi="仿宋" w:eastAsia="仿宋"/>
          <w:sz w:val="32"/>
          <w:szCs w:val="32"/>
        </w:rPr>
        <w:t>（图4：财政拨款收、支决算总计变动情况）（柱状图）</w:t>
      </w:r>
    </w:p>
    <w:p>
      <w:pPr>
        <w:spacing w:line="600" w:lineRule="exact"/>
        <w:ind w:firstLine="643" w:firstLineChars="200"/>
        <w:outlineLvl w:val="2"/>
        <w:rPr>
          <w:rFonts w:ascii="仿宋" w:hAnsi="仿宋" w:eastAsia="仿宋"/>
          <w:b/>
          <w:sz w:val="32"/>
          <w:szCs w:val="32"/>
        </w:rPr>
      </w:pPr>
      <w:bookmarkStart w:id="26" w:name="_Toc15377209"/>
      <w:bookmarkStart w:id="27" w:name="_Toc15396607"/>
      <w:r>
        <w:rPr>
          <w:rFonts w:hint="eastAsia" w:ascii="仿宋" w:hAnsi="仿宋" w:eastAsia="仿宋"/>
          <w:b/>
          <w:sz w:val="32"/>
          <w:szCs w:val="32"/>
        </w:rPr>
        <w:t>五、一般公共预算财政拨款支出决算情况说明</w:t>
      </w:r>
      <w:bookmarkEnd w:id="26"/>
      <w:bookmarkEnd w:id="27"/>
    </w:p>
    <w:p>
      <w:pPr>
        <w:ind w:firstLine="643" w:firstLineChars="200"/>
        <w:rPr>
          <w:rFonts w:ascii="仿宋_GB2312" w:hAnsi="仿宋_GB2312" w:eastAsia="仿宋_GB2312" w:cs="仿宋_GB2312"/>
          <w:b/>
          <w:bCs/>
          <w:sz w:val="32"/>
          <w:szCs w:val="32"/>
        </w:rPr>
      </w:pPr>
      <w:bookmarkStart w:id="28" w:name="_Toc15377210"/>
      <w:r>
        <w:rPr>
          <w:rFonts w:hint="eastAsia" w:ascii="仿宋_GB2312" w:hAnsi="仿宋_GB2312" w:eastAsia="仿宋_GB2312" w:cs="仿宋_GB2312"/>
          <w:b/>
          <w:bCs/>
          <w:sz w:val="32"/>
          <w:szCs w:val="32"/>
        </w:rPr>
        <w:t>（一）一般公共预算财政拨款支出决算总体情况</w:t>
      </w:r>
      <w:bookmarkEnd w:id="28"/>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2021年一般公共预算财政拨款支出209.79万元，占本年支出合计的100%。与2020年相比，一般公共预算财政拨款支出减少18.71万元，下降8.9%。主要变动原因是项目减少。</w:t>
      </w:r>
    </w:p>
    <w:p>
      <w:pPr>
        <w:jc w:val="center"/>
        <w:rPr>
          <w:rFonts w:ascii="仿宋" w:hAnsi="仿宋" w:eastAsia="仿宋"/>
          <w:sz w:val="32"/>
          <w:szCs w:val="32"/>
        </w:rPr>
      </w:pPr>
      <w:r>
        <w:rPr>
          <w:rFonts w:hint="eastAsia" w:ascii="仿宋_GB2312" w:hAnsi="仿宋_GB2312" w:eastAsia="仿宋_GB2312" w:cs="仿宋_GB2312"/>
          <w:color w:val="000000"/>
          <w:sz w:val="30"/>
          <w:szCs w:val="30"/>
        </w:rPr>
        <w:object>
          <v:shape id="_x0000_i1027" o:spt="75" type="#_x0000_t75" style="height:147.9pt;width:405.4pt;" o:ole="t" filled="f" o:preferrelative="t" stroked="f" coordsize="21600,21600" o:gfxdata="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">
            <v:path/>
            <v:fill on="f" focussize="0,0"/>
            <v:stroke on="f" joinstyle="miter"/>
            <v:imagedata r:id="rId13" o:title=""/>
            <o:lock v:ext="edit" aspectratio="t"/>
            <w10:wrap type="none"/>
            <w10:anchorlock/>
          </v:shape>
          <o:OLEObject Type="Embed" ProgID="Excel.Sheet.8" ShapeID="_x0000_i1027" DrawAspect="Content" ObjectID="_1468075727" r:id="rId12">
            <o:LockedField>false</o:LockedField>
          </o:OLEObject>
        </w:object>
      </w:r>
      <w:r>
        <w:rPr>
          <w:rFonts w:hint="eastAsia" w:ascii="仿宋" w:hAnsi="仿宋" w:eastAsia="仿宋"/>
          <w:sz w:val="32"/>
          <w:szCs w:val="32"/>
        </w:rPr>
        <w:t>（图5：一般公共预算财政拨款支出决算变动情况）（柱状图）</w:t>
      </w:r>
    </w:p>
    <w:p>
      <w:pPr>
        <w:ind w:firstLine="643" w:firstLineChars="200"/>
        <w:rPr>
          <w:rFonts w:ascii="仿宋_GB2312" w:hAnsi="仿宋_GB2312" w:eastAsia="仿宋_GB2312" w:cs="仿宋_GB2312"/>
          <w:b/>
          <w:bCs/>
          <w:sz w:val="32"/>
          <w:szCs w:val="32"/>
        </w:rPr>
      </w:pPr>
      <w:bookmarkStart w:id="29" w:name="_Toc15377211"/>
      <w:r>
        <w:rPr>
          <w:rFonts w:hint="eastAsia" w:ascii="仿宋_GB2312" w:hAnsi="仿宋_GB2312" w:eastAsia="仿宋_GB2312" w:cs="仿宋_GB2312"/>
          <w:b/>
          <w:bCs/>
          <w:sz w:val="32"/>
          <w:szCs w:val="32"/>
        </w:rPr>
        <w:t>（二）一般公共预算财政拨款支出决算结构情况</w:t>
      </w:r>
      <w:bookmarkEnd w:id="29"/>
    </w:p>
    <w:p>
      <w:pPr>
        <w:ind w:firstLine="640" w:firstLineChars="200"/>
      </w:pPr>
      <w:r>
        <w:rPr>
          <w:rFonts w:hint="eastAsia" w:ascii="仿宋_GB2312" w:hAnsi="仿宋_GB2312" w:eastAsia="仿宋_GB2312" w:cs="仿宋_GB2312"/>
          <w:sz w:val="32"/>
          <w:szCs w:val="32"/>
        </w:rPr>
        <w:t>2021年一般公共预算财政拨款支出209.79万元，主要用于以下方面:文化旅游体育与传媒（类）支出184.01万元，占87.71%；社会保障和就业（类）支出10.75万元，占5.12%；卫生健康支出5.57万元，占2.65%；住房保障支出9.46万元，占4.50%。</w:t>
      </w:r>
    </w:p>
    <w:p>
      <w:pPr>
        <w:jc w:val="center"/>
      </w:pPr>
      <w:r>
        <w:rPr>
          <w:rFonts w:hint="eastAsia"/>
        </w:rPr>
        <w:drawing>
          <wp:inline distT="0" distB="0" distL="114300" distR="114300">
            <wp:extent cx="4219575" cy="2341880"/>
            <wp:effectExtent l="4445" t="4445" r="5080" b="15875"/>
            <wp:docPr id="8"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spacing w:line="600" w:lineRule="exact"/>
        <w:ind w:firstLine="640" w:firstLineChars="200"/>
        <w:rPr>
          <w:rFonts w:ascii="仿宋" w:hAnsi="仿宋" w:eastAsia="仿宋"/>
          <w:sz w:val="32"/>
          <w:szCs w:val="32"/>
        </w:rPr>
      </w:pPr>
      <w:r>
        <w:rPr>
          <w:rFonts w:hint="eastAsia" w:ascii="仿宋" w:hAnsi="仿宋" w:eastAsia="仿宋"/>
          <w:sz w:val="32"/>
          <w:szCs w:val="32"/>
        </w:rPr>
        <w:t>（图6：一般公共预算财政拨款支出决算结构）（饼状图）</w:t>
      </w:r>
    </w:p>
    <w:p>
      <w:pPr>
        <w:ind w:firstLine="643" w:firstLineChars="200"/>
        <w:rPr>
          <w:rFonts w:ascii="仿宋_GB2312" w:hAnsi="仿宋_GB2312" w:eastAsia="仿宋_GB2312" w:cs="仿宋_GB2312"/>
          <w:b/>
          <w:bCs/>
          <w:sz w:val="32"/>
          <w:szCs w:val="32"/>
        </w:rPr>
      </w:pPr>
      <w:bookmarkStart w:id="30" w:name="_Toc15377212"/>
      <w:r>
        <w:rPr>
          <w:rFonts w:hint="eastAsia" w:ascii="仿宋_GB2312" w:hAnsi="仿宋_GB2312" w:eastAsia="仿宋_GB2312" w:cs="仿宋_GB2312"/>
          <w:b/>
          <w:bCs/>
          <w:sz w:val="32"/>
          <w:szCs w:val="32"/>
        </w:rPr>
        <w:t>（三）一般公共预算财政拨款支出决算具体情况</w:t>
      </w:r>
      <w:bookmarkEnd w:id="30"/>
    </w:p>
    <w:p>
      <w:pPr>
        <w:ind w:firstLine="640" w:firstLineChars="200"/>
        <w:rPr>
          <w:rFonts w:ascii="仿宋_GB2312" w:hAnsi="仿宋_GB2312" w:eastAsia="仿宋_GB2312" w:cs="仿宋_GB2312"/>
          <w:sz w:val="32"/>
          <w:szCs w:val="32"/>
        </w:rPr>
      </w:pPr>
      <w:bookmarkStart w:id="31" w:name="_Toc15378460"/>
      <w:bookmarkStart w:id="32" w:name="_Toc15377213"/>
      <w:bookmarkStart w:id="33" w:name="_Toc15377444"/>
      <w:r>
        <w:rPr>
          <w:rFonts w:hint="eastAsia" w:ascii="仿宋_GB2312" w:hAnsi="仿宋_GB2312" w:eastAsia="仿宋_GB2312" w:cs="仿宋_GB2312"/>
          <w:sz w:val="32"/>
          <w:szCs w:val="32"/>
        </w:rPr>
        <w:t>2021年一般公共预算支出决算数为209.79，完成预算93.78%。其中：</w:t>
      </w:r>
      <w:bookmarkEnd w:id="31"/>
      <w:bookmarkEnd w:id="32"/>
      <w:bookmarkEnd w:id="33"/>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1、文化旅游体育与传媒（类）文化和旅游（款）群众文化（项）: 支出决算为171.18万元，完成预算81.59%，县财政资金调度困难申报计划一直未审批。</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2、文化旅游体育与传媒（类）文化和旅游（款）其他文化和旅游支出（项）: 支出决算为12.82万元，完成预算64.1%。决算数小于预算数的主要原因是县财政资金紧张，申报计划一直未审批。</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3、社会保障和就业（类）行政事业单位养老支出（款）机关事业单位基本养老保险缴费支出（项）: 支出决算为10.75万元，完成预算78.6%。决算数小于预算数的主要原因是县财政资金紧张，申报计划一直未审批。</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4.卫生健康（类）行政事业单位医疗（款）事业单位医疗（项）:支出决算为5.56万元，完成预算100%。</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5.住房保障支出（类）住房改革支出（款）住房公积金（项）:支出决算为9.46万元，完成预算100%。</w:t>
      </w:r>
    </w:p>
    <w:p>
      <w:pPr>
        <w:tabs>
          <w:tab w:val="right" w:pos="8306"/>
        </w:tabs>
        <w:spacing w:line="600" w:lineRule="exact"/>
        <w:ind w:firstLine="640"/>
        <w:outlineLvl w:val="1"/>
        <w:rPr>
          <w:rStyle w:val="26"/>
        </w:rPr>
      </w:pPr>
      <w:bookmarkStart w:id="34" w:name="_Toc15396608"/>
      <w:bookmarkStart w:id="35" w:name="_Toc15377214"/>
      <w:r>
        <w:rPr>
          <w:rFonts w:hint="eastAsia" w:ascii="仿宋" w:hAnsi="仿宋" w:eastAsia="仿宋"/>
          <w:b/>
          <w:sz w:val="32"/>
          <w:szCs w:val="32"/>
        </w:rPr>
        <w:t>六、一般公共预算财政拨款基本支出决算情况说明</w:t>
      </w:r>
      <w:bookmarkEnd w:id="34"/>
      <w:bookmarkEnd w:id="35"/>
      <w:r>
        <w:rPr>
          <w:rFonts w:hint="eastAsia" w:ascii="仿宋" w:hAnsi="仿宋" w:eastAsia="仿宋"/>
          <w:b/>
          <w:sz w:val="32"/>
          <w:szCs w:val="32"/>
        </w:rPr>
        <w:tab/>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2021年一般公共预算财政拨款基本支出162.25万元，其中：</w:t>
      </w:r>
    </w:p>
    <w:p>
      <w:pPr>
        <w:spacing w:line="600" w:lineRule="exact"/>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人员经费142.32万元，主要包括：基本工资、津贴补贴、奖金、绩效工资、机关事业单位基本养老保险缴费、职业年金缴费、其他社会保障缴费、其他工资福利支出、医疗费补助、奖励金、住房公积金、其他对个人和家庭的补助支出等。</w:t>
      </w:r>
      <w:r>
        <w:rPr>
          <w:rFonts w:hint="eastAsia" w:ascii="仿宋_GB2312" w:hAnsi="仿宋_GB2312" w:eastAsia="仿宋_GB2312" w:cs="仿宋_GB2312"/>
          <w:color w:val="000000"/>
          <w:sz w:val="30"/>
          <w:szCs w:val="30"/>
        </w:rPr>
        <w:br w:type="textWrapping"/>
      </w:r>
      <w:r>
        <w:rPr>
          <w:rFonts w:hint="eastAsia" w:ascii="仿宋_GB2312" w:hAnsi="仿宋_GB2312" w:eastAsia="仿宋_GB2312" w:cs="仿宋_GB2312"/>
          <w:color w:val="000000"/>
          <w:sz w:val="30"/>
          <w:szCs w:val="30"/>
        </w:rPr>
        <w:t>　　公用经费19.92万元，主要包括：办公费、印刷费、手续费、、邮电费、差旅费、维修（护）费、公务接待费、劳务费、工会经费、福利费、其他交通费、其他商品和服务支出。</w:t>
      </w:r>
    </w:p>
    <w:p>
      <w:pPr>
        <w:spacing w:line="600" w:lineRule="exact"/>
        <w:ind w:firstLine="640"/>
        <w:outlineLvl w:val="2"/>
        <w:rPr>
          <w:rFonts w:ascii="仿宋" w:hAnsi="仿宋" w:eastAsia="仿宋"/>
          <w:b/>
          <w:sz w:val="32"/>
          <w:szCs w:val="32"/>
        </w:rPr>
      </w:pPr>
      <w:bookmarkStart w:id="36" w:name="_Toc15396609"/>
      <w:bookmarkStart w:id="37" w:name="_Toc15377215"/>
      <w:r>
        <w:rPr>
          <w:rFonts w:hint="eastAsia" w:ascii="仿宋" w:hAnsi="仿宋" w:eastAsia="仿宋"/>
          <w:b/>
          <w:sz w:val="32"/>
          <w:szCs w:val="32"/>
        </w:rPr>
        <w:t>七、“三公”经费财政拨款支出决算情况说明</w:t>
      </w:r>
      <w:bookmarkEnd w:id="36"/>
      <w:bookmarkEnd w:id="37"/>
    </w:p>
    <w:p>
      <w:pPr>
        <w:spacing w:line="600" w:lineRule="exact"/>
        <w:ind w:firstLine="600" w:firstLineChars="200"/>
        <w:rPr>
          <w:rFonts w:ascii="仿宋_GB2312" w:hAnsi="仿宋_GB2312" w:eastAsia="仿宋_GB2312" w:cs="仿宋_GB2312"/>
          <w:color w:val="000000"/>
          <w:sz w:val="30"/>
          <w:szCs w:val="30"/>
        </w:rPr>
      </w:pPr>
      <w:bookmarkStart w:id="38" w:name="_Toc15377216"/>
      <w:r>
        <w:rPr>
          <w:rFonts w:hint="eastAsia" w:ascii="仿宋_GB2312" w:hAnsi="仿宋_GB2312" w:eastAsia="仿宋_GB2312" w:cs="仿宋_GB2312"/>
          <w:color w:val="000000"/>
          <w:sz w:val="30"/>
          <w:szCs w:val="30"/>
        </w:rPr>
        <w:t>（一）“三公”经费财政拨款支出决算总体情况说明</w:t>
      </w:r>
      <w:bookmarkEnd w:id="38"/>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2021年“三公”经费财政拨款支出决算为0.8万元，完成预算100%，决算数与预算数持平，严格控制公务接待压减公务支出。</w:t>
      </w:r>
    </w:p>
    <w:p>
      <w:pPr>
        <w:spacing w:line="600" w:lineRule="exact"/>
        <w:ind w:firstLine="600" w:firstLineChars="200"/>
        <w:rPr>
          <w:rFonts w:ascii="仿宋_GB2312" w:hAnsi="仿宋_GB2312" w:eastAsia="仿宋_GB2312" w:cs="仿宋_GB2312"/>
          <w:color w:val="000000"/>
          <w:sz w:val="30"/>
          <w:szCs w:val="30"/>
        </w:rPr>
      </w:pPr>
      <w:bookmarkStart w:id="39" w:name="_Toc15377217"/>
      <w:r>
        <w:rPr>
          <w:rFonts w:hint="eastAsia" w:ascii="仿宋_GB2312" w:hAnsi="仿宋_GB2312" w:eastAsia="仿宋_GB2312" w:cs="仿宋_GB2312"/>
          <w:color w:val="000000"/>
          <w:sz w:val="30"/>
          <w:szCs w:val="30"/>
        </w:rPr>
        <w:t>（二）“三公”经费财政拨款支出决算具体情况说明</w:t>
      </w:r>
      <w:bookmarkEnd w:id="39"/>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2021年“三公”经费财政拨款支出决算中，公务接待费支出决算0.8万元，占100%。具体情况如下：</w:t>
      </w:r>
    </w:p>
    <w:p>
      <w:pPr>
        <w:pStyle w:val="6"/>
        <w:rPr>
          <w:rFonts w:ascii="仿宋_GB2312" w:hAnsi="仿宋_GB2312" w:cs="仿宋_GB2312"/>
          <w:color w:val="000000"/>
          <w:sz w:val="30"/>
          <w:szCs w:val="30"/>
        </w:rPr>
      </w:pPr>
    </w:p>
    <w:p>
      <w:pPr>
        <w:jc w:val="center"/>
      </w:pPr>
      <w:r>
        <w:rPr>
          <w:rFonts w:hint="eastAsia" w:ascii="仿宋_GB2312" w:hAnsi="仿宋_GB2312" w:eastAsia="仿宋_GB2312" w:cs="仿宋_GB2312"/>
          <w:color w:val="000000"/>
          <w:sz w:val="30"/>
          <w:szCs w:val="30"/>
        </w:rPr>
        <w:drawing>
          <wp:inline distT="0" distB="0" distL="114300" distR="114300">
            <wp:extent cx="4919980" cy="2464435"/>
            <wp:effectExtent l="0" t="0" r="13970" b="12065"/>
            <wp:docPr id="5" name="图片 5"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片2"/>
                    <pic:cNvPicPr>
                      <a:picLocks noChangeAspect="1"/>
                    </pic:cNvPicPr>
                  </pic:nvPicPr>
                  <pic:blipFill>
                    <a:blip r:embed="rId15"/>
                    <a:srcRect r="14349" b="2902"/>
                    <a:stretch>
                      <a:fillRect/>
                    </a:stretch>
                  </pic:blipFill>
                  <pic:spPr>
                    <a:xfrm>
                      <a:off x="0" y="0"/>
                      <a:ext cx="4919980" cy="2464435"/>
                    </a:xfrm>
                    <a:prstGeom prst="rect">
                      <a:avLst/>
                    </a:prstGeom>
                    <a:noFill/>
                    <a:ln>
                      <a:noFill/>
                    </a:ln>
                  </pic:spPr>
                </pic:pic>
              </a:graphicData>
            </a:graphic>
          </wp:inline>
        </w:drawing>
      </w:r>
    </w:p>
    <w:p>
      <w:pPr>
        <w:spacing w:line="600" w:lineRule="exact"/>
        <w:jc w:val="center"/>
        <w:rPr>
          <w:rFonts w:ascii="仿宋_GB2312" w:hAnsi="仿宋_GB2312" w:eastAsia="仿宋_GB2312" w:cs="仿宋_GB2312"/>
          <w:b/>
          <w:bCs/>
          <w:color w:val="000000"/>
          <w:sz w:val="30"/>
          <w:szCs w:val="30"/>
        </w:rPr>
      </w:pPr>
      <w:r>
        <w:rPr>
          <w:rFonts w:hint="eastAsia" w:ascii="仿宋_GB2312" w:hAnsi="仿宋_GB2312" w:eastAsia="仿宋_GB2312" w:cs="仿宋_GB2312"/>
          <w:b/>
          <w:bCs/>
          <w:color w:val="000000"/>
          <w:sz w:val="30"/>
          <w:szCs w:val="30"/>
        </w:rPr>
        <w:t>（图7：“三公”经费财政拨款支出结构）（饼状图）</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1.因公出国（境）经费支出0万元，完成预算0%。全年安排因公出国（境）团组0次，出国（境）0人。因公出国（境）支出决算比2020年无变化。</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2.公务用车购置及运行维护费支出0万元,完成预算0%。</w:t>
      </w:r>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3.公务接待费支出0.8万元，完成预算100%。公务接待费支出决算与2020年无变化，</w:t>
      </w:r>
      <w:r>
        <w:rPr>
          <w:rFonts w:hint="eastAsia" w:ascii="仿宋_GB2312" w:eastAsia="仿宋_GB2312"/>
          <w:sz w:val="32"/>
          <w:szCs w:val="32"/>
        </w:rPr>
        <w:t>接待5批次，45人，共计支出0.8万元，主要用于接待巴中市平昌县文化馆0.148万元、苍溪县音乐家协会0.23万元、朝天区文化馆0.21万元、中共四川省委宣传部考察考调我馆王思然0.012万元、广元市文化馆0.2万元，</w:t>
      </w:r>
      <w:r>
        <w:rPr>
          <w:rFonts w:hint="eastAsia" w:ascii="仿宋_GB2312" w:hAnsi="仿宋_GB2312" w:eastAsia="仿宋_GB2312" w:cs="仿宋_GB2312"/>
          <w:color w:val="000000"/>
          <w:sz w:val="30"/>
          <w:szCs w:val="30"/>
        </w:rPr>
        <w:t>接下来我单位严格控制公务接待活动，压减公务支出。</w:t>
      </w:r>
      <w:bookmarkStart w:id="40" w:name="_Toc15377218"/>
      <w:bookmarkStart w:id="41" w:name="_Toc15396610"/>
    </w:p>
    <w:p>
      <w:pPr>
        <w:spacing w:line="600" w:lineRule="exact"/>
        <w:ind w:firstLine="640"/>
        <w:outlineLvl w:val="1"/>
        <w:rPr>
          <w:rStyle w:val="26"/>
          <w:rFonts w:ascii="黑体" w:hAnsi="黑体" w:eastAsia="黑体"/>
        </w:rPr>
      </w:pPr>
      <w:r>
        <w:rPr>
          <w:rFonts w:hint="eastAsia" w:ascii="黑体" w:eastAsia="黑体"/>
          <w:sz w:val="32"/>
          <w:szCs w:val="32"/>
        </w:rPr>
        <w:t>八、</w:t>
      </w:r>
      <w:r>
        <w:rPr>
          <w:rStyle w:val="26"/>
          <w:rFonts w:hint="eastAsia" w:ascii="黑体" w:hAnsi="黑体" w:eastAsia="黑体"/>
          <w:b w:val="0"/>
        </w:rPr>
        <w:t>政府性基金预算支出决算情况说明</w:t>
      </w:r>
      <w:bookmarkEnd w:id="40"/>
      <w:bookmarkEnd w:id="41"/>
    </w:p>
    <w:p>
      <w:pPr>
        <w:spacing w:line="600" w:lineRule="exact"/>
        <w:ind w:firstLine="600" w:firstLineChars="200"/>
        <w:rPr>
          <w:rFonts w:ascii="仿宋_GB2312" w:eastAsia="仿宋_GB2312"/>
          <w:sz w:val="32"/>
          <w:szCs w:val="32"/>
        </w:rPr>
      </w:pPr>
      <w:r>
        <w:rPr>
          <w:rFonts w:hint="eastAsia" w:ascii="仿宋_GB2312" w:hAnsi="仿宋_GB2312" w:eastAsia="仿宋_GB2312" w:cs="仿宋_GB2312"/>
          <w:color w:val="000000"/>
          <w:sz w:val="30"/>
          <w:szCs w:val="30"/>
        </w:rPr>
        <w:t>2021年政府性基金预算财政拨款支出0万元。</w:t>
      </w:r>
    </w:p>
    <w:p>
      <w:pPr>
        <w:numPr>
          <w:ilvl w:val="0"/>
          <w:numId w:val="2"/>
        </w:numPr>
        <w:spacing w:line="600" w:lineRule="exact"/>
        <w:ind w:firstLine="640"/>
        <w:outlineLvl w:val="1"/>
        <w:rPr>
          <w:rStyle w:val="26"/>
          <w:rFonts w:ascii="黑体" w:hAnsi="黑体" w:eastAsia="黑体"/>
          <w:b w:val="0"/>
        </w:rPr>
      </w:pPr>
      <w:bookmarkStart w:id="42" w:name="_Toc15396611"/>
      <w:bookmarkStart w:id="43" w:name="_Toc15377219"/>
      <w:r>
        <w:rPr>
          <w:rStyle w:val="26"/>
          <w:rFonts w:hint="eastAsia" w:ascii="黑体" w:hAnsi="黑体" w:eastAsia="黑体"/>
          <w:b w:val="0"/>
        </w:rPr>
        <w:t>国有资本经营预算支出决算情况说明</w:t>
      </w:r>
      <w:bookmarkEnd w:id="42"/>
      <w:bookmarkEnd w:id="43"/>
    </w:p>
    <w:p>
      <w:pPr>
        <w:spacing w:line="600" w:lineRule="exact"/>
        <w:ind w:firstLine="600" w:firstLineChars="200"/>
        <w:rPr>
          <w:rFonts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2021年国有资本经营预算财政拨款支出0万元。</w:t>
      </w:r>
    </w:p>
    <w:p>
      <w:pPr>
        <w:numPr>
          <w:ilvl w:val="0"/>
          <w:numId w:val="2"/>
        </w:numPr>
        <w:spacing w:line="600" w:lineRule="exact"/>
        <w:ind w:firstLine="640"/>
        <w:outlineLvl w:val="1"/>
        <w:rPr>
          <w:rStyle w:val="26"/>
          <w:rFonts w:ascii="黑体" w:hAnsi="黑体" w:eastAsia="黑体"/>
          <w:b w:val="0"/>
        </w:rPr>
      </w:pPr>
      <w:bookmarkStart w:id="44" w:name="_Toc15377221"/>
      <w:bookmarkStart w:id="45" w:name="_Toc15396612"/>
      <w:r>
        <w:rPr>
          <w:rStyle w:val="26"/>
          <w:rFonts w:hint="eastAsia" w:ascii="黑体" w:hAnsi="黑体" w:eastAsia="黑体"/>
          <w:b w:val="0"/>
        </w:rPr>
        <w:t>预算绩效管理情况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单位在2021年度预算编制阶段，组织对三馆免费开放项目、党建项目等2个项目开展了预算事前绩效评估，对4个项目编制了绩效目标，预算执行过程中，选取3个项目开展绩效监控，年终执行完毕后，对2个项目开展了绩效自评，2021年部门预算项目绩效目标自评表见附件（第四部分）。</w:t>
      </w:r>
    </w:p>
    <w:p>
      <w:pPr>
        <w:numPr>
          <w:ilvl w:val="0"/>
          <w:numId w:val="2"/>
        </w:numPr>
        <w:spacing w:line="600" w:lineRule="exact"/>
        <w:ind w:firstLine="640"/>
        <w:outlineLvl w:val="1"/>
        <w:rPr>
          <w:rStyle w:val="26"/>
          <w:rFonts w:ascii="黑体" w:hAnsi="黑体" w:eastAsia="黑体"/>
          <w:b w:val="0"/>
        </w:rPr>
      </w:pPr>
      <w:r>
        <w:rPr>
          <w:rStyle w:val="26"/>
          <w:rFonts w:hint="eastAsia" w:ascii="黑体" w:hAnsi="黑体" w:eastAsia="黑体"/>
          <w:b w:val="0"/>
        </w:rPr>
        <w:t>其他重要事项的情况说明</w:t>
      </w:r>
      <w:bookmarkEnd w:id="44"/>
      <w:bookmarkEnd w:id="45"/>
    </w:p>
    <w:p>
      <w:pPr>
        <w:spacing w:line="600" w:lineRule="exact"/>
        <w:ind w:firstLine="643" w:firstLineChars="200"/>
        <w:outlineLvl w:val="2"/>
        <w:rPr>
          <w:rFonts w:ascii="仿宋" w:hAnsi="仿宋" w:eastAsia="仿宋"/>
          <w:sz w:val="32"/>
          <w:szCs w:val="32"/>
        </w:rPr>
      </w:pPr>
      <w:bookmarkStart w:id="46" w:name="_Toc15377222"/>
      <w:r>
        <w:rPr>
          <w:rFonts w:hint="eastAsia" w:ascii="仿宋" w:hAnsi="仿宋" w:eastAsia="仿宋"/>
          <w:b/>
          <w:sz w:val="32"/>
          <w:szCs w:val="32"/>
        </w:rPr>
        <w:t>（一）机关运行经费支出情况</w:t>
      </w:r>
      <w:bookmarkEnd w:id="46"/>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2021年，旺苍县文化馆属公益一类事业单位，无机关运行经费支出。</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47" w:name="_Toc15377223"/>
      <w:r>
        <w:rPr>
          <w:rFonts w:hint="eastAsia" w:ascii="仿宋" w:hAnsi="仿宋" w:eastAsia="仿宋"/>
          <w:b/>
          <w:sz w:val="32"/>
          <w:szCs w:val="32"/>
        </w:rPr>
        <w:t>（二）政府采购支出情况</w:t>
      </w:r>
      <w:bookmarkEnd w:id="47"/>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21年，旺苍县文化馆政府采购支出总额0万元。</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48" w:name="_Toc15377224"/>
      <w:r>
        <w:rPr>
          <w:rFonts w:hint="eastAsia" w:ascii="仿宋" w:hAnsi="仿宋" w:eastAsia="仿宋"/>
          <w:b/>
          <w:sz w:val="32"/>
          <w:szCs w:val="32"/>
        </w:rPr>
        <w:t>（三）国有资产占有使用情况</w:t>
      </w:r>
      <w:bookmarkEnd w:id="48"/>
    </w:p>
    <w:p>
      <w:pPr>
        <w:autoSpaceDE w:val="0"/>
        <w:autoSpaceDN w:val="0"/>
        <w:adjustRightInd w:val="0"/>
        <w:spacing w:line="600" w:lineRule="exact"/>
        <w:ind w:firstLine="640" w:firstLineChars="200"/>
        <w:jc w:val="left"/>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日，旺苍县文化馆共有车辆0辆。</w:t>
      </w:r>
    </w:p>
    <w:p>
      <w:pPr>
        <w:pStyle w:val="2"/>
        <w:spacing w:before="93"/>
      </w:pPr>
    </w:p>
    <w:p>
      <w:pPr>
        <w:pStyle w:val="2"/>
        <w:spacing w:before="93"/>
      </w:pPr>
    </w:p>
    <w:p>
      <w:pPr>
        <w:pStyle w:val="2"/>
        <w:spacing w:before="93"/>
      </w:pPr>
    </w:p>
    <w:p>
      <w:pPr>
        <w:pStyle w:val="2"/>
        <w:spacing w:before="93"/>
      </w:pPr>
    </w:p>
    <w:p>
      <w:pPr>
        <w:pStyle w:val="2"/>
        <w:spacing w:before="93"/>
      </w:pPr>
    </w:p>
    <w:p>
      <w:pPr>
        <w:pStyle w:val="2"/>
        <w:spacing w:before="93"/>
      </w:pPr>
    </w:p>
    <w:p>
      <w:pPr>
        <w:pStyle w:val="2"/>
        <w:spacing w:before="93"/>
      </w:pPr>
    </w:p>
    <w:p>
      <w:pPr>
        <w:numPr>
          <w:ilvl w:val="0"/>
          <w:numId w:val="3"/>
        </w:numPr>
        <w:spacing w:line="600" w:lineRule="exact"/>
        <w:ind w:firstLine="660" w:firstLineChars="150"/>
        <w:jc w:val="center"/>
        <w:outlineLvl w:val="0"/>
        <w:rPr>
          <w:rFonts w:ascii="宋体"/>
          <w:b/>
          <w:sz w:val="44"/>
          <w:szCs w:val="44"/>
        </w:rPr>
      </w:pPr>
      <w:bookmarkStart w:id="49" w:name="_Toc15396613"/>
      <w:bookmarkStart w:id="50" w:name="_Toc15377225"/>
      <w:r>
        <w:rPr>
          <w:rFonts w:hint="eastAsia" w:ascii="黑体" w:hAnsi="黑体" w:eastAsia="黑体"/>
          <w:sz w:val="44"/>
          <w:szCs w:val="44"/>
        </w:rPr>
        <w:t>名</w:t>
      </w:r>
      <w:r>
        <w:rPr>
          <w:rStyle w:val="25"/>
          <w:rFonts w:hint="eastAsia" w:ascii="黑体" w:hAnsi="黑体" w:eastAsia="黑体"/>
          <w:b w:val="0"/>
        </w:rPr>
        <w:t>词解释</w:t>
      </w:r>
      <w:bookmarkEnd w:id="49"/>
      <w:bookmarkEnd w:id="50"/>
    </w:p>
    <w:p>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1.</w:t>
      </w:r>
      <w:r>
        <w:rPr>
          <w:rFonts w:hint="eastAsia" w:ascii="仿宋_GB2312" w:eastAsia="仿宋_GB2312"/>
          <w:color w:val="auto"/>
          <w:sz w:val="32"/>
          <w:szCs w:val="32"/>
        </w:rPr>
        <w:t>财政拨款收入：指单位从同级财政部门取得的财政预算资金。</w:t>
      </w:r>
    </w:p>
    <w:p>
      <w:pPr>
        <w:pStyle w:val="23"/>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2</w:t>
      </w:r>
      <w:r>
        <w:rPr>
          <w:rFonts w:ascii="仿宋_GB2312" w:eastAsia="仿宋_GB2312"/>
          <w:color w:val="auto"/>
          <w:sz w:val="32"/>
          <w:szCs w:val="32"/>
        </w:rPr>
        <w:t>.</w:t>
      </w:r>
      <w:r>
        <w:rPr>
          <w:rFonts w:hint="eastAsia" w:ascii="仿宋_GB2312" w:eastAsia="仿宋_GB2312"/>
          <w:color w:val="auto"/>
          <w:sz w:val="32"/>
          <w:szCs w:val="32"/>
        </w:rPr>
        <w:t>年初结转和结余：指以前年度尚未完成、结转到本年按有关规定继续使用的资金。</w:t>
      </w:r>
      <w:r>
        <w:rPr>
          <w:rFonts w:ascii="仿宋_GB2312" w:eastAsia="仿宋_GB2312"/>
          <w:color w:val="auto"/>
          <w:sz w:val="32"/>
          <w:szCs w:val="32"/>
        </w:rPr>
        <w:t xml:space="preserve"> </w:t>
      </w:r>
    </w:p>
    <w:p>
      <w:pPr>
        <w:pStyle w:val="23"/>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3、年末结转和结余：指单位按有关规定结转到下年或以后年度继续使用的资金。</w:t>
      </w:r>
    </w:p>
    <w:p>
      <w:pPr>
        <w:pStyle w:val="6"/>
        <w:spacing w:line="556" w:lineRule="exact"/>
        <w:ind w:firstLine="632" w:firstLineChars="200"/>
        <w:rPr>
          <w:rFonts w:ascii="仿宋_GB2312"/>
          <w:szCs w:val="32"/>
        </w:rPr>
      </w:pPr>
      <w:r>
        <w:rPr>
          <w:rFonts w:hint="eastAsia" w:ascii="仿宋_GB2312"/>
          <w:szCs w:val="32"/>
        </w:rPr>
        <w:t>4.文化体育与传媒（类）文化和旅游（款）群众文化（项）：指在职人员工资、津贴和公业务费支出。</w:t>
      </w:r>
    </w:p>
    <w:p>
      <w:pPr>
        <w:spacing w:line="576" w:lineRule="exact"/>
        <w:ind w:firstLine="632" w:firstLineChars="200"/>
        <w:rPr>
          <w:rFonts w:ascii="仿宋_GB2312" w:eastAsia="仿宋_GB2312"/>
          <w:spacing w:val="-2"/>
          <w:sz w:val="32"/>
          <w:szCs w:val="32"/>
        </w:rPr>
      </w:pPr>
      <w:r>
        <w:rPr>
          <w:rFonts w:hint="eastAsia" w:ascii="仿宋_GB2312" w:eastAsia="仿宋_GB2312"/>
          <w:spacing w:val="-2"/>
          <w:sz w:val="32"/>
          <w:szCs w:val="32"/>
        </w:rPr>
        <w:t>5.社会保障和就业（类）行政事业单位离退休（款）机关事业单位职业年金缴费支出（项）：指人员职业年金缴费支出。</w:t>
      </w:r>
    </w:p>
    <w:p>
      <w:pPr>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w:t>
      </w:r>
      <w:r>
        <w:rPr>
          <w:rFonts w:hint="eastAsia" w:ascii="仿宋_GB2312" w:eastAsia="仿宋_GB2312"/>
          <w:spacing w:val="-2"/>
          <w:sz w:val="32"/>
          <w:szCs w:val="32"/>
        </w:rPr>
        <w:t>医疗卫生与计划生育（类）行政事业单位医疗（款）事业单位医疗（项）：指事业人员医疗保险缴费单位支出部分。</w:t>
      </w:r>
    </w:p>
    <w:p>
      <w:pPr>
        <w:ind w:firstLine="632" w:firstLineChars="200"/>
        <w:rPr>
          <w:rFonts w:ascii="仿宋_GB2312" w:eastAsia="仿宋_GB2312"/>
          <w:spacing w:val="-2"/>
          <w:sz w:val="32"/>
          <w:szCs w:val="32"/>
        </w:rPr>
      </w:pPr>
      <w:r>
        <w:rPr>
          <w:rFonts w:hint="eastAsia" w:ascii="仿宋_GB2312" w:eastAsia="仿宋_GB2312"/>
          <w:spacing w:val="-2"/>
          <w:sz w:val="32"/>
          <w:szCs w:val="32"/>
        </w:rPr>
        <w:t>7.住房保障（类）住房改革支出（款）住房公积金（项）：指住房公积金缴费单位支出部分。</w:t>
      </w:r>
    </w:p>
    <w:p>
      <w:pPr>
        <w:ind w:firstLine="640" w:firstLineChars="200"/>
        <w:rPr>
          <w:rFonts w:ascii="仿宋_GB2312" w:eastAsia="仿宋_GB2312"/>
          <w:sz w:val="32"/>
          <w:szCs w:val="32"/>
        </w:rPr>
      </w:pPr>
      <w:r>
        <w:rPr>
          <w:rFonts w:hint="eastAsia" w:ascii="仿宋_GB2312" w:eastAsia="仿宋_GB2312"/>
          <w:sz w:val="32"/>
          <w:szCs w:val="32"/>
        </w:rPr>
        <w:t>8</w:t>
      </w:r>
      <w:r>
        <w:rPr>
          <w:rFonts w:ascii="仿宋_GB2312" w:eastAsia="仿宋_GB2312"/>
          <w:sz w:val="32"/>
          <w:szCs w:val="32"/>
        </w:rPr>
        <w:t>.</w:t>
      </w:r>
      <w:r>
        <w:rPr>
          <w:rFonts w:hint="eastAsia" w:ascii="仿宋_GB2312" w:eastAsia="仿宋_GB2312"/>
          <w:sz w:val="32"/>
          <w:szCs w:val="32"/>
        </w:rPr>
        <w:t>基本支出：指为保障机构正常运转、完成日常工作任务而发生的人员支出和公用支出。</w:t>
      </w:r>
    </w:p>
    <w:p>
      <w:pPr>
        <w:ind w:firstLine="640" w:firstLineChars="200"/>
        <w:rPr>
          <w:rFonts w:ascii="仿宋_GB2312" w:eastAsia="仿宋_GB2312"/>
          <w:sz w:val="32"/>
          <w:szCs w:val="32"/>
        </w:rPr>
      </w:pPr>
      <w:r>
        <w:rPr>
          <w:rFonts w:hint="eastAsia" w:ascii="仿宋_GB2312" w:eastAsia="仿宋_GB2312"/>
          <w:sz w:val="32"/>
          <w:szCs w:val="32"/>
        </w:rPr>
        <w:t>9</w:t>
      </w:r>
      <w:r>
        <w:rPr>
          <w:rFonts w:ascii="仿宋_GB2312" w:eastAsia="仿宋_GB2312"/>
          <w:sz w:val="32"/>
          <w:szCs w:val="32"/>
        </w:rPr>
        <w:t>.</w:t>
      </w:r>
      <w:r>
        <w:rPr>
          <w:rFonts w:hint="eastAsia" w:ascii="仿宋_GB2312" w:eastAsia="仿宋_GB2312"/>
          <w:sz w:val="32"/>
          <w:szCs w:val="32"/>
        </w:rPr>
        <w:t>项目支出：指在基本支出之外为完成特定行政任务和事业发展目标所发生的支出。</w:t>
      </w:r>
      <w:r>
        <w:rPr>
          <w:rFonts w:ascii="仿宋_GB2312" w:eastAsia="仿宋_GB2312"/>
          <w:sz w:val="32"/>
          <w:szCs w:val="32"/>
        </w:rPr>
        <w:t xml:space="preserve"> </w:t>
      </w:r>
    </w:p>
    <w:p>
      <w:pPr>
        <w:pStyle w:val="23"/>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10</w:t>
      </w:r>
      <w:r>
        <w:rPr>
          <w:rFonts w:ascii="仿宋_GB2312" w:eastAsia="仿宋_GB2312"/>
          <w:color w:val="auto"/>
          <w:sz w:val="32"/>
          <w:szCs w:val="32"/>
        </w:rPr>
        <w:t>.</w:t>
      </w:r>
      <w:r>
        <w:rPr>
          <w:rFonts w:hint="eastAsia" w:ascii="仿宋_GB2312" w:eastAsia="仿宋_GB2312"/>
          <w:color w:val="auto"/>
          <w:sz w:val="32"/>
          <w:szCs w:val="32"/>
        </w:rPr>
        <w:t>“三公”经费：指单位用财政拨款安排的公务接待费。其中，公务接待费反映单位按规定开支的各类公务接待支出。</w:t>
      </w:r>
    </w:p>
    <w:p>
      <w:pPr>
        <w:pStyle w:val="23"/>
        <w:spacing w:line="560" w:lineRule="exact"/>
        <w:ind w:firstLine="640" w:firstLineChars="200"/>
        <w:rPr>
          <w:rFonts w:ascii="黑体" w:hAnsi="黑体" w:eastAsia="黑体"/>
          <w:color w:val="auto"/>
          <w:sz w:val="44"/>
          <w:szCs w:val="44"/>
        </w:rPr>
      </w:pPr>
      <w:r>
        <w:rPr>
          <w:rFonts w:hint="eastAsia" w:ascii="仿宋_GB2312" w:eastAsia="仿宋_GB2312"/>
          <w:color w:val="auto"/>
          <w:sz w:val="32"/>
          <w:szCs w:val="32"/>
        </w:rPr>
        <w:t>11</w:t>
      </w:r>
      <w:r>
        <w:rPr>
          <w:rFonts w:ascii="仿宋_GB2312" w:eastAsia="仿宋_GB2312"/>
          <w:color w:val="auto"/>
          <w:sz w:val="32"/>
          <w:szCs w:val="32"/>
        </w:rPr>
        <w:t>.</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机关运行经费：为保障行政单位（含参照公务员法管理的事业单位）运行用于购买货物和服务的各项资金，包括办公及印刷费、邮电费、差旅费、福利费、日常维修费。</w:t>
      </w:r>
      <w:bookmarkStart w:id="51" w:name="_Toc15396614"/>
      <w:bookmarkStart w:id="52" w:name="_Toc15377226"/>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jc w:val="center"/>
        <w:rPr>
          <w:rFonts w:ascii="黑体" w:hAnsi="黑体" w:eastAsia="黑体"/>
          <w:sz w:val="44"/>
          <w:szCs w:val="44"/>
        </w:rPr>
      </w:pPr>
    </w:p>
    <w:p>
      <w:pPr>
        <w:rPr>
          <w:rFonts w:ascii="黑体" w:hAnsi="黑体" w:eastAsia="黑体"/>
          <w:sz w:val="44"/>
          <w:szCs w:val="44"/>
        </w:rPr>
      </w:pPr>
    </w:p>
    <w:p>
      <w:pPr>
        <w:jc w:val="center"/>
        <w:rPr>
          <w:rStyle w:val="25"/>
          <w:rFonts w:ascii="黑体" w:hAnsi="黑体" w:eastAsia="黑体"/>
          <w:b w:val="0"/>
        </w:rPr>
      </w:pPr>
      <w:r>
        <w:rPr>
          <w:rFonts w:hint="eastAsia" w:ascii="黑体" w:hAnsi="黑体" w:eastAsia="黑体"/>
          <w:sz w:val="44"/>
          <w:szCs w:val="44"/>
        </w:rPr>
        <w:t>第</w:t>
      </w:r>
      <w:r>
        <w:rPr>
          <w:rStyle w:val="25"/>
          <w:rFonts w:hint="eastAsia" w:ascii="黑体" w:hAnsi="黑体" w:eastAsia="黑体"/>
          <w:b w:val="0"/>
        </w:rPr>
        <w:t>四部分 附件</w:t>
      </w:r>
      <w:bookmarkEnd w:id="51"/>
    </w:p>
    <w:p>
      <w:pPr>
        <w:spacing w:line="572" w:lineRule="exact"/>
        <w:jc w:val="left"/>
        <w:outlineLvl w:val="0"/>
        <w:rPr>
          <w:rFonts w:ascii="仿宋_GB2312" w:hAnsi="仿宋_GB2312" w:eastAsia="黑体" w:cs="仿宋_GB2312"/>
          <w:sz w:val="32"/>
          <w:szCs w:val="32"/>
        </w:rPr>
      </w:pPr>
      <w:r>
        <w:rPr>
          <w:rFonts w:hint="eastAsia" w:ascii="黑体" w:hAnsi="黑体" w:eastAsia="黑体" w:cs="黑体"/>
          <w:sz w:val="32"/>
          <w:szCs w:val="32"/>
        </w:rPr>
        <w:t>附件</w:t>
      </w:r>
    </w:p>
    <w:tbl>
      <w:tblPr>
        <w:tblStyle w:val="13"/>
        <w:tblpPr w:leftFromText="180" w:rightFromText="180" w:vertAnchor="text" w:horzAnchor="page" w:tblpX="1281" w:tblpY="660"/>
        <w:tblOverlap w:val="never"/>
        <w:tblW w:w="9811" w:type="dxa"/>
        <w:tblInd w:w="0" w:type="dxa"/>
        <w:tblLayout w:type="fixed"/>
        <w:tblCellMar>
          <w:top w:w="0" w:type="dxa"/>
          <w:left w:w="108" w:type="dxa"/>
          <w:bottom w:w="0" w:type="dxa"/>
          <w:right w:w="108" w:type="dxa"/>
        </w:tblCellMar>
      </w:tblPr>
      <w:tblGrid>
        <w:gridCol w:w="1976"/>
        <w:gridCol w:w="1142"/>
        <w:gridCol w:w="1635"/>
        <w:gridCol w:w="1189"/>
        <w:gridCol w:w="1224"/>
        <w:gridCol w:w="2409"/>
        <w:gridCol w:w="236"/>
      </w:tblGrid>
      <w:tr>
        <w:tblPrEx>
          <w:tblCellMar>
            <w:top w:w="0" w:type="dxa"/>
            <w:left w:w="108" w:type="dxa"/>
            <w:bottom w:w="0" w:type="dxa"/>
            <w:right w:w="108" w:type="dxa"/>
          </w:tblCellMar>
        </w:tblPrEx>
        <w:trPr>
          <w:trHeight w:val="675" w:hRule="atLeast"/>
        </w:trPr>
        <w:tc>
          <w:tcPr>
            <w:tcW w:w="9577" w:type="dxa"/>
            <w:gridSpan w:val="6"/>
            <w:tcBorders>
              <w:top w:val="nil"/>
              <w:left w:val="nil"/>
              <w:bottom w:val="nil"/>
              <w:right w:val="nil"/>
            </w:tcBorders>
            <w:shd w:val="clear" w:color="auto" w:fill="auto"/>
            <w:vAlign w:val="center"/>
          </w:tcPr>
          <w:p>
            <w:pPr>
              <w:widowControl/>
              <w:jc w:val="center"/>
              <w:textAlignment w:val="center"/>
              <w:rPr>
                <w:rFonts w:ascii="宋体" w:hAnsi="宋体" w:cs="宋体"/>
                <w:b/>
                <w:sz w:val="32"/>
                <w:szCs w:val="32"/>
              </w:rPr>
            </w:pPr>
            <w:bookmarkStart w:id="53" w:name="_Toc15396618"/>
            <w:r>
              <w:rPr>
                <w:rFonts w:hint="eastAsia" w:ascii="宋体" w:hAnsi="宋体" w:cs="宋体"/>
                <w:b/>
                <w:sz w:val="32"/>
                <w:szCs w:val="32"/>
                <w:highlight w:val="yellow"/>
              </w:rPr>
              <w:t>2021年部门预算项目绩效目标自评</w:t>
            </w:r>
          </w:p>
        </w:tc>
        <w:tc>
          <w:tcPr>
            <w:tcW w:w="234"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rPr>
            </w:pPr>
          </w:p>
        </w:tc>
      </w:tr>
      <w:tr>
        <w:tblPrEx>
          <w:tblCellMar>
            <w:top w:w="0" w:type="dxa"/>
            <w:left w:w="108" w:type="dxa"/>
            <w:bottom w:w="0" w:type="dxa"/>
            <w:right w:w="108" w:type="dxa"/>
          </w:tblCellMar>
        </w:tblPrEx>
        <w:trPr>
          <w:gridAfter w:val="1"/>
          <w:wAfter w:w="234" w:type="dxa"/>
          <w:trHeight w:val="254" w:hRule="atLeast"/>
        </w:trPr>
        <w:tc>
          <w:tcPr>
            <w:tcW w:w="3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ascii="宋体" w:hAnsi="宋体" w:cs="宋体"/>
                <w:sz w:val="24"/>
              </w:rPr>
            </w:pPr>
            <w:r>
              <w:rPr>
                <w:rFonts w:hint="eastAsia" w:ascii="宋体" w:hAnsi="宋体" w:cs="宋体"/>
                <w:sz w:val="24"/>
              </w:rPr>
              <w:t>旺苍县文化旅游和体育局112</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实施单位</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旺苍县文化馆</w:t>
            </w:r>
          </w:p>
        </w:tc>
      </w:tr>
      <w:tr>
        <w:tblPrEx>
          <w:tblCellMar>
            <w:top w:w="0" w:type="dxa"/>
            <w:left w:w="108" w:type="dxa"/>
            <w:bottom w:w="0" w:type="dxa"/>
            <w:right w:w="108" w:type="dxa"/>
          </w:tblCellMar>
        </w:tblPrEx>
        <w:trPr>
          <w:gridAfter w:val="1"/>
          <w:wAfter w:w="234" w:type="dxa"/>
          <w:trHeight w:val="341" w:hRule="atLeast"/>
        </w:trPr>
        <w:tc>
          <w:tcPr>
            <w:tcW w:w="3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项目预算</w:t>
            </w:r>
            <w:r>
              <w:rPr>
                <w:rFonts w:hint="eastAsia" w:ascii="宋体" w:hAnsi="宋体" w:cs="宋体"/>
                <w:kern w:val="0"/>
                <w:sz w:val="24"/>
              </w:rPr>
              <w:br w:type="textWrapping"/>
            </w:r>
            <w:r>
              <w:rPr>
                <w:rFonts w:hint="eastAsia" w:ascii="宋体" w:hAnsi="宋体" w:cs="宋体"/>
                <w:kern w:val="0"/>
                <w:sz w:val="24"/>
              </w:rPr>
              <w:t>执行情况</w:t>
            </w:r>
            <w:r>
              <w:rPr>
                <w:rFonts w:hint="eastAsia" w:ascii="宋体" w:hAnsi="宋体" w:cs="宋体"/>
                <w:kern w:val="0"/>
                <w:sz w:val="24"/>
              </w:rPr>
              <w:br w:type="textWrapping"/>
            </w:r>
            <w:r>
              <w:rPr>
                <w:rFonts w:hint="eastAsia" w:ascii="宋体" w:hAnsi="宋体" w:cs="宋体"/>
                <w:kern w:val="0"/>
                <w:sz w:val="24"/>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sz w:val="24"/>
              </w:rPr>
              <w:t>20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执行数：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right"/>
              <w:textAlignment w:val="center"/>
              <w:rPr>
                <w:rFonts w:ascii="宋体" w:hAnsi="宋体" w:cs="宋体"/>
                <w:sz w:val="24"/>
              </w:rPr>
            </w:pPr>
            <w:r>
              <w:rPr>
                <w:rFonts w:hint="eastAsia" w:ascii="宋体" w:hAnsi="宋体" w:cs="宋体"/>
                <w:sz w:val="24"/>
              </w:rPr>
              <w:t>20</w:t>
            </w:r>
          </w:p>
        </w:tc>
      </w:tr>
      <w:tr>
        <w:tblPrEx>
          <w:tblCellMar>
            <w:top w:w="0" w:type="dxa"/>
            <w:left w:w="108" w:type="dxa"/>
            <w:bottom w:w="0" w:type="dxa"/>
            <w:right w:w="108" w:type="dxa"/>
          </w:tblCellMar>
        </w:tblPrEx>
        <w:trPr>
          <w:gridAfter w:val="1"/>
          <w:wAfter w:w="234" w:type="dxa"/>
          <w:trHeight w:val="555"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sz w:val="24"/>
              </w:rPr>
              <w:t>20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ind w:firstLine="1920" w:firstLineChars="800"/>
              <w:textAlignment w:val="center"/>
              <w:rPr>
                <w:rFonts w:ascii="宋体" w:hAnsi="宋体" w:cs="宋体"/>
                <w:sz w:val="24"/>
              </w:rPr>
            </w:pPr>
            <w:r>
              <w:rPr>
                <w:rFonts w:hint="eastAsia" w:ascii="宋体" w:hAnsi="宋体" w:cs="宋体"/>
                <w:sz w:val="24"/>
              </w:rPr>
              <w:t>20</w:t>
            </w:r>
          </w:p>
        </w:tc>
      </w:tr>
      <w:tr>
        <w:tblPrEx>
          <w:tblCellMar>
            <w:top w:w="0" w:type="dxa"/>
            <w:left w:w="108" w:type="dxa"/>
            <w:bottom w:w="0" w:type="dxa"/>
            <w:right w:w="108" w:type="dxa"/>
          </w:tblCellMar>
        </w:tblPrEx>
        <w:trPr>
          <w:gridAfter w:val="1"/>
          <w:wAfter w:w="234" w:type="dxa"/>
          <w:trHeight w:val="341"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4" w:type="dxa"/>
          <w:trHeight w:val="217" w:hRule="atLeast"/>
        </w:trPr>
        <w:tc>
          <w:tcPr>
            <w:tcW w:w="19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rPr>
            </w:pPr>
            <w:r>
              <w:rPr>
                <w:rFonts w:hint="eastAsia" w:ascii="宋体" w:hAnsi="宋体" w:cs="宋体"/>
                <w:kern w:val="0"/>
                <w:sz w:val="24"/>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预期目标</w:t>
            </w:r>
          </w:p>
        </w:tc>
        <w:tc>
          <w:tcPr>
            <w:tcW w:w="36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目标实际完成情况</w:t>
            </w:r>
          </w:p>
        </w:tc>
      </w:tr>
      <w:tr>
        <w:tblPrEx>
          <w:tblCellMar>
            <w:top w:w="0" w:type="dxa"/>
            <w:left w:w="108" w:type="dxa"/>
            <w:bottom w:w="0" w:type="dxa"/>
            <w:right w:w="108" w:type="dxa"/>
          </w:tblCellMar>
        </w:tblPrEx>
        <w:trPr>
          <w:gridAfter w:val="1"/>
          <w:wAfter w:w="234" w:type="dxa"/>
          <w:trHeight w:val="797" w:hRule="atLeast"/>
        </w:trPr>
        <w:tc>
          <w:tcPr>
            <w:tcW w:w="19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24"/>
              </w:rPr>
            </w:pPr>
            <w:r>
              <w:rPr>
                <w:rFonts w:hint="eastAsia" w:ascii="宋体" w:hAnsi="宋体" w:cs="宋体"/>
                <w:sz w:val="24"/>
              </w:rPr>
              <w:t>完成市县下达的民生工程任务，抓好免费开放的各项工作及培训工作。充分发挥专业人才的骨干作用，做好文艺精品生产和文艺创作工作。深度挖掘、打造文艺精品。</w:t>
            </w:r>
          </w:p>
        </w:tc>
        <w:tc>
          <w:tcPr>
            <w:tcW w:w="3634"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24"/>
              </w:rPr>
            </w:pPr>
            <w:r>
              <w:rPr>
                <w:rFonts w:hint="eastAsia" w:ascii="宋体" w:hAnsi="宋体" w:cs="宋体"/>
                <w:sz w:val="24"/>
              </w:rPr>
              <w:t>完成少儿舞蹈培训，广场舞培训、合唱培训，下乡腰鼓培训，场地达到免费开放要求。</w:t>
            </w:r>
          </w:p>
        </w:tc>
      </w:tr>
      <w:tr>
        <w:tblPrEx>
          <w:tblCellMar>
            <w:top w:w="0" w:type="dxa"/>
            <w:left w:w="108" w:type="dxa"/>
            <w:bottom w:w="0" w:type="dxa"/>
            <w:right w:w="108" w:type="dxa"/>
          </w:tblCellMar>
        </w:tblPrEx>
        <w:trPr>
          <w:gridAfter w:val="1"/>
          <w:wAfter w:w="234" w:type="dxa"/>
          <w:trHeight w:val="693" w:hRule="atLeast"/>
        </w:trPr>
        <w:tc>
          <w:tcPr>
            <w:tcW w:w="1977"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预期指标值</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实际完成指标值</w:t>
            </w:r>
          </w:p>
        </w:tc>
      </w:tr>
      <w:tr>
        <w:tblPrEx>
          <w:tblCellMar>
            <w:top w:w="0" w:type="dxa"/>
            <w:left w:w="108" w:type="dxa"/>
            <w:bottom w:w="0" w:type="dxa"/>
            <w:right w:w="108" w:type="dxa"/>
          </w:tblCellMar>
        </w:tblPrEx>
        <w:trPr>
          <w:gridAfter w:val="1"/>
          <w:wAfter w:w="234" w:type="dxa"/>
          <w:trHeight w:val="176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少儿成人广场舞培训，场地小型维修</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培训合格并参加考级</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已完成</w:t>
            </w:r>
          </w:p>
        </w:tc>
      </w:tr>
      <w:tr>
        <w:tblPrEx>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验收合格并考级</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r>
      <w:tr>
        <w:tblPrEx>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完成时间</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2021.12.31</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完成</w:t>
            </w: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全年20万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全部支付</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完成</w:t>
            </w: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效益</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经济效益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促进群众文化活动开展,带动地区经济发展。</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社会效益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丰富培训文化技能提升服务质量</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r>
      <w:tr>
        <w:tblPrEx>
          <w:tblCellMar>
            <w:top w:w="0" w:type="dxa"/>
            <w:left w:w="108" w:type="dxa"/>
            <w:bottom w:w="0" w:type="dxa"/>
            <w:right w:w="108" w:type="dxa"/>
          </w:tblCellMar>
        </w:tblPrEx>
        <w:trPr>
          <w:gridAfter w:val="1"/>
          <w:wAfter w:w="234" w:type="dxa"/>
          <w:trHeight w:val="577"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生态效益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可持续影响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开放时间</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全年</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全年</w:t>
            </w:r>
          </w:p>
        </w:tc>
      </w:tr>
      <w:tr>
        <w:tblPrEx>
          <w:tblCellMar>
            <w:top w:w="0" w:type="dxa"/>
            <w:left w:w="108" w:type="dxa"/>
            <w:bottom w:w="0" w:type="dxa"/>
            <w:right w:w="108" w:type="dxa"/>
          </w:tblCellMar>
        </w:tblPrEx>
        <w:trPr>
          <w:gridAfter w:val="1"/>
          <w:wAfter w:w="234" w:type="dxa"/>
          <w:trHeight w:val="530" w:hRule="atLeast"/>
        </w:trPr>
        <w:tc>
          <w:tcPr>
            <w:tcW w:w="1977"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满意</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让上级部门和群众满意</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≧90%</w:t>
            </w:r>
          </w:p>
        </w:tc>
      </w:tr>
    </w:tbl>
    <w:p>
      <w:pPr>
        <w:rPr>
          <w:rFonts w:ascii="黑体" w:hAnsi="黑体" w:eastAsia="黑体"/>
          <w:sz w:val="44"/>
          <w:szCs w:val="44"/>
        </w:rPr>
      </w:pPr>
    </w:p>
    <w:tbl>
      <w:tblPr>
        <w:tblStyle w:val="13"/>
        <w:tblpPr w:leftFromText="180" w:rightFromText="180" w:vertAnchor="text" w:horzAnchor="page" w:tblpX="1281" w:tblpY="660"/>
        <w:tblOverlap w:val="never"/>
        <w:tblW w:w="9811" w:type="dxa"/>
        <w:tblInd w:w="0" w:type="dxa"/>
        <w:tblLayout w:type="fixed"/>
        <w:tblCellMar>
          <w:top w:w="0" w:type="dxa"/>
          <w:left w:w="108" w:type="dxa"/>
          <w:bottom w:w="0" w:type="dxa"/>
          <w:right w:w="108" w:type="dxa"/>
        </w:tblCellMar>
      </w:tblPr>
      <w:tblGrid>
        <w:gridCol w:w="1976"/>
        <w:gridCol w:w="1142"/>
        <w:gridCol w:w="1492"/>
        <w:gridCol w:w="1420"/>
        <w:gridCol w:w="1136"/>
        <w:gridCol w:w="2409"/>
        <w:gridCol w:w="236"/>
      </w:tblGrid>
      <w:tr>
        <w:tblPrEx>
          <w:tblCellMar>
            <w:top w:w="0" w:type="dxa"/>
            <w:left w:w="108" w:type="dxa"/>
            <w:bottom w:w="0" w:type="dxa"/>
            <w:right w:w="108" w:type="dxa"/>
          </w:tblCellMar>
        </w:tblPrEx>
        <w:trPr>
          <w:trHeight w:val="675" w:hRule="atLeast"/>
        </w:trPr>
        <w:tc>
          <w:tcPr>
            <w:tcW w:w="9577" w:type="dxa"/>
            <w:gridSpan w:val="6"/>
            <w:tcBorders>
              <w:top w:val="nil"/>
              <w:left w:val="nil"/>
              <w:bottom w:val="nil"/>
              <w:right w:val="nil"/>
            </w:tcBorders>
            <w:shd w:val="clear" w:color="auto" w:fill="auto"/>
            <w:vAlign w:val="center"/>
          </w:tcPr>
          <w:p>
            <w:pPr>
              <w:widowControl/>
              <w:jc w:val="center"/>
              <w:textAlignment w:val="center"/>
              <w:rPr>
                <w:rFonts w:ascii="宋体" w:hAnsi="宋体" w:cs="宋体"/>
                <w:b/>
                <w:sz w:val="32"/>
                <w:szCs w:val="32"/>
              </w:rPr>
            </w:pPr>
            <w:r>
              <w:rPr>
                <w:rFonts w:hint="eastAsia" w:ascii="宋体" w:hAnsi="宋体" w:cs="宋体"/>
                <w:b/>
                <w:sz w:val="32"/>
                <w:szCs w:val="32"/>
                <w:highlight w:val="yellow"/>
              </w:rPr>
              <w:t>2021年部门预算项目绩效目标自评</w:t>
            </w:r>
          </w:p>
        </w:tc>
        <w:tc>
          <w:tcPr>
            <w:tcW w:w="234"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rPr>
            </w:pPr>
          </w:p>
        </w:tc>
      </w:tr>
      <w:tr>
        <w:tblPrEx>
          <w:tblCellMar>
            <w:top w:w="0" w:type="dxa"/>
            <w:left w:w="108" w:type="dxa"/>
            <w:bottom w:w="0" w:type="dxa"/>
            <w:right w:w="108" w:type="dxa"/>
          </w:tblCellMar>
        </w:tblPrEx>
        <w:trPr>
          <w:gridAfter w:val="1"/>
          <w:wAfter w:w="234" w:type="dxa"/>
          <w:trHeight w:val="254" w:hRule="atLeast"/>
        </w:trPr>
        <w:tc>
          <w:tcPr>
            <w:tcW w:w="3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主管部门及代码</w:t>
            </w:r>
          </w:p>
        </w:tc>
        <w:tc>
          <w:tcPr>
            <w:tcW w:w="29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ascii="宋体" w:hAnsi="宋体" w:cs="宋体"/>
                <w:sz w:val="24"/>
              </w:rPr>
            </w:pPr>
            <w:r>
              <w:rPr>
                <w:rFonts w:hint="eastAsia" w:ascii="宋体" w:hAnsi="宋体" w:cs="宋体"/>
                <w:sz w:val="24"/>
              </w:rPr>
              <w:t>旺苍县文化旅游和体育局112</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实施单位</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旺苍县文化馆</w:t>
            </w:r>
          </w:p>
        </w:tc>
      </w:tr>
      <w:tr>
        <w:tblPrEx>
          <w:tblCellMar>
            <w:top w:w="0" w:type="dxa"/>
            <w:left w:w="108" w:type="dxa"/>
            <w:bottom w:w="0" w:type="dxa"/>
            <w:right w:w="108" w:type="dxa"/>
          </w:tblCellMar>
        </w:tblPrEx>
        <w:trPr>
          <w:gridAfter w:val="1"/>
          <w:wAfter w:w="234" w:type="dxa"/>
          <w:trHeight w:val="341" w:hRule="atLeast"/>
        </w:trPr>
        <w:tc>
          <w:tcPr>
            <w:tcW w:w="3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项目预算</w:t>
            </w:r>
            <w:r>
              <w:rPr>
                <w:rFonts w:hint="eastAsia" w:ascii="宋体" w:hAnsi="宋体" w:cs="宋体"/>
                <w:kern w:val="0"/>
                <w:sz w:val="24"/>
              </w:rPr>
              <w:br w:type="textWrapping"/>
            </w:r>
            <w:r>
              <w:rPr>
                <w:rFonts w:hint="eastAsia" w:ascii="宋体" w:hAnsi="宋体" w:cs="宋体"/>
                <w:kern w:val="0"/>
                <w:sz w:val="24"/>
              </w:rPr>
              <w:t>执行情况</w:t>
            </w:r>
            <w:r>
              <w:rPr>
                <w:rFonts w:hint="eastAsia" w:ascii="宋体" w:hAnsi="宋体" w:cs="宋体"/>
                <w:kern w:val="0"/>
                <w:sz w:val="24"/>
              </w:rPr>
              <w:br w:type="textWrapping"/>
            </w:r>
            <w:r>
              <w:rPr>
                <w:rFonts w:hint="eastAsia" w:ascii="宋体" w:hAnsi="宋体" w:cs="宋体"/>
                <w:kern w:val="0"/>
                <w:sz w:val="24"/>
              </w:rPr>
              <w:t>（万元）</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预算数：</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sz w:val="24"/>
              </w:rPr>
              <w:t>2.1</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执行数：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right"/>
              <w:textAlignment w:val="center"/>
              <w:rPr>
                <w:rFonts w:ascii="宋体" w:hAnsi="宋体" w:cs="宋体"/>
                <w:sz w:val="24"/>
              </w:rPr>
            </w:pPr>
            <w:r>
              <w:rPr>
                <w:rFonts w:hint="eastAsia" w:ascii="宋体" w:hAnsi="宋体" w:cs="宋体"/>
                <w:sz w:val="24"/>
              </w:rPr>
              <w:t>2.1</w:t>
            </w:r>
          </w:p>
        </w:tc>
      </w:tr>
      <w:tr>
        <w:tblPrEx>
          <w:tblCellMar>
            <w:top w:w="0" w:type="dxa"/>
            <w:left w:w="108" w:type="dxa"/>
            <w:bottom w:w="0" w:type="dxa"/>
            <w:right w:w="108" w:type="dxa"/>
          </w:tblCellMar>
        </w:tblPrEx>
        <w:trPr>
          <w:gridAfter w:val="1"/>
          <w:wAfter w:w="234" w:type="dxa"/>
          <w:trHeight w:val="555"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sz w:val="24"/>
              </w:rPr>
              <w:t>2.1</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ind w:firstLine="1680" w:firstLineChars="700"/>
              <w:textAlignment w:val="center"/>
              <w:rPr>
                <w:rFonts w:ascii="宋体" w:hAnsi="宋体" w:cs="宋体"/>
                <w:sz w:val="24"/>
              </w:rPr>
            </w:pPr>
            <w:r>
              <w:rPr>
                <w:rFonts w:hint="eastAsia" w:ascii="宋体" w:hAnsi="宋体" w:cs="宋体"/>
                <w:sz w:val="24"/>
              </w:rPr>
              <w:t>2.1</w:t>
            </w:r>
          </w:p>
        </w:tc>
      </w:tr>
      <w:tr>
        <w:tblPrEx>
          <w:tblCellMar>
            <w:top w:w="0" w:type="dxa"/>
            <w:left w:w="108" w:type="dxa"/>
            <w:bottom w:w="0" w:type="dxa"/>
            <w:right w:w="108" w:type="dxa"/>
          </w:tblCellMar>
        </w:tblPrEx>
        <w:trPr>
          <w:gridAfter w:val="1"/>
          <w:wAfter w:w="234" w:type="dxa"/>
          <w:trHeight w:val="341"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4" w:type="dxa"/>
          <w:trHeight w:val="217" w:hRule="atLeast"/>
        </w:trPr>
        <w:tc>
          <w:tcPr>
            <w:tcW w:w="19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rPr>
            </w:pPr>
            <w:r>
              <w:rPr>
                <w:rFonts w:hint="eastAsia" w:ascii="宋体" w:hAnsi="宋体" w:cs="宋体"/>
                <w:kern w:val="0"/>
                <w:sz w:val="24"/>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rPr>
              <w:t>完成情况</w:t>
            </w:r>
          </w:p>
        </w:tc>
        <w:tc>
          <w:tcPr>
            <w:tcW w:w="40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预期目标</w:t>
            </w:r>
          </w:p>
        </w:tc>
        <w:tc>
          <w:tcPr>
            <w:tcW w:w="35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目标实际完成情况</w:t>
            </w:r>
          </w:p>
        </w:tc>
      </w:tr>
      <w:tr>
        <w:tblPrEx>
          <w:tblCellMar>
            <w:top w:w="0" w:type="dxa"/>
            <w:left w:w="108" w:type="dxa"/>
            <w:bottom w:w="0" w:type="dxa"/>
            <w:right w:w="108" w:type="dxa"/>
          </w:tblCellMar>
        </w:tblPrEx>
        <w:trPr>
          <w:gridAfter w:val="1"/>
          <w:wAfter w:w="234" w:type="dxa"/>
          <w:trHeight w:val="797" w:hRule="atLeast"/>
        </w:trPr>
        <w:tc>
          <w:tcPr>
            <w:tcW w:w="19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4054"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24"/>
              </w:rPr>
            </w:pPr>
            <w:r>
              <w:rPr>
                <w:rFonts w:hint="eastAsia" w:ascii="宋体" w:hAnsi="宋体" w:cs="宋体"/>
                <w:sz w:val="24"/>
              </w:rPr>
              <w:t>计划建设活动阵地，组织党员教育培训，慰问党员，全面完成全年党建工作任务。</w:t>
            </w:r>
          </w:p>
        </w:tc>
        <w:tc>
          <w:tcPr>
            <w:tcW w:w="3546"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24"/>
              </w:rPr>
            </w:pPr>
            <w:r>
              <w:rPr>
                <w:rFonts w:hint="eastAsia" w:ascii="宋体" w:hAnsi="宋体" w:cs="宋体"/>
                <w:sz w:val="24"/>
              </w:rPr>
              <w:t>已更换建设部分活动阵地，看望慰问了困难党员。</w:t>
            </w:r>
          </w:p>
        </w:tc>
      </w:tr>
      <w:tr>
        <w:tblPrEx>
          <w:tblCellMar>
            <w:top w:w="0" w:type="dxa"/>
            <w:left w:w="108" w:type="dxa"/>
            <w:bottom w:w="0" w:type="dxa"/>
            <w:right w:w="108" w:type="dxa"/>
          </w:tblCellMar>
        </w:tblPrEx>
        <w:trPr>
          <w:gridAfter w:val="1"/>
          <w:wAfter w:w="234" w:type="dxa"/>
          <w:trHeight w:val="693" w:hRule="atLeast"/>
        </w:trPr>
        <w:tc>
          <w:tcPr>
            <w:tcW w:w="1977"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预期指标值</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实际完成指标值</w:t>
            </w:r>
          </w:p>
        </w:tc>
      </w:tr>
      <w:tr>
        <w:tblPrEx>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数量指标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tbl>
            <w:tblPr>
              <w:tblStyle w:val="13"/>
              <w:tblW w:w="2521" w:type="dxa"/>
              <w:tblInd w:w="0" w:type="dxa"/>
              <w:tblLayout w:type="fixed"/>
              <w:tblCellMar>
                <w:top w:w="0" w:type="dxa"/>
                <w:left w:w="0" w:type="dxa"/>
                <w:bottom w:w="0" w:type="dxa"/>
                <w:right w:w="0" w:type="dxa"/>
              </w:tblCellMar>
            </w:tblPr>
            <w:tblGrid>
              <w:gridCol w:w="2521"/>
            </w:tblGrid>
            <w:tr>
              <w:tblPrEx>
                <w:tblCellMar>
                  <w:top w:w="0" w:type="dxa"/>
                  <w:left w:w="0" w:type="dxa"/>
                  <w:bottom w:w="0" w:type="dxa"/>
                  <w:right w:w="0" w:type="dxa"/>
                </w:tblCellMar>
              </w:tblPrEx>
              <w:trPr>
                <w:trHeight w:val="615" w:hRule="atLeast"/>
              </w:trPr>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宋体" w:hAnsi="宋体" w:cs="宋体"/>
                      <w:color w:val="000000"/>
                      <w:kern w:val="0"/>
                      <w:sz w:val="22"/>
                      <w:szCs w:val="22"/>
                    </w:rPr>
                  </w:pPr>
                  <w:r>
                    <w:rPr>
                      <w:rFonts w:hint="eastAsia" w:ascii="宋体" w:hAnsi="宋体" w:cs="宋体"/>
                      <w:color w:val="000000"/>
                      <w:kern w:val="0"/>
                      <w:sz w:val="22"/>
                      <w:szCs w:val="22"/>
                    </w:rPr>
                    <w:t>开展党组织</w:t>
                  </w:r>
                </w:p>
                <w:p>
                  <w:pPr>
                    <w:widowControl/>
                    <w:jc w:val="left"/>
                    <w:textAlignment w:val="center"/>
                    <w:rPr>
                      <w:rFonts w:ascii="宋体" w:hAnsi="宋体" w:cs="宋体"/>
                      <w:color w:val="000000"/>
                      <w:kern w:val="0"/>
                      <w:sz w:val="22"/>
                      <w:szCs w:val="22"/>
                    </w:rPr>
                  </w:pPr>
                  <w:r>
                    <w:rPr>
                      <w:rFonts w:hint="eastAsia" w:ascii="宋体" w:hAnsi="宋体" w:cs="宋体"/>
                      <w:color w:val="000000"/>
                      <w:kern w:val="0"/>
                      <w:sz w:val="22"/>
                      <w:szCs w:val="22"/>
                    </w:rPr>
                    <w:t>活动及订阅</w:t>
                  </w:r>
                </w:p>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rPr>
                    <w:t>党报党刊。</w:t>
                  </w:r>
                </w:p>
              </w:tc>
            </w:tr>
          </w:tbl>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4份报刊组织活动2次</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已完成购买和开展活动</w:t>
            </w:r>
          </w:p>
        </w:tc>
      </w:tr>
      <w:tr>
        <w:tblPrEx>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质量指标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规范开展党建活动</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顺利迎接各级督查</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顺利迎接各级督查</w:t>
            </w:r>
          </w:p>
        </w:tc>
      </w:tr>
      <w:tr>
        <w:tblPrEx>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时效指标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完成时间</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12.31</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2021.12.31</w:t>
            </w: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成本指标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tbl>
            <w:tblPr>
              <w:tblStyle w:val="13"/>
              <w:tblW w:w="2161" w:type="dxa"/>
              <w:tblInd w:w="0" w:type="dxa"/>
              <w:tblLayout w:type="fixed"/>
              <w:tblCellMar>
                <w:top w:w="0" w:type="dxa"/>
                <w:left w:w="0" w:type="dxa"/>
                <w:bottom w:w="0" w:type="dxa"/>
                <w:right w:w="0" w:type="dxa"/>
              </w:tblCellMar>
            </w:tblPr>
            <w:tblGrid>
              <w:gridCol w:w="2161"/>
            </w:tblGrid>
            <w:tr>
              <w:tblPrEx>
                <w:tblCellMar>
                  <w:top w:w="0" w:type="dxa"/>
                  <w:left w:w="0" w:type="dxa"/>
                  <w:bottom w:w="0" w:type="dxa"/>
                  <w:right w:w="0" w:type="dxa"/>
                </w:tblCellMar>
              </w:tblPrEx>
              <w:trPr>
                <w:trHeight w:val="480" w:hRule="atLeast"/>
              </w:trPr>
              <w:tc>
                <w:tcPr>
                  <w:tcW w:w="21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宋体" w:hAnsi="宋体" w:cs="宋体"/>
                      <w:color w:val="000000"/>
                      <w:kern w:val="0"/>
                      <w:sz w:val="24"/>
                    </w:rPr>
                  </w:pPr>
                  <w:r>
                    <w:rPr>
                      <w:rFonts w:hint="eastAsia" w:ascii="宋体" w:hAnsi="宋体" w:cs="宋体"/>
                      <w:color w:val="000000"/>
                      <w:kern w:val="0"/>
                      <w:sz w:val="24"/>
                    </w:rPr>
                    <w:t>订阅党报党</w:t>
                  </w:r>
                </w:p>
                <w:p>
                  <w:pPr>
                    <w:widowControl/>
                    <w:jc w:val="left"/>
                    <w:textAlignment w:val="center"/>
                    <w:rPr>
                      <w:rFonts w:ascii="宋体" w:hAnsi="宋体" w:cs="宋体"/>
                      <w:color w:val="000000"/>
                      <w:kern w:val="0"/>
                      <w:sz w:val="24"/>
                    </w:rPr>
                  </w:pPr>
                  <w:r>
                    <w:rPr>
                      <w:rFonts w:hint="eastAsia" w:ascii="宋体" w:hAnsi="宋体" w:cs="宋体"/>
                      <w:color w:val="000000"/>
                      <w:kern w:val="0"/>
                      <w:sz w:val="24"/>
                    </w:rPr>
                    <w:t>刊、慰问党</w:t>
                  </w:r>
                </w:p>
                <w:p>
                  <w:pPr>
                    <w:widowControl/>
                    <w:jc w:val="left"/>
                    <w:textAlignment w:val="center"/>
                    <w:rPr>
                      <w:rFonts w:ascii="宋体" w:hAnsi="宋体" w:cs="宋体"/>
                      <w:color w:val="000000"/>
                      <w:sz w:val="24"/>
                    </w:rPr>
                  </w:pPr>
                  <w:r>
                    <w:rPr>
                      <w:rFonts w:hint="eastAsia" w:ascii="宋体" w:hAnsi="宋体" w:cs="宋体"/>
                      <w:color w:val="000000"/>
                      <w:kern w:val="0"/>
                      <w:sz w:val="24"/>
                    </w:rPr>
                    <w:t>员</w:t>
                  </w:r>
                </w:p>
              </w:tc>
            </w:tr>
          </w:tbl>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0.8</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0.8</w:t>
            </w: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效益</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经济效益  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社会效益  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增强党员能力素质</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得到改善；党员干部能力、素质得到了增强</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得到改善；党员干部能力、素质得到了增强</w:t>
            </w:r>
          </w:p>
        </w:tc>
      </w:tr>
      <w:tr>
        <w:tblPrEx>
          <w:tblCellMar>
            <w:top w:w="0" w:type="dxa"/>
            <w:left w:w="108" w:type="dxa"/>
            <w:bottom w:w="0" w:type="dxa"/>
            <w:right w:w="108" w:type="dxa"/>
          </w:tblCellMar>
        </w:tblPrEx>
        <w:trPr>
          <w:gridAfter w:val="1"/>
          <w:wAfter w:w="234" w:type="dxa"/>
          <w:trHeight w:val="577"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生态益  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p>
        </w:tc>
      </w:tr>
      <w:tr>
        <w:tblPrEx>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可持续影响 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开展党组织建设活动情况</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进一步发挥党组织核心堡垒作用，本单位工作得到提升。</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进一步发挥党组织核心堡垒作用，本单位工作得到提升。</w:t>
            </w:r>
          </w:p>
        </w:tc>
      </w:tr>
      <w:tr>
        <w:tblPrEx>
          <w:tblCellMar>
            <w:top w:w="0" w:type="dxa"/>
            <w:left w:w="108" w:type="dxa"/>
            <w:bottom w:w="0" w:type="dxa"/>
            <w:right w:w="108" w:type="dxa"/>
          </w:tblCellMar>
        </w:tblPrEx>
        <w:trPr>
          <w:gridAfter w:val="1"/>
          <w:wAfter w:w="234" w:type="dxa"/>
          <w:trHeight w:val="530" w:hRule="atLeast"/>
        </w:trPr>
        <w:tc>
          <w:tcPr>
            <w:tcW w:w="1977"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满意</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度指标</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上级部门满意、党员满意</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r>
    </w:tbl>
    <w:p>
      <w:pPr>
        <w:rPr>
          <w:rFonts w:ascii="黑体" w:hAnsi="黑体" w:eastAsia="黑体"/>
          <w:sz w:val="44"/>
          <w:szCs w:val="44"/>
        </w:rPr>
      </w:pPr>
    </w:p>
    <w:tbl>
      <w:tblPr>
        <w:tblStyle w:val="13"/>
        <w:tblpPr w:leftFromText="180" w:rightFromText="180" w:vertAnchor="text" w:horzAnchor="page" w:tblpX="1281" w:tblpY="660"/>
        <w:tblOverlap w:val="never"/>
        <w:tblW w:w="9810" w:type="dxa"/>
        <w:tblInd w:w="0" w:type="dxa"/>
        <w:tblLayout w:type="fixed"/>
        <w:tblCellMar>
          <w:top w:w="0" w:type="dxa"/>
          <w:left w:w="108" w:type="dxa"/>
          <w:bottom w:w="0" w:type="dxa"/>
          <w:right w:w="108" w:type="dxa"/>
        </w:tblCellMar>
      </w:tblPr>
      <w:tblGrid>
        <w:gridCol w:w="1975"/>
        <w:gridCol w:w="1142"/>
        <w:gridCol w:w="1492"/>
        <w:gridCol w:w="1420"/>
        <w:gridCol w:w="1136"/>
        <w:gridCol w:w="2409"/>
        <w:gridCol w:w="236"/>
      </w:tblGrid>
      <w:tr>
        <w:tblPrEx>
          <w:tblCellMar>
            <w:top w:w="0" w:type="dxa"/>
            <w:left w:w="108" w:type="dxa"/>
            <w:bottom w:w="0" w:type="dxa"/>
            <w:right w:w="108" w:type="dxa"/>
          </w:tblCellMar>
        </w:tblPrEx>
        <w:trPr>
          <w:trHeight w:val="675" w:hRule="atLeast"/>
        </w:trPr>
        <w:tc>
          <w:tcPr>
            <w:tcW w:w="9577" w:type="dxa"/>
            <w:gridSpan w:val="6"/>
            <w:vAlign w:val="center"/>
          </w:tcPr>
          <w:p>
            <w:pPr>
              <w:widowControl/>
              <w:jc w:val="center"/>
              <w:textAlignment w:val="center"/>
              <w:rPr>
                <w:rFonts w:ascii="宋体" w:hAnsi="宋体" w:cs="宋体"/>
                <w:b/>
                <w:sz w:val="32"/>
                <w:szCs w:val="32"/>
              </w:rPr>
            </w:pPr>
            <w:r>
              <w:rPr>
                <w:rFonts w:hint="eastAsia" w:ascii="宋体" w:hAnsi="宋体" w:cs="宋体"/>
                <w:b/>
                <w:sz w:val="32"/>
                <w:szCs w:val="32"/>
                <w:highlight w:val="yellow"/>
              </w:rPr>
              <w:t>2021年部门预算项目绩效目标自评</w:t>
            </w:r>
          </w:p>
        </w:tc>
        <w:tc>
          <w:tcPr>
            <w:tcW w:w="234" w:type="dxa"/>
            <w:vAlign w:val="center"/>
          </w:tcPr>
          <w:p>
            <w:pPr>
              <w:widowControl/>
              <w:jc w:val="center"/>
              <w:textAlignment w:val="center"/>
              <w:rPr>
                <w:rFonts w:ascii="宋体" w:hAnsi="宋体" w:cs="宋体"/>
                <w:b/>
                <w:kern w:val="0"/>
                <w:sz w:val="32"/>
                <w:szCs w:val="32"/>
              </w:rPr>
            </w:pPr>
          </w:p>
        </w:tc>
      </w:tr>
      <w:tr>
        <w:tblPrEx>
          <w:tblCellMar>
            <w:top w:w="0" w:type="dxa"/>
            <w:left w:w="108" w:type="dxa"/>
            <w:bottom w:w="0" w:type="dxa"/>
            <w:right w:w="108" w:type="dxa"/>
          </w:tblCellMar>
        </w:tblPrEx>
        <w:trPr>
          <w:gridAfter w:val="1"/>
          <w:wAfter w:w="234" w:type="dxa"/>
          <w:trHeight w:val="254" w:hRule="atLeast"/>
        </w:trPr>
        <w:tc>
          <w:tcPr>
            <w:tcW w:w="311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主管部门及代码</w:t>
            </w:r>
          </w:p>
        </w:tc>
        <w:tc>
          <w:tcPr>
            <w:tcW w:w="2912"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20" w:lineRule="exact"/>
              <w:textAlignment w:val="center"/>
              <w:rPr>
                <w:rFonts w:ascii="宋体" w:hAnsi="宋体" w:cs="宋体"/>
                <w:sz w:val="24"/>
              </w:rPr>
            </w:pPr>
            <w:r>
              <w:rPr>
                <w:rFonts w:hint="eastAsia" w:ascii="宋体" w:hAnsi="宋体" w:cs="宋体"/>
                <w:sz w:val="24"/>
              </w:rPr>
              <w:t>旺苍县文化旅游和体育局112</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实施单位</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sz w:val="24"/>
              </w:rPr>
              <w:t>旺苍县文化馆</w:t>
            </w:r>
          </w:p>
        </w:tc>
      </w:tr>
      <w:tr>
        <w:tblPrEx>
          <w:tblCellMar>
            <w:top w:w="0" w:type="dxa"/>
            <w:left w:w="108" w:type="dxa"/>
            <w:bottom w:w="0" w:type="dxa"/>
            <w:right w:w="108" w:type="dxa"/>
          </w:tblCellMar>
        </w:tblPrEx>
        <w:trPr>
          <w:gridAfter w:val="1"/>
          <w:wAfter w:w="234" w:type="dxa"/>
          <w:trHeight w:val="341" w:hRule="atLeast"/>
        </w:trPr>
        <w:tc>
          <w:tcPr>
            <w:tcW w:w="3119"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项目预算</w:t>
            </w:r>
            <w:r>
              <w:rPr>
                <w:rFonts w:hint="eastAsia" w:ascii="宋体" w:hAnsi="宋体" w:cs="宋体"/>
                <w:kern w:val="0"/>
                <w:sz w:val="24"/>
              </w:rPr>
              <w:br w:type="textWrapping"/>
            </w:r>
            <w:r>
              <w:rPr>
                <w:rFonts w:hint="eastAsia" w:ascii="宋体" w:hAnsi="宋体" w:cs="宋体"/>
                <w:kern w:val="0"/>
                <w:sz w:val="24"/>
              </w:rPr>
              <w:t>执行情况</w:t>
            </w:r>
            <w:r>
              <w:rPr>
                <w:rFonts w:hint="eastAsia" w:ascii="宋体" w:hAnsi="宋体" w:cs="宋体"/>
                <w:kern w:val="0"/>
                <w:sz w:val="24"/>
              </w:rPr>
              <w:br w:type="textWrapping"/>
            </w:r>
            <w:r>
              <w:rPr>
                <w:rFonts w:hint="eastAsia" w:ascii="宋体" w:hAnsi="宋体" w:cs="宋体"/>
                <w:kern w:val="0"/>
                <w:sz w:val="24"/>
              </w:rPr>
              <w:t>（万元）</w:t>
            </w:r>
          </w:p>
        </w:tc>
        <w:tc>
          <w:tcPr>
            <w:tcW w:w="149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预算数：</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sz w:val="24"/>
              </w:rPr>
              <w:t>30</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执行数：</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right"/>
              <w:textAlignment w:val="center"/>
              <w:rPr>
                <w:rFonts w:ascii="宋体" w:hAnsi="宋体" w:cs="宋体"/>
                <w:sz w:val="24"/>
              </w:rPr>
            </w:pPr>
            <w:r>
              <w:rPr>
                <w:rFonts w:hint="eastAsia" w:ascii="宋体" w:hAnsi="宋体" w:cs="宋体"/>
                <w:sz w:val="24"/>
              </w:rPr>
              <w:t>30</w:t>
            </w:r>
          </w:p>
        </w:tc>
      </w:tr>
      <w:tr>
        <w:tblPrEx>
          <w:tblCellMar>
            <w:top w:w="0" w:type="dxa"/>
            <w:left w:w="108" w:type="dxa"/>
            <w:bottom w:w="0" w:type="dxa"/>
            <w:right w:w="108" w:type="dxa"/>
          </w:tblCellMar>
        </w:tblPrEx>
        <w:trPr>
          <w:gridAfter w:val="1"/>
          <w:wAfter w:w="234" w:type="dxa"/>
          <w:trHeight w:val="555" w:hRule="atLeast"/>
        </w:trPr>
        <w:tc>
          <w:tcPr>
            <w:tcW w:w="13631"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sz w:val="24"/>
              </w:rPr>
            </w:pPr>
          </w:p>
        </w:tc>
        <w:tc>
          <w:tcPr>
            <w:tcW w:w="149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sz w:val="24"/>
              </w:rPr>
              <w:t>30</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ind w:firstLine="1920" w:firstLineChars="800"/>
              <w:textAlignment w:val="center"/>
              <w:rPr>
                <w:rFonts w:ascii="宋体" w:hAnsi="宋体" w:cs="宋体"/>
                <w:sz w:val="24"/>
              </w:rPr>
            </w:pPr>
            <w:r>
              <w:rPr>
                <w:rFonts w:hint="eastAsia" w:ascii="宋体" w:hAnsi="宋体" w:cs="宋体"/>
                <w:sz w:val="24"/>
              </w:rPr>
              <w:t>30</w:t>
            </w:r>
          </w:p>
        </w:tc>
      </w:tr>
      <w:tr>
        <w:tblPrEx>
          <w:tblCellMar>
            <w:top w:w="0" w:type="dxa"/>
            <w:left w:w="108" w:type="dxa"/>
            <w:bottom w:w="0" w:type="dxa"/>
            <w:right w:w="108" w:type="dxa"/>
          </w:tblCellMar>
        </w:tblPrEx>
        <w:trPr>
          <w:gridAfter w:val="1"/>
          <w:wAfter w:w="234" w:type="dxa"/>
          <w:trHeight w:val="341" w:hRule="atLeast"/>
        </w:trPr>
        <w:tc>
          <w:tcPr>
            <w:tcW w:w="13631"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sz w:val="24"/>
              </w:rPr>
            </w:pPr>
          </w:p>
        </w:tc>
        <w:tc>
          <w:tcPr>
            <w:tcW w:w="149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4" w:type="dxa"/>
          <w:trHeight w:val="217" w:hRule="atLeast"/>
        </w:trPr>
        <w:tc>
          <w:tcPr>
            <w:tcW w:w="1977"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kern w:val="0"/>
                <w:sz w:val="24"/>
              </w:rPr>
            </w:pPr>
            <w:r>
              <w:rPr>
                <w:rFonts w:hint="eastAsia" w:ascii="宋体" w:hAnsi="宋体" w:cs="宋体"/>
                <w:kern w:val="0"/>
                <w:sz w:val="24"/>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rPr>
              <w:t>完成情况</w:t>
            </w:r>
          </w:p>
        </w:tc>
        <w:tc>
          <w:tcPr>
            <w:tcW w:w="405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预期目标</w:t>
            </w:r>
          </w:p>
        </w:tc>
        <w:tc>
          <w:tcPr>
            <w:tcW w:w="3546"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目标实际完成情况</w:t>
            </w:r>
          </w:p>
        </w:tc>
      </w:tr>
      <w:tr>
        <w:tblPrEx>
          <w:tblCellMar>
            <w:top w:w="0" w:type="dxa"/>
            <w:left w:w="108" w:type="dxa"/>
            <w:bottom w:w="0" w:type="dxa"/>
            <w:right w:w="108" w:type="dxa"/>
          </w:tblCellMar>
        </w:tblPrEx>
        <w:trPr>
          <w:gridAfter w:val="1"/>
          <w:wAfter w:w="234" w:type="dxa"/>
          <w:trHeight w:val="797"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sz w:val="24"/>
              </w:rPr>
            </w:pPr>
          </w:p>
        </w:tc>
        <w:tc>
          <w:tcPr>
            <w:tcW w:w="4054" w:type="dxa"/>
            <w:gridSpan w:val="3"/>
            <w:tcBorders>
              <w:top w:val="single" w:color="000000" w:sz="4" w:space="0"/>
              <w:left w:val="single" w:color="000000" w:sz="4" w:space="0"/>
              <w:bottom w:val="single" w:color="000000" w:sz="4" w:space="0"/>
              <w:right w:val="single" w:color="000000" w:sz="4" w:space="0"/>
            </w:tcBorders>
          </w:tcPr>
          <w:p>
            <w:pPr>
              <w:widowControl/>
              <w:spacing w:line="320" w:lineRule="exact"/>
              <w:jc w:val="left"/>
              <w:textAlignment w:val="top"/>
              <w:rPr>
                <w:rFonts w:ascii="宋体" w:hAnsi="宋体" w:cs="宋体"/>
                <w:sz w:val="24"/>
              </w:rPr>
            </w:pPr>
            <w:r>
              <w:rPr>
                <w:rFonts w:hint="eastAsia" w:ascii="宋体" w:hAnsi="宋体" w:cs="宋体"/>
                <w:sz w:val="24"/>
              </w:rPr>
              <w:t>通过老城红军剧场景区节目展演，更好的宣传旺苍县，让更多的人了解旺苍中国红军城。</w:t>
            </w:r>
          </w:p>
        </w:tc>
        <w:tc>
          <w:tcPr>
            <w:tcW w:w="3546" w:type="dxa"/>
            <w:gridSpan w:val="2"/>
            <w:tcBorders>
              <w:top w:val="single" w:color="000000" w:sz="4" w:space="0"/>
              <w:left w:val="single" w:color="000000" w:sz="4" w:space="0"/>
              <w:bottom w:val="single" w:color="000000" w:sz="4" w:space="0"/>
              <w:right w:val="single" w:color="000000" w:sz="4" w:space="0"/>
            </w:tcBorders>
          </w:tcPr>
          <w:p>
            <w:pPr>
              <w:widowControl/>
              <w:spacing w:line="320" w:lineRule="exact"/>
              <w:jc w:val="left"/>
              <w:textAlignment w:val="top"/>
              <w:rPr>
                <w:rFonts w:ascii="宋体" w:hAnsi="宋体" w:cs="宋体"/>
                <w:sz w:val="24"/>
              </w:rPr>
            </w:pPr>
            <w:r>
              <w:rPr>
                <w:rFonts w:hint="eastAsia" w:ascii="宋体" w:hAnsi="宋体" w:cs="宋体"/>
                <w:sz w:val="24"/>
              </w:rPr>
              <w:t>通过不同形式的节目展演，让游客更多的了解了旺苍县，达到了预期效果。</w:t>
            </w:r>
          </w:p>
        </w:tc>
      </w:tr>
      <w:tr>
        <w:tblPrEx>
          <w:tblCellMar>
            <w:top w:w="0" w:type="dxa"/>
            <w:left w:w="108" w:type="dxa"/>
            <w:bottom w:w="0" w:type="dxa"/>
            <w:right w:w="108" w:type="dxa"/>
          </w:tblCellMar>
        </w:tblPrEx>
        <w:trPr>
          <w:gridAfter w:val="1"/>
          <w:wAfter w:w="234" w:type="dxa"/>
          <w:trHeight w:val="693" w:hRule="atLeast"/>
        </w:trPr>
        <w:tc>
          <w:tcPr>
            <w:tcW w:w="1977"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年度绩效指标完成情况</w:t>
            </w:r>
          </w:p>
        </w:tc>
        <w:tc>
          <w:tcPr>
            <w:tcW w:w="1142" w:type="dxa"/>
            <w:tcBorders>
              <w:top w:val="single" w:color="000000" w:sz="4" w:space="0"/>
              <w:left w:val="nil"/>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预期指标值</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实际完成指标值</w:t>
            </w:r>
          </w:p>
        </w:tc>
      </w:tr>
      <w:tr>
        <w:tblPrEx>
          <w:tblCellMar>
            <w:top w:w="0" w:type="dxa"/>
            <w:left w:w="108" w:type="dxa"/>
            <w:bottom w:w="0" w:type="dxa"/>
            <w:right w:w="108" w:type="dxa"/>
          </w:tblCellMar>
        </w:tblPrEx>
        <w:trPr>
          <w:gridAfter w:val="1"/>
          <w:wAfter w:w="234" w:type="dxa"/>
          <w:trHeight w:val="415"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数量指标</w:t>
            </w:r>
          </w:p>
        </w:tc>
        <w:tc>
          <w:tcPr>
            <w:tcW w:w="1420" w:type="dxa"/>
            <w:tcBorders>
              <w:top w:val="single" w:color="000000" w:sz="4" w:space="0"/>
              <w:left w:val="single" w:color="000000" w:sz="4" w:space="0"/>
              <w:bottom w:val="single" w:color="000000" w:sz="4" w:space="0"/>
              <w:right w:val="single" w:color="000000" w:sz="4" w:space="0"/>
            </w:tcBorders>
            <w:vAlign w:val="bottom"/>
          </w:tcPr>
          <w:tbl>
            <w:tblPr>
              <w:tblStyle w:val="13"/>
              <w:tblW w:w="2520" w:type="dxa"/>
              <w:tblInd w:w="0" w:type="dxa"/>
              <w:tblLayout w:type="fixed"/>
              <w:tblCellMar>
                <w:top w:w="0" w:type="dxa"/>
                <w:left w:w="0" w:type="dxa"/>
                <w:bottom w:w="0" w:type="dxa"/>
                <w:right w:w="0" w:type="dxa"/>
              </w:tblCellMar>
            </w:tblPr>
            <w:tblGrid>
              <w:gridCol w:w="2520"/>
            </w:tblGrid>
            <w:tr>
              <w:tblPrEx>
                <w:tblCellMar>
                  <w:top w:w="0" w:type="dxa"/>
                  <w:left w:w="0" w:type="dxa"/>
                  <w:bottom w:w="0" w:type="dxa"/>
                  <w:right w:w="0" w:type="dxa"/>
                </w:tblCellMar>
              </w:tblPrEx>
              <w:trPr>
                <w:trHeight w:val="615" w:hRule="atLeast"/>
              </w:trPr>
              <w:tc>
                <w:tcPr>
                  <w:tcW w:w="252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hAnsi="宋体" w:cs="宋体"/>
                      <w:color w:val="000000"/>
                      <w:kern w:val="0"/>
                      <w:sz w:val="22"/>
                      <w:szCs w:val="22"/>
                    </w:rPr>
                  </w:pPr>
                  <w:r>
                    <w:rPr>
                      <w:rFonts w:hint="eastAsia" w:ascii="宋体" w:hAnsi="宋体" w:cs="宋体"/>
                      <w:color w:val="000000"/>
                      <w:kern w:val="0"/>
                      <w:sz w:val="22"/>
                      <w:szCs w:val="22"/>
                    </w:rPr>
                    <w:t>展演场次</w:t>
                  </w:r>
                </w:p>
                <w:p>
                  <w:pPr>
                    <w:widowControl/>
                    <w:jc w:val="left"/>
                    <w:textAlignment w:val="center"/>
                    <w:rPr>
                      <w:rFonts w:ascii="宋体" w:hAnsi="宋体" w:cs="宋体"/>
                      <w:color w:val="000000"/>
                      <w:kern w:val="0"/>
                      <w:sz w:val="22"/>
                      <w:szCs w:val="22"/>
                    </w:rPr>
                  </w:pPr>
                  <w:r>
                    <w:rPr>
                      <w:rFonts w:hint="eastAsia" w:ascii="宋体" w:hAnsi="宋体" w:cs="宋体"/>
                      <w:color w:val="000000"/>
                      <w:kern w:val="0"/>
                      <w:sz w:val="22"/>
                      <w:szCs w:val="22"/>
                    </w:rPr>
                    <w:t>112场</w:t>
                  </w:r>
                </w:p>
              </w:tc>
            </w:tr>
          </w:tbl>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完成全部节目展演</w:t>
            </w:r>
          </w:p>
        </w:tc>
        <w:tc>
          <w:tcPr>
            <w:tcW w:w="241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已完成购买节目全部展演</w:t>
            </w:r>
          </w:p>
        </w:tc>
      </w:tr>
      <w:tr>
        <w:tblPrEx>
          <w:tblCellMar>
            <w:top w:w="0" w:type="dxa"/>
            <w:left w:w="108" w:type="dxa"/>
            <w:bottom w:w="0" w:type="dxa"/>
            <w:right w:w="108" w:type="dxa"/>
          </w:tblCellMar>
        </w:tblPrEx>
        <w:trPr>
          <w:gridAfter w:val="1"/>
          <w:wAfter w:w="234" w:type="dxa"/>
          <w:trHeight w:val="415"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质量指标</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已宣传当地旺苍县节目为主</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新创作作品10个</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游客和观众非常满意</w:t>
            </w:r>
          </w:p>
        </w:tc>
      </w:tr>
      <w:tr>
        <w:tblPrEx>
          <w:tblCellMar>
            <w:top w:w="0" w:type="dxa"/>
            <w:left w:w="108" w:type="dxa"/>
            <w:bottom w:w="0" w:type="dxa"/>
            <w:right w:w="108" w:type="dxa"/>
          </w:tblCellMar>
        </w:tblPrEx>
        <w:trPr>
          <w:gridAfter w:val="1"/>
          <w:wAfter w:w="234" w:type="dxa"/>
          <w:trHeight w:val="415"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时效指标</w:t>
            </w:r>
          </w:p>
        </w:tc>
        <w:tc>
          <w:tcPr>
            <w:tcW w:w="142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完成时间</w:t>
            </w:r>
          </w:p>
        </w:tc>
        <w:tc>
          <w:tcPr>
            <w:tcW w:w="1136"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2021、1.3</w:t>
            </w:r>
          </w:p>
        </w:tc>
        <w:tc>
          <w:tcPr>
            <w:tcW w:w="241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2021.1.3</w:t>
            </w:r>
          </w:p>
        </w:tc>
      </w:tr>
      <w:tr>
        <w:tblPrEx>
          <w:tblCellMar>
            <w:top w:w="0" w:type="dxa"/>
            <w:left w:w="108" w:type="dxa"/>
            <w:bottom w:w="0" w:type="dxa"/>
            <w:right w:w="108" w:type="dxa"/>
          </w:tblCellMar>
        </w:tblPrEx>
        <w:trPr>
          <w:gridAfter w:val="1"/>
          <w:wAfter w:w="234" w:type="dxa"/>
          <w:trHeight w:val="480"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成本指标</w:t>
            </w:r>
          </w:p>
        </w:tc>
        <w:tc>
          <w:tcPr>
            <w:tcW w:w="1420" w:type="dxa"/>
            <w:tcBorders>
              <w:top w:val="single" w:color="000000" w:sz="4" w:space="0"/>
              <w:left w:val="single" w:color="000000" w:sz="4" w:space="0"/>
              <w:bottom w:val="single" w:color="000000" w:sz="4" w:space="0"/>
              <w:right w:val="single" w:color="000000" w:sz="4" w:space="0"/>
            </w:tcBorders>
            <w:vAlign w:val="bottom"/>
          </w:tcPr>
          <w:tbl>
            <w:tblPr>
              <w:tblStyle w:val="13"/>
              <w:tblW w:w="2160" w:type="dxa"/>
              <w:tblInd w:w="0" w:type="dxa"/>
              <w:tblLayout w:type="fixed"/>
              <w:tblCellMar>
                <w:top w:w="0" w:type="dxa"/>
                <w:left w:w="0" w:type="dxa"/>
                <w:bottom w:w="0" w:type="dxa"/>
                <w:right w:w="0" w:type="dxa"/>
              </w:tblCellMar>
            </w:tblPr>
            <w:tblGrid>
              <w:gridCol w:w="2160"/>
            </w:tblGrid>
            <w:tr>
              <w:tblPrEx>
                <w:tblCellMar>
                  <w:top w:w="0" w:type="dxa"/>
                  <w:left w:w="0" w:type="dxa"/>
                  <w:bottom w:w="0" w:type="dxa"/>
                  <w:right w:w="0" w:type="dxa"/>
                </w:tblCellMar>
              </w:tblPrEx>
              <w:trPr>
                <w:trHeight w:val="480" w:hRule="atLeast"/>
              </w:trPr>
              <w:tc>
                <w:tcPr>
                  <w:tcW w:w="216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hAnsi="宋体" w:cs="宋体"/>
                      <w:color w:val="000000"/>
                      <w:kern w:val="0"/>
                      <w:sz w:val="24"/>
                    </w:rPr>
                  </w:pPr>
                  <w:r>
                    <w:rPr>
                      <w:rFonts w:hint="eastAsia" w:ascii="宋体" w:hAnsi="宋体" w:cs="宋体"/>
                      <w:color w:val="000000"/>
                      <w:kern w:val="0"/>
                      <w:sz w:val="24"/>
                    </w:rPr>
                    <w:t>分段展演、</w:t>
                  </w:r>
                </w:p>
                <w:p>
                  <w:pPr>
                    <w:widowControl/>
                    <w:jc w:val="left"/>
                    <w:textAlignment w:val="center"/>
                    <w:rPr>
                      <w:rFonts w:ascii="宋体" w:hAnsi="宋体" w:cs="宋体"/>
                      <w:color w:val="000000"/>
                      <w:kern w:val="0"/>
                      <w:sz w:val="24"/>
                    </w:rPr>
                  </w:pPr>
                  <w:r>
                    <w:rPr>
                      <w:rFonts w:hint="eastAsia" w:ascii="宋体" w:hAnsi="宋体" w:cs="宋体"/>
                      <w:color w:val="000000"/>
                      <w:kern w:val="0"/>
                      <w:sz w:val="24"/>
                    </w:rPr>
                    <w:t>分段支付</w:t>
                  </w:r>
                </w:p>
                <w:p>
                  <w:pPr>
                    <w:widowControl/>
                    <w:jc w:val="left"/>
                    <w:textAlignment w:val="center"/>
                    <w:rPr>
                      <w:rFonts w:ascii="宋体" w:hAnsi="宋体" w:cs="宋体"/>
                      <w:color w:val="000000"/>
                      <w:kern w:val="0"/>
                      <w:sz w:val="24"/>
                    </w:rPr>
                  </w:pPr>
                  <w:r>
                    <w:rPr>
                      <w:rFonts w:hint="eastAsia" w:ascii="宋体" w:hAnsi="宋体" w:cs="宋体"/>
                      <w:color w:val="000000"/>
                      <w:kern w:val="0"/>
                      <w:sz w:val="24"/>
                    </w:rPr>
                    <w:t>资金</w:t>
                  </w:r>
                </w:p>
              </w:tc>
            </w:tr>
          </w:tbl>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30</w:t>
            </w:r>
          </w:p>
        </w:tc>
        <w:tc>
          <w:tcPr>
            <w:tcW w:w="241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30</w:t>
            </w:r>
          </w:p>
        </w:tc>
      </w:tr>
      <w:tr>
        <w:tblPrEx>
          <w:tblCellMar>
            <w:top w:w="0" w:type="dxa"/>
            <w:left w:w="108" w:type="dxa"/>
            <w:bottom w:w="0" w:type="dxa"/>
            <w:right w:w="108" w:type="dxa"/>
          </w:tblCellMar>
        </w:tblPrEx>
        <w:trPr>
          <w:gridAfter w:val="1"/>
          <w:wAfter w:w="234" w:type="dxa"/>
          <w:trHeight w:val="480"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效益</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指标</w:t>
            </w: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经济效益  指标</w:t>
            </w:r>
          </w:p>
        </w:tc>
        <w:tc>
          <w:tcPr>
            <w:tcW w:w="142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c>
          <w:tcPr>
            <w:tcW w:w="241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r>
      <w:tr>
        <w:tblPrEx>
          <w:tblCellMar>
            <w:top w:w="0" w:type="dxa"/>
            <w:left w:w="108" w:type="dxa"/>
            <w:bottom w:w="0" w:type="dxa"/>
            <w:right w:w="108" w:type="dxa"/>
          </w:tblCellMar>
        </w:tblPrEx>
        <w:trPr>
          <w:gridAfter w:val="1"/>
          <w:wAfter w:w="234" w:type="dxa"/>
          <w:trHeight w:val="480"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社会效益  指标</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更好宣传旺苍，推广旺苍。</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r>
      <w:tr>
        <w:tblPrEx>
          <w:tblCellMar>
            <w:top w:w="0" w:type="dxa"/>
            <w:left w:w="108" w:type="dxa"/>
            <w:bottom w:w="0" w:type="dxa"/>
            <w:right w:w="108" w:type="dxa"/>
          </w:tblCellMar>
        </w:tblPrEx>
        <w:trPr>
          <w:gridAfter w:val="1"/>
          <w:wAfter w:w="234" w:type="dxa"/>
          <w:trHeight w:val="577"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生态益  指标</w:t>
            </w:r>
          </w:p>
        </w:tc>
        <w:tc>
          <w:tcPr>
            <w:tcW w:w="142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c>
          <w:tcPr>
            <w:tcW w:w="1136"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c>
          <w:tcPr>
            <w:tcW w:w="241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p>
        </w:tc>
      </w:tr>
      <w:tr>
        <w:tblPrEx>
          <w:tblCellMar>
            <w:top w:w="0" w:type="dxa"/>
            <w:left w:w="108" w:type="dxa"/>
            <w:bottom w:w="0" w:type="dxa"/>
            <w:right w:w="108" w:type="dxa"/>
          </w:tblCellMar>
        </w:tblPrEx>
        <w:trPr>
          <w:gridAfter w:val="1"/>
          <w:wAfter w:w="234" w:type="dxa"/>
          <w:trHeight w:val="480"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4054"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可持续影响 指标</w:t>
            </w:r>
          </w:p>
        </w:tc>
        <w:tc>
          <w:tcPr>
            <w:tcW w:w="14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创作更多的当地特色节目，更好的宣传旺苍。</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发挥红军剧场作用，更好的推广。</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r>
      <w:tr>
        <w:tblPrEx>
          <w:tblCellMar>
            <w:top w:w="0" w:type="dxa"/>
            <w:left w:w="108" w:type="dxa"/>
            <w:bottom w:w="0" w:type="dxa"/>
            <w:right w:w="108" w:type="dxa"/>
          </w:tblCellMar>
        </w:tblPrEx>
        <w:trPr>
          <w:gridAfter w:val="1"/>
          <w:wAfter w:w="234" w:type="dxa"/>
          <w:trHeight w:val="530" w:hRule="atLeast"/>
        </w:trPr>
        <w:tc>
          <w:tcPr>
            <w:tcW w:w="957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满意</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度指标</w:t>
            </w:r>
          </w:p>
        </w:tc>
        <w:tc>
          <w:tcPr>
            <w:tcW w:w="1492"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420" w:type="dxa"/>
            <w:tcBorders>
              <w:top w:val="single" w:color="000000" w:sz="4" w:space="0"/>
              <w:left w:val="single" w:color="000000" w:sz="4" w:space="0"/>
              <w:bottom w:val="single" w:color="000000" w:sz="4" w:space="0"/>
              <w:right w:val="single" w:color="000000" w:sz="4" w:space="0"/>
            </w:tcBorders>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上级部门满意、游客和观众满意</w:t>
            </w:r>
          </w:p>
        </w:tc>
        <w:tc>
          <w:tcPr>
            <w:tcW w:w="113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sz w:val="28"/>
                <w:szCs w:val="28"/>
              </w:rPr>
            </w:pPr>
            <w:r>
              <w:rPr>
                <w:rFonts w:hint="eastAsia" w:ascii="宋体" w:hAnsi="宋体" w:cs="宋体"/>
                <w:color w:val="000000"/>
                <w:kern w:val="0"/>
                <w:sz w:val="24"/>
              </w:rPr>
              <w:t>≥95%</w:t>
            </w:r>
          </w:p>
        </w:tc>
      </w:tr>
    </w:tbl>
    <w:p>
      <w:pPr>
        <w:pStyle w:val="2"/>
        <w:spacing w:before="93"/>
      </w:pPr>
    </w:p>
    <w:p>
      <w:pPr>
        <w:pStyle w:val="2"/>
        <w:spacing w:before="93"/>
      </w:pPr>
    </w:p>
    <w:p>
      <w:pPr>
        <w:pStyle w:val="2"/>
        <w:spacing w:before="93"/>
      </w:pPr>
    </w:p>
    <w:p>
      <w:pPr>
        <w:pStyle w:val="2"/>
        <w:spacing w:before="93"/>
      </w:pPr>
    </w:p>
    <w:p>
      <w:pPr>
        <w:pStyle w:val="2"/>
        <w:spacing w:before="93"/>
      </w:pPr>
    </w:p>
    <w:p>
      <w:pPr>
        <w:pStyle w:val="2"/>
        <w:spacing w:before="93"/>
      </w:pPr>
    </w:p>
    <w:p>
      <w:pPr>
        <w:jc w:val="center"/>
        <w:rPr>
          <w:rFonts w:ascii="黑体" w:hAnsi="黑体" w:eastAsia="黑体"/>
          <w:sz w:val="44"/>
          <w:szCs w:val="44"/>
        </w:rPr>
      </w:pPr>
      <w:r>
        <w:rPr>
          <w:rFonts w:hint="eastAsia" w:ascii="黑体" w:hAnsi="黑体" w:eastAsia="黑体"/>
          <w:sz w:val="44"/>
          <w:szCs w:val="44"/>
        </w:rPr>
        <w:t>第五部分 附表</w:t>
      </w:r>
    </w:p>
    <w:bookmarkEnd w:id="52"/>
    <w:bookmarkEnd w:id="53"/>
    <w:p>
      <w:pPr>
        <w:spacing w:line="600" w:lineRule="exact"/>
        <w:outlineLvl w:val="0"/>
        <w:rPr>
          <w:rStyle w:val="26"/>
          <w:rFonts w:ascii="仿宋" w:hAnsi="仿宋" w:eastAsia="仿宋"/>
          <w:b w:val="0"/>
          <w:bCs w:val="0"/>
        </w:rPr>
      </w:pPr>
      <w:bookmarkStart w:id="54" w:name="_Toc15396619"/>
      <w:r>
        <w:rPr>
          <w:rStyle w:val="26"/>
          <w:rFonts w:hint="eastAsia" w:ascii="仿宋" w:hAnsi="仿宋" w:eastAsia="仿宋"/>
          <w:b w:val="0"/>
          <w:bCs w:val="0"/>
        </w:rPr>
        <w:t>一、收入支出决算总表</w:t>
      </w:r>
      <w:bookmarkEnd w:id="54"/>
      <w:bookmarkStart w:id="55" w:name="_Toc15396620"/>
    </w:p>
    <w:p>
      <w:pPr>
        <w:spacing w:line="600" w:lineRule="exact"/>
        <w:outlineLvl w:val="0"/>
        <w:rPr>
          <w:rStyle w:val="26"/>
          <w:rFonts w:ascii="仿宋" w:hAnsi="仿宋" w:eastAsia="仿宋"/>
          <w:b w:val="0"/>
          <w:bCs w:val="0"/>
        </w:rPr>
      </w:pPr>
      <w:r>
        <w:rPr>
          <w:rStyle w:val="26"/>
          <w:rFonts w:hint="eastAsia" w:ascii="仿宋" w:hAnsi="仿宋" w:eastAsia="仿宋"/>
          <w:b w:val="0"/>
          <w:bCs w:val="0"/>
        </w:rPr>
        <w:t>二、收入决算表</w:t>
      </w:r>
      <w:bookmarkEnd w:id="55"/>
      <w:bookmarkStart w:id="56" w:name="_Toc15396621"/>
    </w:p>
    <w:p>
      <w:pPr>
        <w:spacing w:line="600" w:lineRule="exact"/>
        <w:outlineLvl w:val="0"/>
        <w:rPr>
          <w:rStyle w:val="26"/>
          <w:rFonts w:ascii="仿宋" w:hAnsi="仿宋" w:eastAsia="仿宋"/>
          <w:b w:val="0"/>
          <w:bCs w:val="0"/>
        </w:rPr>
      </w:pPr>
      <w:r>
        <w:rPr>
          <w:rStyle w:val="26"/>
          <w:rFonts w:hint="eastAsia" w:ascii="仿宋" w:hAnsi="仿宋" w:eastAsia="仿宋"/>
          <w:b w:val="0"/>
          <w:bCs w:val="0"/>
        </w:rPr>
        <w:t>三、支出决算表</w:t>
      </w:r>
      <w:bookmarkEnd w:id="56"/>
      <w:bookmarkStart w:id="57" w:name="_Toc15396622"/>
    </w:p>
    <w:p>
      <w:pPr>
        <w:spacing w:line="600" w:lineRule="exact"/>
        <w:outlineLvl w:val="0"/>
        <w:rPr>
          <w:rStyle w:val="26"/>
          <w:rFonts w:ascii="仿宋" w:hAnsi="仿宋" w:eastAsia="仿宋"/>
          <w:b w:val="0"/>
          <w:bCs w:val="0"/>
        </w:rPr>
      </w:pPr>
      <w:r>
        <w:rPr>
          <w:rStyle w:val="26"/>
          <w:rFonts w:hint="eastAsia" w:ascii="仿宋" w:hAnsi="仿宋" w:eastAsia="仿宋"/>
          <w:b w:val="0"/>
          <w:bCs w:val="0"/>
        </w:rPr>
        <w:t>四、财政拨款收入支出决算总表</w:t>
      </w:r>
      <w:bookmarkEnd w:id="57"/>
      <w:bookmarkStart w:id="58" w:name="_Toc15396623"/>
    </w:p>
    <w:p>
      <w:pPr>
        <w:spacing w:line="600" w:lineRule="exact"/>
        <w:outlineLvl w:val="0"/>
        <w:rPr>
          <w:rStyle w:val="26"/>
          <w:rFonts w:ascii="仿宋" w:hAnsi="仿宋" w:eastAsia="仿宋"/>
          <w:b w:val="0"/>
          <w:bCs w:val="0"/>
        </w:rPr>
      </w:pPr>
      <w:r>
        <w:rPr>
          <w:rStyle w:val="26"/>
          <w:rFonts w:hint="eastAsia" w:ascii="仿宋" w:hAnsi="仿宋" w:eastAsia="仿宋"/>
          <w:b w:val="0"/>
          <w:bCs w:val="0"/>
        </w:rPr>
        <w:t>五、财政拨款支出决算明细表</w:t>
      </w:r>
      <w:bookmarkEnd w:id="58"/>
      <w:bookmarkStart w:id="59" w:name="_Toc15396624"/>
    </w:p>
    <w:p>
      <w:pPr>
        <w:spacing w:line="600" w:lineRule="exact"/>
        <w:outlineLvl w:val="0"/>
        <w:rPr>
          <w:rStyle w:val="26"/>
          <w:rFonts w:ascii="仿宋" w:hAnsi="仿宋" w:eastAsia="仿宋"/>
          <w:b w:val="0"/>
          <w:bCs w:val="0"/>
        </w:rPr>
      </w:pPr>
      <w:r>
        <w:rPr>
          <w:rStyle w:val="26"/>
          <w:rFonts w:hint="eastAsia" w:ascii="仿宋" w:hAnsi="仿宋" w:eastAsia="仿宋"/>
          <w:b w:val="0"/>
          <w:bCs w:val="0"/>
        </w:rPr>
        <w:t>六、一般公共预算财政拨款支出决算表</w:t>
      </w:r>
      <w:bookmarkEnd w:id="59"/>
      <w:bookmarkStart w:id="60" w:name="_Toc15396625"/>
    </w:p>
    <w:p>
      <w:pPr>
        <w:spacing w:line="600" w:lineRule="exact"/>
        <w:outlineLvl w:val="0"/>
        <w:rPr>
          <w:rStyle w:val="26"/>
          <w:rFonts w:ascii="仿宋" w:hAnsi="仿宋" w:eastAsia="仿宋"/>
          <w:b w:val="0"/>
          <w:bCs w:val="0"/>
        </w:rPr>
      </w:pPr>
      <w:r>
        <w:rPr>
          <w:rStyle w:val="26"/>
          <w:rFonts w:hint="eastAsia" w:ascii="仿宋" w:hAnsi="仿宋" w:eastAsia="仿宋"/>
          <w:b w:val="0"/>
          <w:bCs w:val="0"/>
        </w:rPr>
        <w:t>七、一般公共预算财政拨款支出决算明细表</w:t>
      </w:r>
      <w:bookmarkEnd w:id="60"/>
      <w:bookmarkStart w:id="61" w:name="_Toc15396626"/>
    </w:p>
    <w:p>
      <w:pPr>
        <w:spacing w:line="600" w:lineRule="exact"/>
        <w:outlineLvl w:val="0"/>
        <w:rPr>
          <w:rFonts w:ascii="仿宋" w:hAnsi="仿宋" w:eastAsia="仿宋"/>
        </w:rPr>
      </w:pPr>
      <w:r>
        <w:rPr>
          <w:rStyle w:val="26"/>
          <w:rFonts w:hint="eastAsia" w:ascii="仿宋" w:hAnsi="仿宋" w:eastAsia="仿宋"/>
          <w:b w:val="0"/>
          <w:bCs w:val="0"/>
        </w:rPr>
        <w:t>八、一般公共预算财政拨款基本支出决算表</w:t>
      </w:r>
      <w:bookmarkEnd w:id="61"/>
    </w:p>
    <w:p>
      <w:pPr>
        <w:pStyle w:val="4"/>
        <w:rPr>
          <w:rFonts w:ascii="仿宋" w:hAnsi="仿宋" w:eastAsia="仿宋"/>
        </w:rPr>
      </w:pPr>
      <w:bookmarkStart w:id="62" w:name="_Toc15396627"/>
      <w:r>
        <w:rPr>
          <w:rStyle w:val="26"/>
          <w:rFonts w:hint="eastAsia" w:ascii="仿宋" w:hAnsi="仿宋" w:eastAsia="仿宋"/>
          <w:b w:val="0"/>
          <w:bCs w:val="0"/>
        </w:rPr>
        <w:t>九、</w:t>
      </w:r>
      <w:r>
        <w:rPr>
          <w:rFonts w:hint="eastAsia" w:ascii="仿宋" w:hAnsi="仿宋" w:eastAsia="仿宋"/>
          <w:b w:val="0"/>
        </w:rPr>
        <w:t>一</w:t>
      </w:r>
      <w:r>
        <w:rPr>
          <w:rStyle w:val="26"/>
          <w:rFonts w:hint="eastAsia" w:ascii="仿宋" w:hAnsi="仿宋" w:eastAsia="仿宋"/>
          <w:b w:val="0"/>
          <w:bCs w:val="0"/>
        </w:rPr>
        <w:t>般公共预算财政拨款项目支出决算表</w:t>
      </w:r>
      <w:bookmarkEnd w:id="62"/>
    </w:p>
    <w:p>
      <w:pPr>
        <w:pStyle w:val="4"/>
        <w:rPr>
          <w:rFonts w:ascii="仿宋" w:hAnsi="仿宋" w:eastAsia="仿宋"/>
        </w:rPr>
      </w:pPr>
      <w:bookmarkStart w:id="63" w:name="_Toc15396628"/>
      <w:r>
        <w:rPr>
          <w:rStyle w:val="26"/>
          <w:rFonts w:hint="eastAsia" w:ascii="仿宋" w:hAnsi="仿宋" w:eastAsia="仿宋"/>
          <w:b w:val="0"/>
          <w:bCs w:val="0"/>
        </w:rPr>
        <w:t>十、</w:t>
      </w:r>
      <w:r>
        <w:rPr>
          <w:rFonts w:hint="eastAsia" w:ascii="仿宋" w:hAnsi="仿宋" w:eastAsia="仿宋"/>
          <w:b w:val="0"/>
        </w:rPr>
        <w:t>一</w:t>
      </w:r>
      <w:r>
        <w:rPr>
          <w:rStyle w:val="26"/>
          <w:rFonts w:hint="eastAsia" w:ascii="仿宋" w:hAnsi="仿宋" w:eastAsia="仿宋"/>
          <w:b w:val="0"/>
          <w:bCs w:val="0"/>
        </w:rPr>
        <w:t>般公共预算财政拨款“三公”经费支出决算表</w:t>
      </w:r>
      <w:bookmarkEnd w:id="63"/>
    </w:p>
    <w:p>
      <w:pPr>
        <w:pStyle w:val="4"/>
        <w:rPr>
          <w:rFonts w:ascii="仿宋" w:hAnsi="仿宋" w:eastAsia="仿宋"/>
        </w:rPr>
      </w:pPr>
      <w:bookmarkStart w:id="64" w:name="_Toc15396629"/>
      <w:r>
        <w:rPr>
          <w:rStyle w:val="26"/>
          <w:rFonts w:hint="eastAsia" w:ascii="仿宋" w:hAnsi="仿宋" w:eastAsia="仿宋"/>
          <w:b w:val="0"/>
          <w:bCs w:val="0"/>
        </w:rPr>
        <w:t>十一、</w:t>
      </w:r>
      <w:r>
        <w:rPr>
          <w:rFonts w:hint="eastAsia" w:ascii="仿宋" w:hAnsi="仿宋" w:eastAsia="仿宋"/>
          <w:b w:val="0"/>
        </w:rPr>
        <w:t>政</w:t>
      </w:r>
      <w:r>
        <w:rPr>
          <w:rStyle w:val="26"/>
          <w:rFonts w:hint="eastAsia" w:ascii="仿宋" w:hAnsi="仿宋" w:eastAsia="仿宋"/>
          <w:b w:val="0"/>
          <w:bCs w:val="0"/>
        </w:rPr>
        <w:t>府性基金预算财政拨款收入支出决算表</w:t>
      </w:r>
      <w:bookmarkEnd w:id="64"/>
    </w:p>
    <w:p>
      <w:pPr>
        <w:pStyle w:val="4"/>
        <w:rPr>
          <w:rFonts w:ascii="仿宋" w:hAnsi="仿宋" w:eastAsia="仿宋"/>
        </w:rPr>
      </w:pPr>
      <w:bookmarkStart w:id="65" w:name="_Toc15396630"/>
      <w:r>
        <w:rPr>
          <w:rStyle w:val="26"/>
          <w:rFonts w:hint="eastAsia" w:ascii="仿宋" w:hAnsi="仿宋" w:eastAsia="仿宋"/>
          <w:b w:val="0"/>
          <w:bCs w:val="0"/>
        </w:rPr>
        <w:t>十二、</w:t>
      </w:r>
      <w:r>
        <w:rPr>
          <w:rFonts w:hint="eastAsia" w:ascii="仿宋" w:hAnsi="仿宋" w:eastAsia="仿宋"/>
          <w:b w:val="0"/>
        </w:rPr>
        <w:t>政</w:t>
      </w:r>
      <w:r>
        <w:rPr>
          <w:rStyle w:val="26"/>
          <w:rFonts w:hint="eastAsia" w:ascii="仿宋" w:hAnsi="仿宋" w:eastAsia="仿宋"/>
          <w:b w:val="0"/>
          <w:bCs w:val="0"/>
        </w:rPr>
        <w:t>府性基金预算财政拨款“三公”经费支出决算表</w:t>
      </w:r>
      <w:bookmarkEnd w:id="65"/>
    </w:p>
    <w:p>
      <w:pPr>
        <w:pStyle w:val="4"/>
        <w:rPr>
          <w:rStyle w:val="26"/>
          <w:rFonts w:ascii="仿宋" w:hAnsi="仿宋" w:eastAsia="仿宋"/>
          <w:b w:val="0"/>
          <w:bCs w:val="0"/>
        </w:rPr>
      </w:pPr>
      <w:bookmarkStart w:id="66" w:name="_Toc15396631"/>
      <w:r>
        <w:rPr>
          <w:rStyle w:val="26"/>
          <w:rFonts w:hint="eastAsia" w:ascii="仿宋" w:hAnsi="仿宋" w:eastAsia="仿宋"/>
          <w:b w:val="0"/>
          <w:bCs w:val="0"/>
        </w:rPr>
        <w:t>十三、</w:t>
      </w:r>
      <w:r>
        <w:rPr>
          <w:rFonts w:hint="eastAsia" w:ascii="仿宋" w:hAnsi="仿宋" w:eastAsia="仿宋"/>
          <w:b w:val="0"/>
        </w:rPr>
        <w:t>国</w:t>
      </w:r>
      <w:r>
        <w:rPr>
          <w:rStyle w:val="26"/>
          <w:rFonts w:hint="eastAsia" w:ascii="仿宋" w:hAnsi="仿宋" w:eastAsia="仿宋"/>
          <w:b w:val="0"/>
          <w:bCs w:val="0"/>
        </w:rPr>
        <w:t>有资本经营预算财政拨款收入支出决算表</w:t>
      </w:r>
      <w:bookmarkEnd w:id="66"/>
    </w:p>
    <w:p>
      <w:pPr>
        <w:rPr>
          <w:rFonts w:eastAsia="仿宋"/>
        </w:rPr>
      </w:pPr>
      <w:r>
        <w:rPr>
          <w:rStyle w:val="26"/>
          <w:rFonts w:hint="eastAsia" w:ascii="仿宋" w:hAnsi="仿宋" w:eastAsia="仿宋"/>
          <w:b w:val="0"/>
          <w:bCs w:val="0"/>
        </w:rPr>
        <w:t>十四、国有资本经营预算财政拨款支出决算表</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3</w:t>
        </w:r>
        <w:r>
          <w:rPr>
            <w:lang w:val="zh-CN"/>
          </w:rP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jZjZTI5MDkzMDY5OGVhMjVjMmFiZjJmZTkwNTgyZTcifQ=="/>
  </w:docVars>
  <w:rsids>
    <w:rsidRoot w:val="00F1361C"/>
    <w:rsid w:val="000222C6"/>
    <w:rsid w:val="0002549F"/>
    <w:rsid w:val="000468DB"/>
    <w:rsid w:val="0006487A"/>
    <w:rsid w:val="00065F8F"/>
    <w:rsid w:val="00067686"/>
    <w:rsid w:val="00070A43"/>
    <w:rsid w:val="000768F2"/>
    <w:rsid w:val="000773A9"/>
    <w:rsid w:val="0009184B"/>
    <w:rsid w:val="00094236"/>
    <w:rsid w:val="0009593C"/>
    <w:rsid w:val="00097322"/>
    <w:rsid w:val="000A6A92"/>
    <w:rsid w:val="000B047F"/>
    <w:rsid w:val="000B402C"/>
    <w:rsid w:val="000B5923"/>
    <w:rsid w:val="000B5A48"/>
    <w:rsid w:val="000B6FF3"/>
    <w:rsid w:val="000C3467"/>
    <w:rsid w:val="000C3CA6"/>
    <w:rsid w:val="000D1267"/>
    <w:rsid w:val="000D1D50"/>
    <w:rsid w:val="000D5782"/>
    <w:rsid w:val="000D7A27"/>
    <w:rsid w:val="000E6613"/>
    <w:rsid w:val="000E7119"/>
    <w:rsid w:val="00114E9B"/>
    <w:rsid w:val="00142216"/>
    <w:rsid w:val="00144D6A"/>
    <w:rsid w:val="0014729F"/>
    <w:rsid w:val="00157BAB"/>
    <w:rsid w:val="001654D1"/>
    <w:rsid w:val="00174518"/>
    <w:rsid w:val="0018106D"/>
    <w:rsid w:val="001877A7"/>
    <w:rsid w:val="00191536"/>
    <w:rsid w:val="00196687"/>
    <w:rsid w:val="001B7D17"/>
    <w:rsid w:val="001C0962"/>
    <w:rsid w:val="001D7531"/>
    <w:rsid w:val="001E737D"/>
    <w:rsid w:val="001F0592"/>
    <w:rsid w:val="001F73EB"/>
    <w:rsid w:val="001F7506"/>
    <w:rsid w:val="002006CD"/>
    <w:rsid w:val="00202B36"/>
    <w:rsid w:val="00203665"/>
    <w:rsid w:val="00204B7A"/>
    <w:rsid w:val="00204CDE"/>
    <w:rsid w:val="0021101A"/>
    <w:rsid w:val="00220536"/>
    <w:rsid w:val="00224FE5"/>
    <w:rsid w:val="00235629"/>
    <w:rsid w:val="00260C38"/>
    <w:rsid w:val="002616C0"/>
    <w:rsid w:val="00265372"/>
    <w:rsid w:val="002662AA"/>
    <w:rsid w:val="00280496"/>
    <w:rsid w:val="00294DC9"/>
    <w:rsid w:val="00295495"/>
    <w:rsid w:val="002A31DE"/>
    <w:rsid w:val="002A38AB"/>
    <w:rsid w:val="002B2613"/>
    <w:rsid w:val="002D6D05"/>
    <w:rsid w:val="002F1818"/>
    <w:rsid w:val="002F567B"/>
    <w:rsid w:val="00303261"/>
    <w:rsid w:val="003216A9"/>
    <w:rsid w:val="003259AE"/>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4F6C54"/>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E6C73"/>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2E70"/>
    <w:rsid w:val="006A3141"/>
    <w:rsid w:val="006A5E34"/>
    <w:rsid w:val="006B2422"/>
    <w:rsid w:val="006B2B9A"/>
    <w:rsid w:val="006C1937"/>
    <w:rsid w:val="006F020C"/>
    <w:rsid w:val="006F6EF2"/>
    <w:rsid w:val="00711605"/>
    <w:rsid w:val="007127B7"/>
    <w:rsid w:val="0071798E"/>
    <w:rsid w:val="007416B6"/>
    <w:rsid w:val="00746F48"/>
    <w:rsid w:val="0075404D"/>
    <w:rsid w:val="0076182A"/>
    <w:rsid w:val="00767B7E"/>
    <w:rsid w:val="007738D9"/>
    <w:rsid w:val="007770C3"/>
    <w:rsid w:val="00784D24"/>
    <w:rsid w:val="00785FBA"/>
    <w:rsid w:val="00786136"/>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74FF8"/>
    <w:rsid w:val="0088042D"/>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6522C"/>
    <w:rsid w:val="0097099F"/>
    <w:rsid w:val="00971997"/>
    <w:rsid w:val="00971FFC"/>
    <w:rsid w:val="0098660A"/>
    <w:rsid w:val="00990680"/>
    <w:rsid w:val="009931C3"/>
    <w:rsid w:val="009B2C43"/>
    <w:rsid w:val="009B4EAE"/>
    <w:rsid w:val="009B7573"/>
    <w:rsid w:val="009C22F4"/>
    <w:rsid w:val="009C2A2C"/>
    <w:rsid w:val="009C2A4B"/>
    <w:rsid w:val="009C2E98"/>
    <w:rsid w:val="009D3447"/>
    <w:rsid w:val="009D4711"/>
    <w:rsid w:val="009F1185"/>
    <w:rsid w:val="009F18CD"/>
    <w:rsid w:val="009F2A13"/>
    <w:rsid w:val="009F7527"/>
    <w:rsid w:val="00A04EB0"/>
    <w:rsid w:val="00A13CC1"/>
    <w:rsid w:val="00A16847"/>
    <w:rsid w:val="00A237D8"/>
    <w:rsid w:val="00A268C4"/>
    <w:rsid w:val="00A27073"/>
    <w:rsid w:val="00A307CD"/>
    <w:rsid w:val="00A331C8"/>
    <w:rsid w:val="00A40A00"/>
    <w:rsid w:val="00A4142F"/>
    <w:rsid w:val="00A422EB"/>
    <w:rsid w:val="00A45BB7"/>
    <w:rsid w:val="00A55EC4"/>
    <w:rsid w:val="00A56DF2"/>
    <w:rsid w:val="00A56E6E"/>
    <w:rsid w:val="00A67AB5"/>
    <w:rsid w:val="00A733B2"/>
    <w:rsid w:val="00A741C2"/>
    <w:rsid w:val="00A91760"/>
    <w:rsid w:val="00A93B00"/>
    <w:rsid w:val="00A93C21"/>
    <w:rsid w:val="00AA1FA6"/>
    <w:rsid w:val="00AB64C9"/>
    <w:rsid w:val="00AC3C6A"/>
    <w:rsid w:val="00AD5620"/>
    <w:rsid w:val="00AD656B"/>
    <w:rsid w:val="00AD7C1B"/>
    <w:rsid w:val="00AE16BA"/>
    <w:rsid w:val="00AE1EBE"/>
    <w:rsid w:val="00B023A6"/>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0300"/>
    <w:rsid w:val="00BF5BD6"/>
    <w:rsid w:val="00C03E31"/>
    <w:rsid w:val="00C21DE2"/>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0A0A"/>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963BE"/>
    <w:rsid w:val="00DA634F"/>
    <w:rsid w:val="00DA65AC"/>
    <w:rsid w:val="00DB1913"/>
    <w:rsid w:val="00DC410D"/>
    <w:rsid w:val="00DC5A81"/>
    <w:rsid w:val="00DC68CA"/>
    <w:rsid w:val="00DC7CBA"/>
    <w:rsid w:val="00DD73B7"/>
    <w:rsid w:val="00DE67E2"/>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C5B2C"/>
    <w:rsid w:val="00ED1B63"/>
    <w:rsid w:val="00ED3C1F"/>
    <w:rsid w:val="00ED4085"/>
    <w:rsid w:val="00ED420E"/>
    <w:rsid w:val="00ED6A1E"/>
    <w:rsid w:val="00ED6FBE"/>
    <w:rsid w:val="00EE2F57"/>
    <w:rsid w:val="00EF4C34"/>
    <w:rsid w:val="00EF77C6"/>
    <w:rsid w:val="00F05438"/>
    <w:rsid w:val="00F0668A"/>
    <w:rsid w:val="00F069CC"/>
    <w:rsid w:val="00F1361C"/>
    <w:rsid w:val="00F14159"/>
    <w:rsid w:val="00F156F0"/>
    <w:rsid w:val="00F160C7"/>
    <w:rsid w:val="00F2408F"/>
    <w:rsid w:val="00F240E9"/>
    <w:rsid w:val="00F36D8F"/>
    <w:rsid w:val="00F417B1"/>
    <w:rsid w:val="00F45853"/>
    <w:rsid w:val="00F602DF"/>
    <w:rsid w:val="00F64986"/>
    <w:rsid w:val="00F754A1"/>
    <w:rsid w:val="00F81FD9"/>
    <w:rsid w:val="00F841AA"/>
    <w:rsid w:val="00F84A94"/>
    <w:rsid w:val="00F87E96"/>
    <w:rsid w:val="00F9010C"/>
    <w:rsid w:val="00FA23E8"/>
    <w:rsid w:val="00FD3CC1"/>
    <w:rsid w:val="00FF1E02"/>
    <w:rsid w:val="00FF30B4"/>
    <w:rsid w:val="018310A4"/>
    <w:rsid w:val="02EF5D67"/>
    <w:rsid w:val="0372473F"/>
    <w:rsid w:val="039D0DB3"/>
    <w:rsid w:val="03C737C2"/>
    <w:rsid w:val="03CB6703"/>
    <w:rsid w:val="043B4802"/>
    <w:rsid w:val="043E35A9"/>
    <w:rsid w:val="043F2972"/>
    <w:rsid w:val="04B45F68"/>
    <w:rsid w:val="04ED6A2E"/>
    <w:rsid w:val="050B5DCF"/>
    <w:rsid w:val="05C04F08"/>
    <w:rsid w:val="063E2576"/>
    <w:rsid w:val="068463FB"/>
    <w:rsid w:val="06E93ECA"/>
    <w:rsid w:val="076619C9"/>
    <w:rsid w:val="07854B0F"/>
    <w:rsid w:val="0835266A"/>
    <w:rsid w:val="088E6E81"/>
    <w:rsid w:val="090E459E"/>
    <w:rsid w:val="09313CB2"/>
    <w:rsid w:val="0A2032A3"/>
    <w:rsid w:val="0AC5372C"/>
    <w:rsid w:val="0AFE20C6"/>
    <w:rsid w:val="0B4F2C6A"/>
    <w:rsid w:val="0B8A37D8"/>
    <w:rsid w:val="0BE33C30"/>
    <w:rsid w:val="0C610953"/>
    <w:rsid w:val="0D192D82"/>
    <w:rsid w:val="0D816387"/>
    <w:rsid w:val="0DC24BEC"/>
    <w:rsid w:val="0E3125DA"/>
    <w:rsid w:val="0E40094E"/>
    <w:rsid w:val="0E955D7C"/>
    <w:rsid w:val="0ECD01F1"/>
    <w:rsid w:val="0EE97862"/>
    <w:rsid w:val="0EEA28AB"/>
    <w:rsid w:val="0F3B5A76"/>
    <w:rsid w:val="0F801B8D"/>
    <w:rsid w:val="0FC16C15"/>
    <w:rsid w:val="100040A0"/>
    <w:rsid w:val="103548B8"/>
    <w:rsid w:val="10786C82"/>
    <w:rsid w:val="107F7FCD"/>
    <w:rsid w:val="10A25BA0"/>
    <w:rsid w:val="10C055FF"/>
    <w:rsid w:val="10E64E23"/>
    <w:rsid w:val="111D5143"/>
    <w:rsid w:val="118107EC"/>
    <w:rsid w:val="11DD6519"/>
    <w:rsid w:val="12547F78"/>
    <w:rsid w:val="128A7F4D"/>
    <w:rsid w:val="13857A8D"/>
    <w:rsid w:val="13A70821"/>
    <w:rsid w:val="15311D88"/>
    <w:rsid w:val="16B45AC1"/>
    <w:rsid w:val="16BB723D"/>
    <w:rsid w:val="172D479C"/>
    <w:rsid w:val="17544ABC"/>
    <w:rsid w:val="18015F3F"/>
    <w:rsid w:val="191E5A20"/>
    <w:rsid w:val="193556AD"/>
    <w:rsid w:val="1AA6315E"/>
    <w:rsid w:val="1B4757E4"/>
    <w:rsid w:val="1BA2080D"/>
    <w:rsid w:val="1BC6681B"/>
    <w:rsid w:val="1BE8440E"/>
    <w:rsid w:val="1D155CEE"/>
    <w:rsid w:val="1DF33AC1"/>
    <w:rsid w:val="1E7F120C"/>
    <w:rsid w:val="1F1420E0"/>
    <w:rsid w:val="1F303D95"/>
    <w:rsid w:val="1F7920C0"/>
    <w:rsid w:val="2048580E"/>
    <w:rsid w:val="20647C40"/>
    <w:rsid w:val="20844B4D"/>
    <w:rsid w:val="20F57F95"/>
    <w:rsid w:val="21C308E9"/>
    <w:rsid w:val="222D00FF"/>
    <w:rsid w:val="225C60F4"/>
    <w:rsid w:val="229C517C"/>
    <w:rsid w:val="231D6EE1"/>
    <w:rsid w:val="237F5BC5"/>
    <w:rsid w:val="23865F9F"/>
    <w:rsid w:val="240371BF"/>
    <w:rsid w:val="24612C2F"/>
    <w:rsid w:val="24746C8E"/>
    <w:rsid w:val="25C741E6"/>
    <w:rsid w:val="26B80FF7"/>
    <w:rsid w:val="275D5583"/>
    <w:rsid w:val="27842671"/>
    <w:rsid w:val="27BD4FC2"/>
    <w:rsid w:val="28DE7BF7"/>
    <w:rsid w:val="295203C7"/>
    <w:rsid w:val="29B0762F"/>
    <w:rsid w:val="29FD04D3"/>
    <w:rsid w:val="2A487BEA"/>
    <w:rsid w:val="2A4E764B"/>
    <w:rsid w:val="2ABE7A3E"/>
    <w:rsid w:val="2B7F64EF"/>
    <w:rsid w:val="2BB44359"/>
    <w:rsid w:val="2CBA7EDD"/>
    <w:rsid w:val="2D245FC8"/>
    <w:rsid w:val="2D5262D1"/>
    <w:rsid w:val="2D946B32"/>
    <w:rsid w:val="2DE13D12"/>
    <w:rsid w:val="2E347407"/>
    <w:rsid w:val="2E9A0BBD"/>
    <w:rsid w:val="2ED95B2F"/>
    <w:rsid w:val="2EFA178C"/>
    <w:rsid w:val="2F5005D5"/>
    <w:rsid w:val="2F9E59CD"/>
    <w:rsid w:val="2FCC566B"/>
    <w:rsid w:val="30B46D73"/>
    <w:rsid w:val="317D4B61"/>
    <w:rsid w:val="319F7F4E"/>
    <w:rsid w:val="31B03F96"/>
    <w:rsid w:val="32321A49"/>
    <w:rsid w:val="32E86245"/>
    <w:rsid w:val="33C9642C"/>
    <w:rsid w:val="33CB628E"/>
    <w:rsid w:val="34413CE2"/>
    <w:rsid w:val="345E7AAA"/>
    <w:rsid w:val="34FD0D44"/>
    <w:rsid w:val="36C55367"/>
    <w:rsid w:val="36E77684"/>
    <w:rsid w:val="374D7CBB"/>
    <w:rsid w:val="37B72A8F"/>
    <w:rsid w:val="37B95C07"/>
    <w:rsid w:val="38404989"/>
    <w:rsid w:val="38C909DE"/>
    <w:rsid w:val="38E620FE"/>
    <w:rsid w:val="390A02B5"/>
    <w:rsid w:val="39887606"/>
    <w:rsid w:val="39AE70AB"/>
    <w:rsid w:val="39E30AA3"/>
    <w:rsid w:val="3A2F2CB9"/>
    <w:rsid w:val="3A392768"/>
    <w:rsid w:val="3AAC2B6F"/>
    <w:rsid w:val="3AAD05C5"/>
    <w:rsid w:val="3C0C0783"/>
    <w:rsid w:val="3C3B52F7"/>
    <w:rsid w:val="3C467F37"/>
    <w:rsid w:val="3CB833B2"/>
    <w:rsid w:val="3CFA3BCA"/>
    <w:rsid w:val="3D3333D4"/>
    <w:rsid w:val="3DBC3537"/>
    <w:rsid w:val="3E3719A7"/>
    <w:rsid w:val="3E75701E"/>
    <w:rsid w:val="3F4762C9"/>
    <w:rsid w:val="3F487C26"/>
    <w:rsid w:val="3F795B0E"/>
    <w:rsid w:val="3F9F3A96"/>
    <w:rsid w:val="403B0C5B"/>
    <w:rsid w:val="40456409"/>
    <w:rsid w:val="40FA3921"/>
    <w:rsid w:val="423257C3"/>
    <w:rsid w:val="425E184F"/>
    <w:rsid w:val="43585A5D"/>
    <w:rsid w:val="443E3010"/>
    <w:rsid w:val="48A37E6E"/>
    <w:rsid w:val="48B05893"/>
    <w:rsid w:val="48E02916"/>
    <w:rsid w:val="49267EB5"/>
    <w:rsid w:val="493C27E9"/>
    <w:rsid w:val="496F39ED"/>
    <w:rsid w:val="49FF41D3"/>
    <w:rsid w:val="4A185DC8"/>
    <w:rsid w:val="4A4F60A9"/>
    <w:rsid w:val="4A592B2A"/>
    <w:rsid w:val="4AA40FA9"/>
    <w:rsid w:val="4B260BC5"/>
    <w:rsid w:val="4B3B06AD"/>
    <w:rsid w:val="4BA40BF6"/>
    <w:rsid w:val="4BC438C3"/>
    <w:rsid w:val="4BCF4CD2"/>
    <w:rsid w:val="4BE068DB"/>
    <w:rsid w:val="4BF6002B"/>
    <w:rsid w:val="4D201EE6"/>
    <w:rsid w:val="4D3B4C12"/>
    <w:rsid w:val="4D5B5430"/>
    <w:rsid w:val="4DFA64EF"/>
    <w:rsid w:val="4E906F73"/>
    <w:rsid w:val="4E9666E5"/>
    <w:rsid w:val="4EB53230"/>
    <w:rsid w:val="4ECE2238"/>
    <w:rsid w:val="4F0049A6"/>
    <w:rsid w:val="4F7B4AFE"/>
    <w:rsid w:val="508B23A8"/>
    <w:rsid w:val="513D5850"/>
    <w:rsid w:val="51C807AB"/>
    <w:rsid w:val="51CC2B93"/>
    <w:rsid w:val="51DB4B86"/>
    <w:rsid w:val="52975CD7"/>
    <w:rsid w:val="53F554BC"/>
    <w:rsid w:val="541C055C"/>
    <w:rsid w:val="55333C3E"/>
    <w:rsid w:val="556E78D9"/>
    <w:rsid w:val="5592019F"/>
    <w:rsid w:val="55AE3BA8"/>
    <w:rsid w:val="576E56A8"/>
    <w:rsid w:val="58E373D5"/>
    <w:rsid w:val="58FD04A4"/>
    <w:rsid w:val="58FF121A"/>
    <w:rsid w:val="598F057F"/>
    <w:rsid w:val="59B97E30"/>
    <w:rsid w:val="59E82ECF"/>
    <w:rsid w:val="5A2F518D"/>
    <w:rsid w:val="5A761394"/>
    <w:rsid w:val="5B3B34FC"/>
    <w:rsid w:val="5BBA60DF"/>
    <w:rsid w:val="5C455C0C"/>
    <w:rsid w:val="5C7F42A4"/>
    <w:rsid w:val="5C932098"/>
    <w:rsid w:val="5D982EC9"/>
    <w:rsid w:val="5EB771BA"/>
    <w:rsid w:val="5EC60043"/>
    <w:rsid w:val="5ECF0451"/>
    <w:rsid w:val="5F85388F"/>
    <w:rsid w:val="5FD74CAD"/>
    <w:rsid w:val="5FDA11BE"/>
    <w:rsid w:val="60384FAE"/>
    <w:rsid w:val="607C7F57"/>
    <w:rsid w:val="60F62C17"/>
    <w:rsid w:val="61501043"/>
    <w:rsid w:val="6228702A"/>
    <w:rsid w:val="64CA39A1"/>
    <w:rsid w:val="656F0FBA"/>
    <w:rsid w:val="65734898"/>
    <w:rsid w:val="65906831"/>
    <w:rsid w:val="66956204"/>
    <w:rsid w:val="66A960D1"/>
    <w:rsid w:val="67453F90"/>
    <w:rsid w:val="67605244"/>
    <w:rsid w:val="68AF5E55"/>
    <w:rsid w:val="6993419D"/>
    <w:rsid w:val="69B74790"/>
    <w:rsid w:val="69D77120"/>
    <w:rsid w:val="69F3670B"/>
    <w:rsid w:val="6A326922"/>
    <w:rsid w:val="6A875E20"/>
    <w:rsid w:val="6AB377D4"/>
    <w:rsid w:val="6B1E4E97"/>
    <w:rsid w:val="6BC97BED"/>
    <w:rsid w:val="6BD67146"/>
    <w:rsid w:val="6C4A05C8"/>
    <w:rsid w:val="6C965FCC"/>
    <w:rsid w:val="6CFD7603"/>
    <w:rsid w:val="6D3400CD"/>
    <w:rsid w:val="6D933E82"/>
    <w:rsid w:val="6DB506AE"/>
    <w:rsid w:val="6DD75464"/>
    <w:rsid w:val="6E962FA1"/>
    <w:rsid w:val="6EF21B94"/>
    <w:rsid w:val="6F1027C8"/>
    <w:rsid w:val="6F10280E"/>
    <w:rsid w:val="6FB229B6"/>
    <w:rsid w:val="6FE80BF3"/>
    <w:rsid w:val="6FF101A0"/>
    <w:rsid w:val="70013EB9"/>
    <w:rsid w:val="70C96AB3"/>
    <w:rsid w:val="71280565"/>
    <w:rsid w:val="71A566E0"/>
    <w:rsid w:val="72734D90"/>
    <w:rsid w:val="7289018A"/>
    <w:rsid w:val="72BE5BC3"/>
    <w:rsid w:val="72FD0E58"/>
    <w:rsid w:val="73B06E1B"/>
    <w:rsid w:val="743324D9"/>
    <w:rsid w:val="744E2AE1"/>
    <w:rsid w:val="74604441"/>
    <w:rsid w:val="74737C4F"/>
    <w:rsid w:val="74856D26"/>
    <w:rsid w:val="75790971"/>
    <w:rsid w:val="77CB564E"/>
    <w:rsid w:val="77F73384"/>
    <w:rsid w:val="78441BFC"/>
    <w:rsid w:val="78530514"/>
    <w:rsid w:val="78D3255C"/>
    <w:rsid w:val="78D61BFA"/>
    <w:rsid w:val="791E1BBA"/>
    <w:rsid w:val="79E7B28D"/>
    <w:rsid w:val="7A7B6FCC"/>
    <w:rsid w:val="7AD42CAF"/>
    <w:rsid w:val="7AF61F10"/>
    <w:rsid w:val="7B2A41F0"/>
    <w:rsid w:val="7B5F5B91"/>
    <w:rsid w:val="7C0C3D3C"/>
    <w:rsid w:val="7C923D8E"/>
    <w:rsid w:val="7D0E2432"/>
    <w:rsid w:val="7DD7336D"/>
    <w:rsid w:val="7E512B93"/>
    <w:rsid w:val="7E5A1C1D"/>
    <w:rsid w:val="7E811F06"/>
    <w:rsid w:val="7F9E2E56"/>
    <w:rsid w:val="7F9F20EE"/>
    <w:rsid w:val="7FA30A72"/>
    <w:rsid w:val="7FCA52DE"/>
    <w:rsid w:val="7FED2D3D"/>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2"/>
    <w:qFormat/>
    <w:uiPriority w:val="99"/>
    <w:pPr>
      <w:spacing w:beforeLines="30"/>
    </w:pPr>
    <w:rPr>
      <w:rFonts w:ascii="仿宋_GB2312" w:eastAsia="仿宋_GB2312"/>
      <w:kern w:val="0"/>
      <w:sz w:val="30"/>
    </w:rPr>
  </w:style>
  <w:style w:type="paragraph" w:styleId="6">
    <w:name w:val="Salutation"/>
    <w:basedOn w:val="1"/>
    <w:next w:val="1"/>
    <w:link w:val="31"/>
    <w:qFormat/>
    <w:uiPriority w:val="0"/>
    <w:pPr>
      <w:spacing w:line="540" w:lineRule="exact"/>
    </w:pPr>
    <w:rPr>
      <w:rFonts w:eastAsia="仿宋_GB2312"/>
      <w:spacing w:val="-2"/>
      <w:sz w:val="32"/>
      <w:szCs w:val="2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8"/>
    <w:semiHidden/>
    <w:unhideWhenUsed/>
    <w:qFormat/>
    <w:uiPriority w:val="99"/>
    <w:rPr>
      <w:sz w:val="18"/>
      <w:szCs w:val="18"/>
    </w:rPr>
  </w:style>
  <w:style w:type="paragraph" w:styleId="9">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10"/>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9"/>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2"/>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3"/>
    <w:qFormat/>
    <w:uiPriority w:val="9"/>
    <w:rPr>
      <w:rFonts w:ascii="Times New Roman" w:hAnsi="Times New Roman"/>
      <w:b/>
      <w:bCs/>
      <w:kern w:val="44"/>
      <w:sz w:val="44"/>
      <w:szCs w:val="44"/>
    </w:rPr>
  </w:style>
  <w:style w:type="character" w:customStyle="1" w:styleId="26">
    <w:name w:val="标题 2 Char"/>
    <w:basedOn w:val="14"/>
    <w:link w:val="4"/>
    <w:qFormat/>
    <w:uiPriority w:val="9"/>
    <w:rPr>
      <w:rFonts w:asciiTheme="majorHAnsi" w:hAnsiTheme="majorHAnsi" w:eastAsiaTheme="majorEastAsia" w:cstheme="majorBidi"/>
      <w:b/>
      <w:bCs/>
      <w:kern w:val="2"/>
      <w:sz w:val="32"/>
      <w:szCs w:val="32"/>
    </w:rPr>
  </w:style>
  <w:style w:type="paragraph" w:customStyle="1" w:styleId="2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28">
    <w:name w:val="批注框文本 Char"/>
    <w:basedOn w:val="14"/>
    <w:link w:val="8"/>
    <w:semiHidden/>
    <w:qFormat/>
    <w:uiPriority w:val="99"/>
    <w:rPr>
      <w:rFonts w:ascii="Times New Roman" w:hAnsi="Times New Roman"/>
      <w:kern w:val="2"/>
      <w:sz w:val="18"/>
      <w:szCs w:val="18"/>
    </w:rPr>
  </w:style>
  <w:style w:type="character" w:customStyle="1" w:styleId="29">
    <w:name w:val="标题 3 Char"/>
    <w:basedOn w:val="14"/>
    <w:link w:val="5"/>
    <w:qFormat/>
    <w:uiPriority w:val="9"/>
    <w:rPr>
      <w:rFonts w:ascii="Times New Roman" w:hAnsi="Times New Roman"/>
      <w:b/>
      <w:bCs/>
      <w:kern w:val="2"/>
      <w:sz w:val="32"/>
      <w:szCs w:val="32"/>
    </w:rPr>
  </w:style>
  <w:style w:type="paragraph" w:customStyle="1" w:styleId="30">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1">
    <w:name w:val="称呼 Char"/>
    <w:basedOn w:val="14"/>
    <w:link w:val="6"/>
    <w:uiPriority w:val="0"/>
    <w:rPr>
      <w:rFonts w:ascii="Times New Roman" w:hAnsi="Times New Roman" w:eastAsia="仿宋_GB2312" w:cs="Times New Roman"/>
      <w:spacing w:val="-2"/>
      <w:kern w:val="2"/>
      <w:sz w:val="32"/>
    </w:rPr>
  </w:style>
</w:styles>
</file>

<file path=word/_rels/document.xml.rels><?xml version="1.0" encoding="UTF-8" standalone="yes"?>
<Relationships xmlns="http://schemas.openxmlformats.org/package/2006/relationships"><Relationship Id="rId9" Type="http://schemas.openxmlformats.org/officeDocument/2006/relationships/chart" Target="charts/chart2.xml"/><Relationship Id="rId8" Type="http://schemas.openxmlformats.org/officeDocument/2006/relationships/chart" Target="charts/chart1.xml"/><Relationship Id="rId7" Type="http://schemas.openxmlformats.org/officeDocument/2006/relationships/image" Target="media/image1.emf"/><Relationship Id="rId6" Type="http://schemas.openxmlformats.org/officeDocument/2006/relationships/oleObject" Target="embeddings/Workbook1.xls"/><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4.png"/><Relationship Id="rId14" Type="http://schemas.openxmlformats.org/officeDocument/2006/relationships/chart" Target="charts/chart3.xml"/><Relationship Id="rId13" Type="http://schemas.openxmlformats.org/officeDocument/2006/relationships/image" Target="media/image3.emf"/><Relationship Id="rId12" Type="http://schemas.openxmlformats.org/officeDocument/2006/relationships/oleObject" Target="embeddings/Workbook3.xls"/><Relationship Id="rId11" Type="http://schemas.openxmlformats.org/officeDocument/2006/relationships/image" Target="media/image2.emf"/><Relationship Id="rId10" Type="http://schemas.openxmlformats.org/officeDocument/2006/relationships/oleObject" Target="embeddings/Workbook2.xls"/><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5.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6.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2021年总收入162.62万元</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elete val="1"/>
          </c:dLbls>
          <c:cat>
            <c:strRef>
              <c:f>Sheet1!$A$2:$A$3</c:f>
              <c:strCache>
                <c:ptCount val="2"/>
                <c:pt idx="0">
                  <c:v>2020年收入220.32万元</c:v>
                </c:pt>
                <c:pt idx="1">
                  <c:v>2021年收入162.62万元</c:v>
                </c:pt>
              </c:strCache>
            </c:strRef>
          </c:cat>
          <c:val>
            <c:numRef>
              <c:f>Sheet1!$B$2:$B$3</c:f>
              <c:numCache>
                <c:formatCode>General</c:formatCode>
                <c:ptCount val="2"/>
                <c:pt idx="0">
                  <c:v>8.2</c:v>
                </c:pt>
                <c:pt idx="1">
                  <c:v>3.2</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2021年总支出209.78万元</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elete val="1"/>
          </c:dLbls>
          <c:cat>
            <c:strRef>
              <c:f>Sheet1!$A$2:$A$3</c:f>
              <c:strCache>
                <c:ptCount val="2"/>
                <c:pt idx="0">
                  <c:v>基本支出162.25万元</c:v>
                </c:pt>
                <c:pt idx="1">
                  <c:v>项目支出47.53万元</c:v>
                </c:pt>
              </c:strCache>
            </c:strRef>
          </c:cat>
          <c:val>
            <c:numRef>
              <c:f>Sheet1!$B$2:$B$3</c:f>
              <c:numCache>
                <c:formatCode>General</c:formatCode>
                <c:ptCount val="2"/>
                <c:pt idx="0">
                  <c:v>8.2</c:v>
                </c:pt>
                <c:pt idx="1">
                  <c:v>3.2</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列1</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0.0845071163465728"/>
                  <c:y val="-0.232477229834672"/>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1"/>
              <c:layout/>
              <c:dLblPos val="bestFit"/>
              <c:showLegendKey val="0"/>
              <c:showVal val="1"/>
              <c:showCatName val="0"/>
              <c:showSerName val="0"/>
              <c:showPercent val="0"/>
              <c:showBubbleSize val="0"/>
              <c:extLst>
                <c:ext xmlns:c15="http://schemas.microsoft.com/office/drawing/2012/chart" uri="{CE6537A1-D6FC-4f65-9D91-7224C49458BB}"/>
              </c:extLst>
            </c:dLbl>
            <c:dLbl>
              <c:idx val="2"/>
              <c:layout/>
              <c:dLblPos val="bestFit"/>
              <c:showLegendKey val="0"/>
              <c:showVal val="1"/>
              <c:showCatName val="0"/>
              <c:showSerName val="0"/>
              <c:showPercent val="0"/>
              <c:showBubbleSize val="0"/>
              <c:extLst>
                <c:ext xmlns:c15="http://schemas.microsoft.com/office/drawing/2012/chart" uri="{CE6537A1-D6FC-4f65-9D91-7224C49458BB}"/>
              </c:extLst>
            </c:dLbl>
            <c:dLbl>
              <c:idx val="3"/>
              <c:layout>
                <c:manualLayout>
                  <c:x val="0.0148231536269374"/>
                  <c:y val="0.0211978227556975"/>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200" b="0" i="0" u="none" strike="noStrike" kern="1200" cap="none" spc="0" normalizeH="0" baseline="0">
                    <a:solidFill>
                      <a:schemeClr val="tx1">
                        <a:lumMod val="75000"/>
                        <a:lumOff val="25000"/>
                      </a:schemeClr>
                    </a:solidFill>
                    <a:uFill>
                      <a:solidFill>
                        <a:schemeClr val="tx1">
                          <a:lumMod val="75000"/>
                          <a:lumOff val="25000"/>
                        </a:schemeClr>
                      </a:solidFill>
                    </a:uFill>
                    <a:latin typeface="+mn-lt"/>
                    <a:ea typeface="+mn-ea"/>
                    <a:cs typeface="+mn-cs"/>
                  </a:defRPr>
                </a:pPr>
              </a:p>
            </c:txPr>
            <c:dLblPos val="bestFit"/>
            <c:showLegendKey val="0"/>
            <c:showVal val="0"/>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Sheet1!$A$2:$A$5</c:f>
              <c:strCache>
                <c:ptCount val="4"/>
                <c:pt idx="0">
                  <c:v>文化旅游体育与传媒支出（万元）</c:v>
                </c:pt>
                <c:pt idx="1">
                  <c:v>社会保障和就业（万元）</c:v>
                </c:pt>
                <c:pt idx="2">
                  <c:v>卫生健康支出（万元）</c:v>
                </c:pt>
                <c:pt idx="3">
                  <c:v>住房保障支出（万元）</c:v>
                </c:pt>
              </c:strCache>
            </c:strRef>
          </c:cat>
          <c:val>
            <c:numRef>
              <c:f>Sheet1!$B$2:$B$5</c:f>
              <c:numCache>
                <c:formatCode>General</c:formatCode>
                <c:ptCount val="4"/>
                <c:pt idx="0">
                  <c:v>184</c:v>
                </c:pt>
                <c:pt idx="1">
                  <c:v>10.75</c:v>
                </c:pt>
                <c:pt idx="2">
                  <c:v>5.56</c:v>
                </c:pt>
                <c:pt idx="3">
                  <c:v>9.46</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四川省财政厅</Company>
  <Pages>25</Pages>
  <Words>1617</Words>
  <Characters>9219</Characters>
  <Lines>76</Lines>
  <Paragraphs>21</Paragraphs>
  <TotalTime>63</TotalTime>
  <ScaleCrop>false</ScaleCrop>
  <LinksUpToDate>false</LinksUpToDate>
  <CharactersWithSpaces>10815</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Q</cp:lastModifiedBy>
  <cp:lastPrinted>2022-10-11T08:18:00Z</cp:lastPrinted>
  <dcterms:modified xsi:type="dcterms:W3CDTF">2024-12-02T02:28:07Z</dcterms:modified>
  <dc:title>四川省***</dc:title>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2857385E3B6A4A159D2E1ADCFB64C16C</vt:lpwstr>
  </property>
</Properties>
</file>