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9"/>
        <w:rPr>
          <w:rFonts w:ascii="方正小标宋简体" w:hAnsi="宋体" w:eastAsia="方正小标宋简体"/>
          <w:sz w:val="72"/>
          <w:szCs w:val="72"/>
        </w:rPr>
      </w:pPr>
      <w:bookmarkStart w:id="0" w:name="_Toc15306267"/>
    </w:p>
    <w:p>
      <w:pPr>
        <w:spacing w:line="600" w:lineRule="exact"/>
        <w:jc w:val="center"/>
        <w:outlineLvl w:val="9"/>
        <w:rPr>
          <w:rFonts w:ascii="方正小标宋简体" w:hAnsi="宋体" w:eastAsia="方正小标宋简体"/>
          <w:sz w:val="72"/>
          <w:szCs w:val="72"/>
        </w:rPr>
      </w:pPr>
    </w:p>
    <w:p>
      <w:pPr>
        <w:spacing w:line="600" w:lineRule="exact"/>
        <w:jc w:val="center"/>
        <w:outlineLvl w:val="9"/>
        <w:rPr>
          <w:rFonts w:ascii="方正小标宋简体" w:hAnsi="宋体" w:eastAsia="方正小标宋简体"/>
          <w:sz w:val="72"/>
          <w:szCs w:val="72"/>
        </w:rPr>
      </w:pPr>
    </w:p>
    <w:p>
      <w:pPr>
        <w:spacing w:line="600" w:lineRule="exact"/>
        <w:jc w:val="center"/>
        <w:outlineLvl w:val="9"/>
        <w:rPr>
          <w:rFonts w:ascii="方正小标宋简体" w:hAnsi="宋体" w:eastAsia="方正小标宋简体"/>
          <w:sz w:val="72"/>
          <w:szCs w:val="72"/>
        </w:rPr>
      </w:pPr>
    </w:p>
    <w:p>
      <w:pPr>
        <w:adjustRightInd w:val="0"/>
        <w:snapToGrid w:val="0"/>
        <w:spacing w:line="360" w:lineRule="auto"/>
        <w:jc w:val="center"/>
        <w:outlineLvl w:val="9"/>
        <w:rPr>
          <w:rFonts w:ascii="方正小标宋简体" w:hAnsi="方正小标宋简体" w:eastAsia="方正小标宋简体" w:cs="方正小标宋简体"/>
          <w:sz w:val="72"/>
          <w:szCs w:val="72"/>
        </w:rPr>
      </w:pPr>
      <w:bookmarkStart w:id="1" w:name="_Toc15377193"/>
      <w:bookmarkStart w:id="2" w:name="_Toc15378441"/>
      <w:bookmarkStart w:id="3" w:name="_Toc15396597"/>
      <w:bookmarkStart w:id="4" w:name="_Toc15396475"/>
      <w:bookmarkStart w:id="5" w:name="_Toc15377425"/>
      <w:r>
        <w:rPr>
          <w:rFonts w:hint="eastAsia" w:ascii="方正小标宋简体" w:hAnsi="方正小标宋简体" w:eastAsia="方正小标宋简体" w:cs="方正小标宋简体"/>
          <w:sz w:val="72"/>
          <w:szCs w:val="72"/>
        </w:rPr>
        <w:t>2021年度</w:t>
      </w:r>
      <w:bookmarkEnd w:id="1"/>
      <w:bookmarkEnd w:id="2"/>
      <w:bookmarkEnd w:id="3"/>
      <w:bookmarkEnd w:id="4"/>
      <w:bookmarkEnd w:id="5"/>
    </w:p>
    <w:bookmarkEnd w:id="0"/>
    <w:p>
      <w:pPr>
        <w:adjustRightInd w:val="0"/>
        <w:snapToGrid w:val="0"/>
        <w:spacing w:line="360" w:lineRule="auto"/>
        <w:jc w:val="center"/>
        <w:outlineLvl w:val="9"/>
        <w:rPr>
          <w:rFonts w:ascii="方正小标宋简体" w:hAnsi="方正小标宋简体" w:eastAsia="方正小标宋简体" w:cs="方正小标宋简体"/>
          <w:sz w:val="72"/>
          <w:szCs w:val="72"/>
        </w:rPr>
      </w:pPr>
      <w:bookmarkStart w:id="6" w:name="_Toc15378442"/>
      <w:bookmarkStart w:id="7" w:name="_Toc15377194"/>
      <w:bookmarkStart w:id="8" w:name="_Toc15396598"/>
      <w:bookmarkStart w:id="9" w:name="_Toc15396476"/>
      <w:bookmarkStart w:id="10" w:name="_Toc15306268"/>
      <w:bookmarkStart w:id="11" w:name="_Toc15377426"/>
      <w:r>
        <w:rPr>
          <w:rFonts w:hint="eastAsia" w:ascii="方正小标宋简体" w:hAnsi="方正小标宋简体" w:eastAsia="方正小标宋简体" w:cs="方正小标宋简体"/>
          <w:sz w:val="72"/>
          <w:szCs w:val="72"/>
        </w:rPr>
        <w:t>旺苍县人力资源和社会保障局</w:t>
      </w:r>
      <w:r>
        <w:rPr>
          <w:rFonts w:hint="eastAsia" w:ascii="方正小标宋简体" w:hAnsi="方正小标宋简体" w:eastAsia="方正小标宋简体" w:cs="方正小标宋简体"/>
          <w:sz w:val="72"/>
          <w:szCs w:val="72"/>
          <w:lang w:eastAsia="zh-CN"/>
        </w:rPr>
        <w:t>（本级）</w:t>
      </w:r>
      <w:r>
        <w:rPr>
          <w:rFonts w:hint="eastAsia" w:ascii="方正小标宋简体" w:hAnsi="方正小标宋简体" w:eastAsia="方正小标宋简体" w:cs="方正小标宋简体"/>
          <w:sz w:val="72"/>
          <w:szCs w:val="72"/>
        </w:rPr>
        <w:t>单位决算</w:t>
      </w:r>
      <w:bookmarkEnd w:id="6"/>
      <w:bookmarkEnd w:id="7"/>
      <w:bookmarkEnd w:id="8"/>
      <w:bookmarkEnd w:id="9"/>
      <w:bookmarkEnd w:id="10"/>
      <w:bookmarkEnd w:id="11"/>
    </w:p>
    <w:p>
      <w:pPr>
        <w:widowControl/>
        <w:jc w:val="center"/>
        <w:rPr>
          <w:rFonts w:ascii="黑体" w:hAnsi="黑体" w:eastAsia="黑体"/>
          <w:sz w:val="48"/>
          <w:szCs w:val="48"/>
        </w:rPr>
      </w:pPr>
      <w:r>
        <w:rPr>
          <w:rFonts w:ascii="方正小标宋简体" w:hAnsi="宋体" w:eastAsia="方正小标宋简体"/>
          <w:sz w:val="36"/>
          <w:szCs w:val="36"/>
        </w:rPr>
        <w:br w:type="page"/>
      </w:r>
      <w:r>
        <w:rPr>
          <w:rFonts w:hint="eastAsia" w:ascii="黑体" w:hAnsi="黑体" w:eastAsia="黑体"/>
          <w:sz w:val="48"/>
          <w:szCs w:val="48"/>
        </w:rPr>
        <w:t>目录</w:t>
      </w:r>
    </w:p>
    <w:sdt>
      <w:sdtPr>
        <w:rPr>
          <w:rFonts w:ascii="宋体" w:hAnsi="宋体" w:eastAsia="宋体" w:cs="Times New Roman"/>
          <w:kern w:val="2"/>
          <w:sz w:val="21"/>
          <w:szCs w:val="24"/>
          <w:lang w:val="en-US" w:eastAsia="zh-CN" w:bidi="ar-SA"/>
        </w:rPr>
        <w:id w:val="147462587"/>
        <w15:color w:val="DBDBDB"/>
        <w:docPartObj>
          <w:docPartGallery w:val="Table of Contents"/>
          <w:docPartUnique/>
        </w:docPartObj>
      </w:sdtPr>
      <w:sdtEndPr>
        <w:rPr>
          <w:rFonts w:hint="eastAsia" w:ascii="Times New Roman" w:hAnsi="Times New Roman" w:eastAsia="宋体" w:cs="Times New Roman"/>
          <w:b/>
          <w:kern w:val="2"/>
          <w:sz w:val="21"/>
          <w:szCs w:val="24"/>
          <w:lang w:val="en-US" w:eastAsia="zh-CN" w:bidi="ar-SA"/>
        </w:rPr>
      </w:sdtEndPr>
      <w:sdtContent>
        <w:p>
          <w:pPr>
            <w:spacing w:before="0" w:beforeLines="0" w:after="0" w:afterLines="0" w:line="240" w:lineRule="auto"/>
            <w:ind w:left="0" w:leftChars="0" w:right="0" w:rightChars="0" w:firstLine="0" w:firstLineChars="0"/>
            <w:jc w:val="both"/>
          </w:pPr>
          <w:bookmarkStart w:id="12" w:name="_Toc15377196"/>
          <w:bookmarkStart w:id="13" w:name="_Toc15396599"/>
        </w:p>
        <w:p>
          <w:pPr>
            <w:pStyle w:val="2"/>
            <w:tabs>
              <w:tab w:val="right" w:leader="dot" w:pos="8306"/>
              <w:tab w:val="clear" w:pos="8296"/>
            </w:tabs>
          </w:pPr>
          <w:r>
            <w:rPr>
              <w:rFonts w:hint="eastAsia"/>
            </w:rPr>
            <w:fldChar w:fldCharType="begin"/>
          </w:r>
          <w:r>
            <w:rPr>
              <w:rFonts w:hint="eastAsia"/>
            </w:rPr>
            <w:instrText xml:space="preserve">TOC \o "1-2" \h \u </w:instrText>
          </w:r>
          <w:r>
            <w:rPr>
              <w:rFonts w:hint="eastAsia"/>
            </w:rPr>
            <w:fldChar w:fldCharType="separate"/>
          </w:r>
          <w:r>
            <w:rPr>
              <w:rFonts w:hint="eastAsia"/>
            </w:rPr>
            <w:fldChar w:fldCharType="begin"/>
          </w:r>
          <w:r>
            <w:rPr>
              <w:rFonts w:hint="eastAsia"/>
            </w:rPr>
            <w:instrText xml:space="preserve"> HYPERLINK \l _Toc21394 </w:instrText>
          </w:r>
          <w:r>
            <w:rPr>
              <w:rFonts w:hint="eastAsia"/>
            </w:rPr>
            <w:fldChar w:fldCharType="separate"/>
          </w:r>
          <w:r>
            <w:rPr>
              <w:rFonts w:hint="eastAsia" w:ascii="黑体" w:hAnsi="黑体" w:eastAsia="黑体"/>
            </w:rPr>
            <w:t>第一部分 单位</w:t>
          </w:r>
          <w:r>
            <w:rPr>
              <w:rFonts w:hint="eastAsia" w:ascii="黑体" w:hAnsi="黑体" w:eastAsia="黑体"/>
              <w:bCs w:val="0"/>
            </w:rPr>
            <w:t>概况</w:t>
          </w:r>
          <w:r>
            <w:tab/>
          </w:r>
          <w:r>
            <w:fldChar w:fldCharType="begin"/>
          </w:r>
          <w:r>
            <w:instrText xml:space="preserve"> PAGEREF _Toc21394 \h </w:instrText>
          </w:r>
          <w:r>
            <w:fldChar w:fldCharType="separate"/>
          </w:r>
          <w:r>
            <w:t>4</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_Toc21447 </w:instrText>
          </w:r>
          <w:r>
            <w:rPr>
              <w:rFonts w:hint="eastAsia"/>
            </w:rPr>
            <w:fldChar w:fldCharType="separate"/>
          </w:r>
          <w:r>
            <w:rPr>
              <w:rFonts w:hint="default" w:ascii="黑体" w:hAnsi="黑体" w:eastAsia="黑体"/>
              <w:bCs w:val="0"/>
            </w:rPr>
            <w:t xml:space="preserve">一、 </w:t>
          </w:r>
          <w:r>
            <w:rPr>
              <w:rFonts w:hint="eastAsia" w:ascii="黑体" w:hAnsi="黑体" w:eastAsia="黑体"/>
              <w:bCs w:val="0"/>
            </w:rPr>
            <w:t>职能简介</w:t>
          </w:r>
          <w:r>
            <w:tab/>
          </w:r>
          <w:r>
            <w:fldChar w:fldCharType="begin"/>
          </w:r>
          <w:r>
            <w:instrText xml:space="preserve"> PAGEREF _Toc21447 \h </w:instrText>
          </w:r>
          <w:r>
            <w:fldChar w:fldCharType="separate"/>
          </w:r>
          <w:r>
            <w:t>4</w:t>
          </w:r>
          <w:r>
            <w:fldChar w:fldCharType="end"/>
          </w:r>
          <w:r>
            <w:rPr>
              <w:rFonts w:hint="eastAsia"/>
            </w:rPr>
            <w:fldChar w:fldCharType="end"/>
          </w:r>
        </w:p>
        <w:p>
          <w:pPr>
            <w:pStyle w:val="12"/>
            <w:tabs>
              <w:tab w:val="right" w:leader="dot" w:pos="8306"/>
              <w:tab w:val="clear" w:pos="8296"/>
            </w:tabs>
            <w:rPr>
              <w:rFonts w:hint="eastAsia" w:ascii="黑体" w:hAnsi="黑体" w:eastAsia="宋体"/>
              <w:lang w:val="en-US" w:eastAsia="zh-CN"/>
            </w:rPr>
          </w:pPr>
          <w:r>
            <w:rPr>
              <w:rFonts w:hint="eastAsia"/>
            </w:rPr>
            <w:fldChar w:fldCharType="begin"/>
          </w:r>
          <w:r>
            <w:rPr>
              <w:rFonts w:hint="eastAsia"/>
            </w:rPr>
            <w:instrText xml:space="preserve"> HYPERLINK \l _Toc189 </w:instrText>
          </w:r>
          <w:r>
            <w:rPr>
              <w:rFonts w:hint="eastAsia"/>
            </w:rPr>
            <w:fldChar w:fldCharType="separate"/>
          </w:r>
          <w:r>
            <w:rPr>
              <w:rFonts w:hint="eastAsia" w:ascii="黑体" w:hAnsi="黑体" w:eastAsia="黑体"/>
            </w:rPr>
            <w:t>二、</w:t>
          </w:r>
          <w:r>
            <w:rPr>
              <w:rFonts w:hint="eastAsia" w:ascii="黑体" w:hAnsi="黑体" w:eastAsia="黑体"/>
              <w:lang w:eastAsia="zh-CN"/>
            </w:rPr>
            <w:t>机构设置</w:t>
          </w:r>
          <w:r>
            <w:tab/>
          </w:r>
          <w:r>
            <w:rPr>
              <w:rFonts w:hint="eastAsia"/>
              <w:lang w:val="en-US" w:eastAsia="zh-CN"/>
            </w:rPr>
            <w:t>4</w:t>
          </w:r>
        </w:p>
        <w:p>
          <w:pPr>
            <w:pStyle w:val="12"/>
            <w:tabs>
              <w:tab w:val="right" w:leader="dot" w:pos="8306"/>
              <w:tab w:val="clear" w:pos="8296"/>
            </w:tabs>
          </w:pPr>
          <w:r>
            <w:rPr>
              <w:rFonts w:hint="eastAsia" w:ascii="黑体" w:hAnsi="黑体" w:eastAsia="黑体"/>
              <w:lang w:eastAsia="zh-CN"/>
            </w:rPr>
            <w:t>三、</w:t>
          </w:r>
          <w:r>
            <w:rPr>
              <w:rFonts w:hint="eastAsia" w:ascii="黑体" w:hAnsi="黑体" w:eastAsia="黑体"/>
            </w:rPr>
            <w:t>2021年重点工作完成情况</w:t>
          </w:r>
          <w:r>
            <w:tab/>
          </w:r>
          <w:r>
            <w:fldChar w:fldCharType="begin"/>
          </w:r>
          <w:r>
            <w:instrText xml:space="preserve"> PAGEREF _Toc189 \h </w:instrText>
          </w:r>
          <w:r>
            <w:fldChar w:fldCharType="separate"/>
          </w:r>
          <w:r>
            <w:t>4</w:t>
          </w:r>
          <w:r>
            <w:fldChar w:fldCharType="end"/>
          </w:r>
          <w:r>
            <w:rPr>
              <w:rFonts w:hint="eastAsia"/>
            </w:rPr>
            <w:fldChar w:fldCharType="end"/>
          </w:r>
        </w:p>
        <w:p>
          <w:pPr>
            <w:pStyle w:val="2"/>
            <w:tabs>
              <w:tab w:val="right" w:leader="dot" w:pos="8306"/>
              <w:tab w:val="clear" w:pos="8296"/>
            </w:tabs>
          </w:pPr>
          <w:r>
            <w:rPr>
              <w:rFonts w:hint="eastAsia"/>
            </w:rPr>
            <w:fldChar w:fldCharType="begin"/>
          </w:r>
          <w:r>
            <w:rPr>
              <w:rFonts w:hint="eastAsia"/>
            </w:rPr>
            <w:instrText xml:space="preserve"> HYPERLINK \l _Toc14671 </w:instrText>
          </w:r>
          <w:r>
            <w:rPr>
              <w:rFonts w:hint="eastAsia"/>
            </w:rPr>
            <w:fldChar w:fldCharType="separate"/>
          </w:r>
          <w:r>
            <w:rPr>
              <w:rFonts w:hint="eastAsia" w:ascii="黑体" w:hAnsi="黑体" w:eastAsia="黑体"/>
            </w:rPr>
            <w:t>第二部分 2021年度</w:t>
          </w:r>
          <w:r>
            <w:rPr>
              <w:rFonts w:hint="eastAsia" w:ascii="黑体" w:hAnsi="黑体" w:eastAsia="黑体"/>
              <w:bCs/>
            </w:rPr>
            <w:t>单位决算情况说明</w:t>
          </w:r>
          <w:r>
            <w:tab/>
          </w:r>
          <w:r>
            <w:fldChar w:fldCharType="begin"/>
          </w:r>
          <w:r>
            <w:instrText xml:space="preserve"> PAGEREF _Toc14671 \h </w:instrText>
          </w:r>
          <w:r>
            <w:fldChar w:fldCharType="separate"/>
          </w:r>
          <w:r>
            <w:t>14</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_Toc14511 </w:instrText>
          </w:r>
          <w:r>
            <w:rPr>
              <w:rFonts w:hint="eastAsia"/>
            </w:rPr>
            <w:fldChar w:fldCharType="separate"/>
          </w:r>
          <w:r>
            <w:rPr>
              <w:rFonts w:hint="default" w:ascii="黑体" w:hAnsi="黑体" w:eastAsia="黑体"/>
            </w:rPr>
            <w:t xml:space="preserve">一、 </w:t>
          </w:r>
          <w:r>
            <w:rPr>
              <w:rFonts w:hint="eastAsia" w:ascii="黑体" w:hAnsi="黑体" w:eastAsia="黑体"/>
              <w:szCs w:val="32"/>
            </w:rPr>
            <w:t>收</w:t>
          </w:r>
          <w:r>
            <w:rPr>
              <w:rFonts w:hint="eastAsia" w:ascii="黑体" w:hAnsi="黑体" w:eastAsia="黑体"/>
            </w:rPr>
            <w:t>入支出决算总体情况说明</w:t>
          </w:r>
          <w:r>
            <w:tab/>
          </w:r>
          <w:r>
            <w:fldChar w:fldCharType="begin"/>
          </w:r>
          <w:r>
            <w:instrText xml:space="preserve"> PAGEREF _Toc14511 \h </w:instrText>
          </w:r>
          <w:r>
            <w:fldChar w:fldCharType="separate"/>
          </w:r>
          <w:r>
            <w:t>14</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_Toc18682 </w:instrText>
          </w:r>
          <w:r>
            <w:rPr>
              <w:rFonts w:hint="eastAsia"/>
            </w:rPr>
            <w:fldChar w:fldCharType="separate"/>
          </w:r>
          <w:r>
            <w:rPr>
              <w:rFonts w:hint="default" w:ascii="黑体" w:hAnsi="黑体" w:eastAsia="黑体"/>
            </w:rPr>
            <w:t xml:space="preserve">二、 </w:t>
          </w:r>
          <w:r>
            <w:rPr>
              <w:rFonts w:hint="eastAsia" w:ascii="黑体" w:hAnsi="黑体" w:eastAsia="黑体"/>
              <w:szCs w:val="32"/>
            </w:rPr>
            <w:t>收</w:t>
          </w:r>
          <w:r>
            <w:rPr>
              <w:rFonts w:hint="eastAsia" w:ascii="黑体" w:hAnsi="黑体" w:eastAsia="黑体"/>
            </w:rPr>
            <w:t>入决算情况说明</w:t>
          </w:r>
          <w:r>
            <w:tab/>
          </w:r>
          <w:r>
            <w:fldChar w:fldCharType="begin"/>
          </w:r>
          <w:r>
            <w:instrText xml:space="preserve"> PAGEREF _Toc18682 \h </w:instrText>
          </w:r>
          <w:r>
            <w:fldChar w:fldCharType="separate"/>
          </w:r>
          <w:r>
            <w:t>14</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_Toc4037 </w:instrText>
          </w:r>
          <w:r>
            <w:rPr>
              <w:rFonts w:hint="eastAsia"/>
            </w:rPr>
            <w:fldChar w:fldCharType="separate"/>
          </w:r>
          <w:r>
            <w:rPr>
              <w:rFonts w:hint="default" w:ascii="黑体" w:hAnsi="黑体" w:eastAsia="黑体"/>
            </w:rPr>
            <w:t xml:space="preserve">三、 </w:t>
          </w:r>
          <w:r>
            <w:rPr>
              <w:rFonts w:hint="eastAsia" w:ascii="黑体" w:hAnsi="黑体" w:eastAsia="黑体"/>
              <w:szCs w:val="32"/>
            </w:rPr>
            <w:t>支</w:t>
          </w:r>
          <w:r>
            <w:rPr>
              <w:rFonts w:hint="eastAsia" w:ascii="黑体" w:hAnsi="黑体" w:eastAsia="黑体"/>
            </w:rPr>
            <w:t>出决算情况说明</w:t>
          </w:r>
          <w:r>
            <w:tab/>
          </w:r>
          <w:r>
            <w:fldChar w:fldCharType="begin"/>
          </w:r>
          <w:r>
            <w:instrText xml:space="preserve"> PAGEREF _Toc4037 \h </w:instrText>
          </w:r>
          <w:r>
            <w:fldChar w:fldCharType="separate"/>
          </w:r>
          <w:r>
            <w:t>15</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_Toc11152 </w:instrText>
          </w:r>
          <w:r>
            <w:rPr>
              <w:rFonts w:hint="eastAsia"/>
            </w:rPr>
            <w:fldChar w:fldCharType="separate"/>
          </w:r>
          <w:r>
            <w:rPr>
              <w:rFonts w:hint="eastAsia" w:ascii="黑体" w:hAnsi="黑体" w:eastAsia="黑体"/>
              <w:szCs w:val="32"/>
            </w:rPr>
            <w:t>四、财</w:t>
          </w:r>
          <w:r>
            <w:rPr>
              <w:rFonts w:hint="eastAsia" w:ascii="黑体" w:hAnsi="黑体" w:eastAsia="黑体"/>
            </w:rPr>
            <w:t>政拨款收入支出决算总体情况说明</w:t>
          </w:r>
          <w:r>
            <w:tab/>
          </w:r>
          <w:r>
            <w:fldChar w:fldCharType="begin"/>
          </w:r>
          <w:r>
            <w:instrText xml:space="preserve"> PAGEREF _Toc11152 \h </w:instrText>
          </w:r>
          <w:r>
            <w:fldChar w:fldCharType="separate"/>
          </w:r>
          <w:r>
            <w:t>16</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_Toc16924 </w:instrText>
          </w:r>
          <w:r>
            <w:rPr>
              <w:rFonts w:hint="eastAsia"/>
            </w:rPr>
            <w:fldChar w:fldCharType="separate"/>
          </w:r>
          <w:r>
            <w:rPr>
              <w:rFonts w:hint="eastAsia" w:ascii="黑体" w:hAnsi="黑体" w:eastAsia="黑体"/>
              <w:szCs w:val="32"/>
            </w:rPr>
            <w:t>五、一</w:t>
          </w:r>
          <w:r>
            <w:rPr>
              <w:rFonts w:hint="eastAsia" w:ascii="黑体" w:hAnsi="黑体" w:eastAsia="黑体"/>
            </w:rPr>
            <w:t>般公共预算财政拨款支出决算情况说明</w:t>
          </w:r>
          <w:r>
            <w:tab/>
          </w:r>
          <w:r>
            <w:fldChar w:fldCharType="begin"/>
          </w:r>
          <w:r>
            <w:instrText xml:space="preserve"> PAGEREF _Toc16924 \h </w:instrText>
          </w:r>
          <w:r>
            <w:fldChar w:fldCharType="separate"/>
          </w:r>
          <w:r>
            <w:t>16</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_Toc20835 </w:instrText>
          </w:r>
          <w:r>
            <w:rPr>
              <w:rFonts w:hint="eastAsia"/>
            </w:rPr>
            <w:fldChar w:fldCharType="separate"/>
          </w:r>
          <w:r>
            <w:rPr>
              <w:rFonts w:hint="eastAsia" w:ascii="黑体" w:eastAsia="黑体"/>
              <w:szCs w:val="32"/>
            </w:rPr>
            <w:t>六、</w:t>
          </w:r>
          <w:r>
            <w:rPr>
              <w:rFonts w:hint="eastAsia" w:ascii="黑体" w:hAnsi="黑体" w:eastAsia="黑体"/>
              <w:szCs w:val="32"/>
            </w:rPr>
            <w:t>一</w:t>
          </w:r>
          <w:r>
            <w:rPr>
              <w:rFonts w:hint="eastAsia" w:ascii="黑体" w:hAnsi="黑体" w:eastAsia="黑体"/>
            </w:rPr>
            <w:t>般公共预算财政拨款基本支出决算情况说明</w:t>
          </w:r>
          <w:r>
            <w:tab/>
          </w:r>
          <w:r>
            <w:fldChar w:fldCharType="begin"/>
          </w:r>
          <w:r>
            <w:instrText xml:space="preserve"> PAGEREF _Toc20835 \h </w:instrText>
          </w:r>
          <w:r>
            <w:fldChar w:fldCharType="separate"/>
          </w:r>
          <w:r>
            <w:t>20</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_Toc14525 </w:instrText>
          </w:r>
          <w:r>
            <w:rPr>
              <w:rFonts w:hint="eastAsia"/>
            </w:rPr>
            <w:fldChar w:fldCharType="separate"/>
          </w:r>
          <w:r>
            <w:rPr>
              <w:rFonts w:hint="eastAsia" w:ascii="黑体" w:eastAsia="黑体"/>
              <w:szCs w:val="32"/>
            </w:rPr>
            <w:t>七、</w:t>
          </w:r>
          <w:r>
            <w:rPr>
              <w:rFonts w:hint="eastAsia" w:ascii="黑体" w:hAnsi="黑体" w:eastAsia="黑体"/>
            </w:rPr>
            <w:t>“三公”经费财政拨款支出决算情况说明</w:t>
          </w:r>
          <w:r>
            <w:tab/>
          </w:r>
          <w:r>
            <w:fldChar w:fldCharType="begin"/>
          </w:r>
          <w:r>
            <w:instrText xml:space="preserve"> PAGEREF _Toc14525 \h </w:instrText>
          </w:r>
          <w:r>
            <w:fldChar w:fldCharType="separate"/>
          </w:r>
          <w:r>
            <w:t>20</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_Toc22862 </w:instrText>
          </w:r>
          <w:r>
            <w:rPr>
              <w:rFonts w:hint="eastAsia"/>
            </w:rPr>
            <w:fldChar w:fldCharType="separate"/>
          </w:r>
          <w:r>
            <w:rPr>
              <w:rFonts w:hint="eastAsia" w:ascii="黑体" w:eastAsia="黑体"/>
              <w:szCs w:val="32"/>
            </w:rPr>
            <w:t>八、</w:t>
          </w:r>
          <w:r>
            <w:rPr>
              <w:rFonts w:hint="eastAsia" w:ascii="黑体" w:hAnsi="黑体" w:eastAsia="黑体"/>
            </w:rPr>
            <w:t>政府性基金预算支出决算情况说明</w:t>
          </w:r>
          <w:r>
            <w:tab/>
          </w:r>
          <w:r>
            <w:fldChar w:fldCharType="begin"/>
          </w:r>
          <w:r>
            <w:instrText xml:space="preserve"> PAGEREF _Toc22862 \h </w:instrText>
          </w:r>
          <w:r>
            <w:fldChar w:fldCharType="separate"/>
          </w:r>
          <w:r>
            <w:t>22</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_Toc28970 </w:instrText>
          </w:r>
          <w:r>
            <w:rPr>
              <w:rFonts w:hint="eastAsia"/>
            </w:rPr>
            <w:fldChar w:fldCharType="separate"/>
          </w:r>
          <w:r>
            <w:rPr>
              <w:rFonts w:hint="eastAsia" w:ascii="黑体" w:hAnsi="黑体" w:eastAsia="黑体"/>
            </w:rPr>
            <w:t>九、 国有资本经营预算支出决算情况说明</w:t>
          </w:r>
          <w:r>
            <w:tab/>
          </w:r>
          <w:r>
            <w:fldChar w:fldCharType="begin"/>
          </w:r>
          <w:r>
            <w:instrText xml:space="preserve"> PAGEREF _Toc28970 \h </w:instrText>
          </w:r>
          <w:r>
            <w:fldChar w:fldCharType="separate"/>
          </w:r>
          <w:r>
            <w:t>22</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_Toc1180 </w:instrText>
          </w:r>
          <w:r>
            <w:rPr>
              <w:rFonts w:hint="eastAsia"/>
            </w:rPr>
            <w:fldChar w:fldCharType="separate"/>
          </w:r>
          <w:r>
            <w:rPr>
              <w:rFonts w:hint="eastAsia" w:ascii="黑体" w:hAnsi="黑体" w:eastAsia="黑体"/>
            </w:rPr>
            <w:t>十、 预算绩效管理情况</w:t>
          </w:r>
          <w:r>
            <w:tab/>
          </w:r>
          <w:r>
            <w:fldChar w:fldCharType="begin"/>
          </w:r>
          <w:r>
            <w:instrText xml:space="preserve"> PAGEREF _Toc1180 \h </w:instrText>
          </w:r>
          <w:r>
            <w:fldChar w:fldCharType="separate"/>
          </w:r>
          <w:r>
            <w:t>22</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_Toc8740 </w:instrText>
          </w:r>
          <w:r>
            <w:rPr>
              <w:rFonts w:hint="eastAsia"/>
            </w:rPr>
            <w:fldChar w:fldCharType="separate"/>
          </w:r>
          <w:r>
            <w:rPr>
              <w:rFonts w:hint="eastAsia" w:ascii="黑体" w:hAnsi="黑体" w:eastAsia="黑体"/>
            </w:rPr>
            <w:t>十一、 其他重要事项的情况说明</w:t>
          </w:r>
          <w:r>
            <w:tab/>
          </w:r>
          <w:r>
            <w:fldChar w:fldCharType="begin"/>
          </w:r>
          <w:r>
            <w:instrText xml:space="preserve"> PAGEREF _Toc8740 \h </w:instrText>
          </w:r>
          <w:r>
            <w:fldChar w:fldCharType="separate"/>
          </w:r>
          <w:r>
            <w:t>22</w:t>
          </w:r>
          <w:r>
            <w:fldChar w:fldCharType="end"/>
          </w:r>
          <w:r>
            <w:rPr>
              <w:rFonts w:hint="eastAsia"/>
            </w:rPr>
            <w:fldChar w:fldCharType="end"/>
          </w:r>
        </w:p>
        <w:p>
          <w:pPr>
            <w:pStyle w:val="2"/>
            <w:tabs>
              <w:tab w:val="right" w:leader="dot" w:pos="8306"/>
              <w:tab w:val="clear" w:pos="8296"/>
            </w:tabs>
          </w:pPr>
          <w:r>
            <w:rPr>
              <w:rFonts w:hint="eastAsia"/>
            </w:rPr>
            <w:fldChar w:fldCharType="begin"/>
          </w:r>
          <w:r>
            <w:rPr>
              <w:rFonts w:hint="eastAsia"/>
            </w:rPr>
            <w:instrText xml:space="preserve"> HYPERLINK \l _Toc18205 </w:instrText>
          </w:r>
          <w:r>
            <w:rPr>
              <w:rFonts w:hint="eastAsia"/>
            </w:rPr>
            <w:fldChar w:fldCharType="separate"/>
          </w:r>
          <w:r>
            <w:rPr>
              <w:rFonts w:hint="eastAsia" w:ascii="黑体" w:hAnsi="黑体" w:eastAsia="黑体" w:cs="黑体"/>
              <w:szCs w:val="44"/>
            </w:rPr>
            <w:t xml:space="preserve">第三部分 </w:t>
          </w:r>
          <w:r>
            <w:rPr>
              <w:rFonts w:hint="eastAsia" w:ascii="黑体" w:hAnsi="黑体" w:eastAsia="黑体"/>
              <w:szCs w:val="44"/>
            </w:rPr>
            <w:t>名</w:t>
          </w:r>
          <w:r>
            <w:rPr>
              <w:rFonts w:hint="eastAsia" w:ascii="黑体" w:hAnsi="黑体" w:eastAsia="黑体"/>
            </w:rPr>
            <w:t>词解释</w:t>
          </w:r>
          <w:r>
            <w:tab/>
          </w:r>
          <w:r>
            <w:fldChar w:fldCharType="begin"/>
          </w:r>
          <w:r>
            <w:instrText xml:space="preserve"> PAGEREF _Toc18205 \h </w:instrText>
          </w:r>
          <w:r>
            <w:fldChar w:fldCharType="separate"/>
          </w:r>
          <w:r>
            <w:t>24</w:t>
          </w:r>
          <w:r>
            <w:fldChar w:fldCharType="end"/>
          </w:r>
          <w:r>
            <w:rPr>
              <w:rFonts w:hint="eastAsia"/>
            </w:rPr>
            <w:fldChar w:fldCharType="end"/>
          </w:r>
        </w:p>
        <w:p>
          <w:pPr>
            <w:pStyle w:val="2"/>
            <w:tabs>
              <w:tab w:val="right" w:leader="dot" w:pos="8306"/>
              <w:tab w:val="clear" w:pos="8296"/>
            </w:tabs>
          </w:pPr>
          <w:r>
            <w:rPr>
              <w:rFonts w:hint="eastAsia"/>
            </w:rPr>
            <w:fldChar w:fldCharType="begin"/>
          </w:r>
          <w:r>
            <w:rPr>
              <w:rFonts w:hint="eastAsia"/>
            </w:rPr>
            <w:instrText xml:space="preserve"> HYPERLINK \l _Toc4078 </w:instrText>
          </w:r>
          <w:r>
            <w:rPr>
              <w:rFonts w:hint="eastAsia"/>
            </w:rPr>
            <w:fldChar w:fldCharType="separate"/>
          </w:r>
          <w:r>
            <w:rPr>
              <w:rFonts w:hint="eastAsia" w:ascii="黑体" w:hAnsi="黑体" w:eastAsia="黑体"/>
              <w:szCs w:val="44"/>
            </w:rPr>
            <w:t>第</w:t>
          </w:r>
          <w:r>
            <w:rPr>
              <w:rFonts w:hint="eastAsia" w:ascii="黑体" w:hAnsi="黑体" w:eastAsia="黑体"/>
            </w:rPr>
            <w:t>四部分 附件</w:t>
          </w:r>
          <w:r>
            <w:tab/>
          </w:r>
          <w:r>
            <w:fldChar w:fldCharType="begin"/>
          </w:r>
          <w:r>
            <w:instrText xml:space="preserve"> PAGEREF _Toc4078 \h </w:instrText>
          </w:r>
          <w:r>
            <w:fldChar w:fldCharType="separate"/>
          </w:r>
          <w:r>
            <w:t>28</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_Toc15608 </w:instrText>
          </w:r>
          <w:r>
            <w:rPr>
              <w:rFonts w:hint="eastAsia"/>
            </w:rPr>
            <w:fldChar w:fldCharType="separate"/>
          </w:r>
          <w:r>
            <w:rPr>
              <w:rFonts w:hint="eastAsia" w:ascii="黑体" w:hAnsi="黑体" w:eastAsia="黑体" w:cs="黑体"/>
              <w:szCs w:val="32"/>
            </w:rPr>
            <w:t>附件</w:t>
          </w:r>
          <w:r>
            <w:rPr>
              <w:rFonts w:hint="eastAsia" w:ascii="黑体" w:hAnsi="黑体" w:eastAsia="黑体" w:cs="黑体"/>
              <w:szCs w:val="32"/>
              <w:lang w:val="en-US" w:eastAsia="zh-CN"/>
            </w:rPr>
            <w:t>1</w:t>
          </w:r>
          <w:r>
            <w:tab/>
          </w:r>
          <w:r>
            <w:fldChar w:fldCharType="begin"/>
          </w:r>
          <w:r>
            <w:instrText xml:space="preserve"> PAGEREF _Toc15608 \h </w:instrText>
          </w:r>
          <w:r>
            <w:fldChar w:fldCharType="separate"/>
          </w:r>
          <w:r>
            <w:t>28</w:t>
          </w:r>
          <w:r>
            <w:fldChar w:fldCharType="end"/>
          </w:r>
          <w:r>
            <w:rPr>
              <w:rFonts w:hint="eastAsia"/>
            </w:rPr>
            <w:fldChar w:fldCharType="end"/>
          </w:r>
        </w:p>
        <w:p>
          <w:pPr>
            <w:pStyle w:val="2"/>
            <w:tabs>
              <w:tab w:val="right" w:leader="dot" w:pos="8306"/>
              <w:tab w:val="clear" w:pos="8296"/>
            </w:tabs>
          </w:pPr>
          <w:r>
            <w:rPr>
              <w:rFonts w:hint="eastAsia"/>
            </w:rPr>
            <w:fldChar w:fldCharType="begin"/>
          </w:r>
          <w:r>
            <w:rPr>
              <w:rFonts w:hint="eastAsia"/>
            </w:rPr>
            <w:instrText xml:space="preserve"> HYPERLINK \l _Toc21334 </w:instrText>
          </w:r>
          <w:r>
            <w:rPr>
              <w:rFonts w:hint="eastAsia"/>
            </w:rPr>
            <w:fldChar w:fldCharType="separate"/>
          </w:r>
          <w:r>
            <w:rPr>
              <w:rFonts w:hint="eastAsia" w:ascii="黑体" w:hAnsi="黑体" w:eastAsia="黑体" w:cs="黑体"/>
              <w:szCs w:val="32"/>
              <w:highlight w:val="none"/>
            </w:rPr>
            <w:t>附件</w:t>
          </w:r>
          <w:r>
            <w:rPr>
              <w:rFonts w:hint="eastAsia" w:ascii="黑体" w:hAnsi="黑体" w:eastAsia="黑体" w:cs="黑体"/>
              <w:szCs w:val="32"/>
              <w:highlight w:val="none"/>
              <w:lang w:val="en-US" w:eastAsia="zh-CN"/>
            </w:rPr>
            <w:t>2</w:t>
          </w:r>
          <w:r>
            <w:tab/>
          </w:r>
          <w:r>
            <w:fldChar w:fldCharType="begin"/>
          </w:r>
          <w:r>
            <w:instrText xml:space="preserve"> PAGEREF _Toc21334 \h </w:instrText>
          </w:r>
          <w:r>
            <w:fldChar w:fldCharType="separate"/>
          </w:r>
          <w:r>
            <w:t>29</w:t>
          </w:r>
          <w:r>
            <w:fldChar w:fldCharType="end"/>
          </w:r>
          <w:r>
            <w:rPr>
              <w:rFonts w:hint="eastAsia"/>
            </w:rPr>
            <w:fldChar w:fldCharType="end"/>
          </w:r>
        </w:p>
        <w:p>
          <w:pPr>
            <w:pStyle w:val="2"/>
            <w:tabs>
              <w:tab w:val="right" w:leader="dot" w:pos="8306"/>
              <w:tab w:val="clear" w:pos="8296"/>
            </w:tabs>
          </w:pPr>
          <w:r>
            <w:rPr>
              <w:rFonts w:hint="eastAsia"/>
            </w:rPr>
            <w:fldChar w:fldCharType="begin"/>
          </w:r>
          <w:r>
            <w:rPr>
              <w:rFonts w:hint="eastAsia"/>
            </w:rPr>
            <w:instrText xml:space="preserve"> HYPERLINK \l _Toc23546 </w:instrText>
          </w:r>
          <w:r>
            <w:rPr>
              <w:rFonts w:hint="eastAsia"/>
            </w:rPr>
            <w:fldChar w:fldCharType="separate"/>
          </w:r>
          <w:r>
            <w:rPr>
              <w:rFonts w:hint="eastAsia" w:ascii="黑体" w:hAnsi="黑体" w:eastAsia="黑体" w:cs="黑体"/>
              <w:szCs w:val="32"/>
              <w:highlight w:val="none"/>
            </w:rPr>
            <w:t>附件</w:t>
          </w:r>
          <w:r>
            <w:rPr>
              <w:rFonts w:hint="eastAsia" w:ascii="黑体" w:hAnsi="黑体" w:eastAsia="黑体" w:cs="黑体"/>
              <w:szCs w:val="32"/>
              <w:highlight w:val="none"/>
              <w:lang w:val="en-US" w:eastAsia="zh-CN"/>
            </w:rPr>
            <w:t>3</w:t>
          </w:r>
          <w:r>
            <w:tab/>
          </w:r>
          <w:r>
            <w:fldChar w:fldCharType="begin"/>
          </w:r>
          <w:r>
            <w:instrText xml:space="preserve"> PAGEREF _Toc23546 \h </w:instrText>
          </w:r>
          <w:r>
            <w:fldChar w:fldCharType="separate"/>
          </w:r>
          <w:r>
            <w:t>30</w:t>
          </w:r>
          <w:r>
            <w:fldChar w:fldCharType="end"/>
          </w:r>
          <w:r>
            <w:rPr>
              <w:rFonts w:hint="eastAsia"/>
            </w:rPr>
            <w:fldChar w:fldCharType="end"/>
          </w:r>
        </w:p>
        <w:p>
          <w:pPr>
            <w:pStyle w:val="2"/>
            <w:tabs>
              <w:tab w:val="right" w:leader="dot" w:pos="8306"/>
              <w:tab w:val="clear" w:pos="8296"/>
            </w:tabs>
          </w:pPr>
          <w:r>
            <w:rPr>
              <w:rFonts w:hint="eastAsia"/>
            </w:rPr>
            <w:fldChar w:fldCharType="begin"/>
          </w:r>
          <w:r>
            <w:rPr>
              <w:rFonts w:hint="eastAsia"/>
            </w:rPr>
            <w:instrText xml:space="preserve"> HYPERLINK \l _Toc12869 </w:instrText>
          </w:r>
          <w:r>
            <w:rPr>
              <w:rFonts w:hint="eastAsia"/>
            </w:rPr>
            <w:fldChar w:fldCharType="separate"/>
          </w:r>
          <w:r>
            <w:rPr>
              <w:rFonts w:hint="eastAsia" w:ascii="黑体" w:hAnsi="黑体" w:eastAsia="黑体" w:cs="黑体"/>
              <w:szCs w:val="32"/>
              <w:highlight w:val="none"/>
            </w:rPr>
            <w:t>附件</w:t>
          </w:r>
          <w:r>
            <w:rPr>
              <w:rFonts w:hint="eastAsia" w:ascii="黑体" w:hAnsi="黑体" w:eastAsia="黑体" w:cs="黑体"/>
              <w:szCs w:val="32"/>
              <w:highlight w:val="none"/>
              <w:lang w:val="en-US" w:eastAsia="zh-CN"/>
            </w:rPr>
            <w:t>4</w:t>
          </w:r>
          <w:r>
            <w:tab/>
          </w:r>
          <w:r>
            <w:fldChar w:fldCharType="begin"/>
          </w:r>
          <w:r>
            <w:instrText xml:space="preserve"> PAGEREF _Toc12869 \h </w:instrText>
          </w:r>
          <w:r>
            <w:fldChar w:fldCharType="separate"/>
          </w:r>
          <w:r>
            <w:t>31</w:t>
          </w:r>
          <w:r>
            <w:fldChar w:fldCharType="end"/>
          </w:r>
          <w:r>
            <w:rPr>
              <w:rFonts w:hint="eastAsia"/>
            </w:rPr>
            <w:fldChar w:fldCharType="end"/>
          </w:r>
        </w:p>
        <w:p>
          <w:pPr>
            <w:pStyle w:val="2"/>
            <w:tabs>
              <w:tab w:val="right" w:leader="dot" w:pos="8306"/>
              <w:tab w:val="clear" w:pos="8296"/>
            </w:tabs>
          </w:pPr>
          <w:r>
            <w:rPr>
              <w:rFonts w:hint="eastAsia"/>
            </w:rPr>
            <w:fldChar w:fldCharType="begin"/>
          </w:r>
          <w:r>
            <w:rPr>
              <w:rFonts w:hint="eastAsia"/>
            </w:rPr>
            <w:instrText xml:space="preserve"> HYPERLINK \l _Toc9329 </w:instrText>
          </w:r>
          <w:r>
            <w:rPr>
              <w:rFonts w:hint="eastAsia"/>
            </w:rPr>
            <w:fldChar w:fldCharType="separate"/>
          </w:r>
          <w:r>
            <w:rPr>
              <w:rFonts w:hint="eastAsia" w:ascii="黑体" w:hAnsi="黑体" w:eastAsia="黑体"/>
              <w:szCs w:val="44"/>
            </w:rPr>
            <w:t>第</w:t>
          </w:r>
          <w:r>
            <w:rPr>
              <w:rFonts w:hint="eastAsia" w:ascii="黑体" w:hAnsi="黑体" w:eastAsia="黑体"/>
            </w:rPr>
            <w:t>五部分 附表</w:t>
          </w:r>
          <w:r>
            <w:tab/>
          </w:r>
          <w:r>
            <w:fldChar w:fldCharType="begin"/>
          </w:r>
          <w:r>
            <w:instrText xml:space="preserve"> PAGEREF _Toc9329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_Toc23984 </w:instrText>
          </w:r>
          <w:r>
            <w:rPr>
              <w:rFonts w:hint="eastAsia"/>
            </w:rPr>
            <w:fldChar w:fldCharType="separate"/>
          </w:r>
          <w:r>
            <w:rPr>
              <w:rFonts w:hint="eastAsia" w:ascii="仿宋" w:hAnsi="仿宋" w:eastAsia="仿宋"/>
            </w:rPr>
            <w:t>一、收</w:t>
          </w:r>
          <w:r>
            <w:rPr>
              <w:rFonts w:hint="eastAsia" w:ascii="仿宋" w:hAnsi="仿宋" w:eastAsia="仿宋"/>
              <w:bCs w:val="0"/>
            </w:rPr>
            <w:t>入支出决算总表</w:t>
          </w:r>
          <w:r>
            <w:tab/>
          </w:r>
          <w:r>
            <w:fldChar w:fldCharType="begin"/>
          </w:r>
          <w:r>
            <w:instrText xml:space="preserve"> PAGEREF _Toc23984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_Toc30171 </w:instrText>
          </w:r>
          <w:r>
            <w:rPr>
              <w:rFonts w:hint="eastAsia"/>
            </w:rPr>
            <w:fldChar w:fldCharType="separate"/>
          </w:r>
          <w:r>
            <w:rPr>
              <w:rFonts w:hint="eastAsia" w:ascii="仿宋" w:hAnsi="仿宋" w:eastAsia="仿宋"/>
            </w:rPr>
            <w:t>二、收</w:t>
          </w:r>
          <w:r>
            <w:rPr>
              <w:rFonts w:hint="eastAsia" w:ascii="仿宋" w:hAnsi="仿宋" w:eastAsia="仿宋"/>
              <w:bCs w:val="0"/>
            </w:rPr>
            <w:t>入决算表</w:t>
          </w:r>
          <w:r>
            <w:tab/>
          </w:r>
          <w:r>
            <w:fldChar w:fldCharType="begin"/>
          </w:r>
          <w:r>
            <w:instrText xml:space="preserve"> PAGEREF _Toc30171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_Toc18454 </w:instrText>
          </w:r>
          <w:r>
            <w:rPr>
              <w:rFonts w:hint="eastAsia"/>
            </w:rPr>
            <w:fldChar w:fldCharType="separate"/>
          </w:r>
          <w:r>
            <w:rPr>
              <w:rFonts w:hint="eastAsia" w:ascii="仿宋" w:hAnsi="仿宋" w:eastAsia="仿宋"/>
              <w:bCs w:val="0"/>
            </w:rPr>
            <w:t>三、</w:t>
          </w:r>
          <w:r>
            <w:rPr>
              <w:rFonts w:hint="eastAsia" w:ascii="仿宋" w:hAnsi="仿宋" w:eastAsia="仿宋"/>
            </w:rPr>
            <w:t>支</w:t>
          </w:r>
          <w:r>
            <w:rPr>
              <w:rFonts w:hint="eastAsia" w:ascii="仿宋" w:hAnsi="仿宋" w:eastAsia="仿宋"/>
              <w:bCs w:val="0"/>
            </w:rPr>
            <w:t>出决算表</w:t>
          </w:r>
          <w:r>
            <w:tab/>
          </w:r>
          <w:r>
            <w:fldChar w:fldCharType="begin"/>
          </w:r>
          <w:r>
            <w:instrText xml:space="preserve"> PAGEREF _Toc18454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_Toc3554 </w:instrText>
          </w:r>
          <w:r>
            <w:rPr>
              <w:rFonts w:hint="eastAsia"/>
            </w:rPr>
            <w:fldChar w:fldCharType="separate"/>
          </w:r>
          <w:r>
            <w:rPr>
              <w:rFonts w:hint="eastAsia" w:ascii="仿宋" w:hAnsi="仿宋" w:eastAsia="仿宋"/>
              <w:bCs w:val="0"/>
            </w:rPr>
            <w:t>四、</w:t>
          </w:r>
          <w:r>
            <w:rPr>
              <w:rFonts w:hint="eastAsia" w:ascii="仿宋" w:hAnsi="仿宋" w:eastAsia="仿宋"/>
            </w:rPr>
            <w:t>财</w:t>
          </w:r>
          <w:r>
            <w:rPr>
              <w:rFonts w:hint="eastAsia" w:ascii="仿宋" w:hAnsi="仿宋" w:eastAsia="仿宋"/>
              <w:bCs w:val="0"/>
            </w:rPr>
            <w:t>政拨款收入支出决算总表</w:t>
          </w:r>
          <w:r>
            <w:tab/>
          </w:r>
          <w:r>
            <w:fldChar w:fldCharType="begin"/>
          </w:r>
          <w:r>
            <w:instrText xml:space="preserve"> PAGEREF _Toc3554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_Toc8436 </w:instrText>
          </w:r>
          <w:r>
            <w:rPr>
              <w:rFonts w:hint="eastAsia"/>
            </w:rPr>
            <w:fldChar w:fldCharType="separate"/>
          </w:r>
          <w:r>
            <w:rPr>
              <w:rFonts w:hint="eastAsia" w:ascii="仿宋" w:hAnsi="仿宋" w:eastAsia="仿宋"/>
              <w:bCs w:val="0"/>
            </w:rPr>
            <w:t>五、</w:t>
          </w:r>
          <w:r>
            <w:rPr>
              <w:rFonts w:hint="eastAsia" w:ascii="仿宋" w:hAnsi="仿宋" w:eastAsia="仿宋"/>
            </w:rPr>
            <w:t>财</w:t>
          </w:r>
          <w:r>
            <w:rPr>
              <w:rFonts w:hint="eastAsia" w:ascii="仿宋" w:hAnsi="仿宋" w:eastAsia="仿宋"/>
              <w:bCs w:val="0"/>
            </w:rPr>
            <w:t>政拨款支出决算明细表</w:t>
          </w:r>
          <w:r>
            <w:tab/>
          </w:r>
          <w:r>
            <w:fldChar w:fldCharType="begin"/>
          </w:r>
          <w:r>
            <w:instrText xml:space="preserve"> PAGEREF _Toc8436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_Toc11402 </w:instrText>
          </w:r>
          <w:r>
            <w:rPr>
              <w:rFonts w:hint="eastAsia"/>
            </w:rPr>
            <w:fldChar w:fldCharType="separate"/>
          </w:r>
          <w:r>
            <w:rPr>
              <w:rFonts w:hint="eastAsia" w:ascii="仿宋" w:hAnsi="仿宋" w:eastAsia="仿宋"/>
              <w:bCs w:val="0"/>
            </w:rPr>
            <w:t>六、</w:t>
          </w:r>
          <w:r>
            <w:rPr>
              <w:rFonts w:hint="eastAsia" w:ascii="仿宋" w:hAnsi="仿宋" w:eastAsia="仿宋"/>
            </w:rPr>
            <w:t>一</w:t>
          </w:r>
          <w:r>
            <w:rPr>
              <w:rFonts w:hint="eastAsia" w:ascii="仿宋" w:hAnsi="仿宋" w:eastAsia="仿宋"/>
              <w:bCs w:val="0"/>
            </w:rPr>
            <w:t>般公共预算财政拨款支出决算表</w:t>
          </w:r>
          <w:r>
            <w:tab/>
          </w:r>
          <w:r>
            <w:fldChar w:fldCharType="begin"/>
          </w:r>
          <w:r>
            <w:instrText xml:space="preserve"> PAGEREF _Toc11402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_Toc9431 </w:instrText>
          </w:r>
          <w:r>
            <w:rPr>
              <w:rFonts w:hint="eastAsia"/>
            </w:rPr>
            <w:fldChar w:fldCharType="separate"/>
          </w:r>
          <w:r>
            <w:rPr>
              <w:rFonts w:hint="eastAsia" w:ascii="仿宋" w:hAnsi="仿宋" w:eastAsia="仿宋"/>
              <w:bCs w:val="0"/>
            </w:rPr>
            <w:t>七、</w:t>
          </w:r>
          <w:r>
            <w:rPr>
              <w:rFonts w:hint="eastAsia" w:ascii="仿宋" w:hAnsi="仿宋" w:eastAsia="仿宋"/>
            </w:rPr>
            <w:t>一</w:t>
          </w:r>
          <w:r>
            <w:rPr>
              <w:rFonts w:hint="eastAsia" w:ascii="仿宋" w:hAnsi="仿宋" w:eastAsia="仿宋"/>
              <w:bCs w:val="0"/>
            </w:rPr>
            <w:t>般公共预算财政拨款支出决算明细表</w:t>
          </w:r>
          <w:r>
            <w:tab/>
          </w:r>
          <w:r>
            <w:fldChar w:fldCharType="begin"/>
          </w:r>
          <w:r>
            <w:instrText xml:space="preserve"> PAGEREF _Toc9431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_Toc28279 </w:instrText>
          </w:r>
          <w:r>
            <w:rPr>
              <w:rFonts w:hint="eastAsia"/>
            </w:rPr>
            <w:fldChar w:fldCharType="separate"/>
          </w:r>
          <w:r>
            <w:rPr>
              <w:rFonts w:hint="eastAsia" w:ascii="仿宋" w:hAnsi="仿宋" w:eastAsia="仿宋"/>
              <w:bCs w:val="0"/>
            </w:rPr>
            <w:t>八、</w:t>
          </w:r>
          <w:r>
            <w:rPr>
              <w:rFonts w:hint="eastAsia" w:ascii="仿宋" w:hAnsi="仿宋" w:eastAsia="仿宋"/>
            </w:rPr>
            <w:t>一</w:t>
          </w:r>
          <w:r>
            <w:rPr>
              <w:rFonts w:hint="eastAsia" w:ascii="仿宋" w:hAnsi="仿宋" w:eastAsia="仿宋"/>
              <w:bCs w:val="0"/>
            </w:rPr>
            <w:t>般公共预算财政拨款基本支出决算表</w:t>
          </w:r>
          <w:r>
            <w:tab/>
          </w:r>
          <w:r>
            <w:fldChar w:fldCharType="begin"/>
          </w:r>
          <w:r>
            <w:instrText xml:space="preserve"> PAGEREF _Toc28279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_Toc12015 </w:instrText>
          </w:r>
          <w:r>
            <w:rPr>
              <w:rFonts w:hint="eastAsia"/>
            </w:rPr>
            <w:fldChar w:fldCharType="separate"/>
          </w:r>
          <w:r>
            <w:rPr>
              <w:rFonts w:hint="eastAsia" w:ascii="仿宋" w:hAnsi="仿宋" w:eastAsia="仿宋"/>
              <w:bCs w:val="0"/>
            </w:rPr>
            <w:t>九、</w:t>
          </w:r>
          <w:r>
            <w:rPr>
              <w:rFonts w:hint="eastAsia" w:ascii="仿宋" w:hAnsi="仿宋" w:eastAsia="仿宋"/>
            </w:rPr>
            <w:t>一</w:t>
          </w:r>
          <w:r>
            <w:rPr>
              <w:rFonts w:hint="eastAsia" w:ascii="仿宋" w:hAnsi="仿宋" w:eastAsia="仿宋"/>
              <w:bCs w:val="0"/>
            </w:rPr>
            <w:t>般公共预算财政拨款项目支出决算表</w:t>
          </w:r>
          <w:r>
            <w:tab/>
          </w:r>
          <w:r>
            <w:fldChar w:fldCharType="begin"/>
          </w:r>
          <w:r>
            <w:instrText xml:space="preserve"> PAGEREF _Toc12015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_Toc14002 </w:instrText>
          </w:r>
          <w:r>
            <w:rPr>
              <w:rFonts w:hint="eastAsia"/>
            </w:rPr>
            <w:fldChar w:fldCharType="separate"/>
          </w:r>
          <w:r>
            <w:rPr>
              <w:rFonts w:hint="eastAsia" w:ascii="仿宋" w:hAnsi="仿宋" w:eastAsia="仿宋"/>
              <w:bCs w:val="0"/>
            </w:rPr>
            <w:t>十、</w:t>
          </w:r>
          <w:r>
            <w:rPr>
              <w:rFonts w:hint="eastAsia" w:ascii="仿宋" w:hAnsi="仿宋" w:eastAsia="仿宋"/>
            </w:rPr>
            <w:t>一</w:t>
          </w:r>
          <w:r>
            <w:rPr>
              <w:rFonts w:hint="eastAsia" w:ascii="仿宋" w:hAnsi="仿宋" w:eastAsia="仿宋"/>
              <w:bCs w:val="0"/>
            </w:rPr>
            <w:t>般公共预算财政拨款“三公”经费支出决算表</w:t>
          </w:r>
          <w:r>
            <w:tab/>
          </w:r>
          <w:r>
            <w:fldChar w:fldCharType="begin"/>
          </w:r>
          <w:r>
            <w:instrText xml:space="preserve"> PAGEREF _Toc14002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_Toc8275 </w:instrText>
          </w:r>
          <w:r>
            <w:rPr>
              <w:rFonts w:hint="eastAsia"/>
            </w:rPr>
            <w:fldChar w:fldCharType="separate"/>
          </w:r>
          <w:r>
            <w:rPr>
              <w:rFonts w:hint="eastAsia" w:ascii="仿宋" w:hAnsi="仿宋" w:eastAsia="仿宋"/>
              <w:bCs w:val="0"/>
            </w:rPr>
            <w:t>十一、</w:t>
          </w:r>
          <w:r>
            <w:rPr>
              <w:rFonts w:hint="eastAsia" w:ascii="仿宋" w:hAnsi="仿宋" w:eastAsia="仿宋"/>
            </w:rPr>
            <w:t>政</w:t>
          </w:r>
          <w:r>
            <w:rPr>
              <w:rFonts w:hint="eastAsia" w:ascii="仿宋" w:hAnsi="仿宋" w:eastAsia="仿宋"/>
              <w:bCs w:val="0"/>
            </w:rPr>
            <w:t>府性基金预算财政拨款收入支出决算表</w:t>
          </w:r>
          <w:r>
            <w:tab/>
          </w:r>
          <w:r>
            <w:fldChar w:fldCharType="begin"/>
          </w:r>
          <w:r>
            <w:instrText xml:space="preserve"> PAGEREF _Toc8275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_Toc2913 </w:instrText>
          </w:r>
          <w:r>
            <w:rPr>
              <w:rFonts w:hint="eastAsia"/>
            </w:rPr>
            <w:fldChar w:fldCharType="separate"/>
          </w:r>
          <w:r>
            <w:rPr>
              <w:rFonts w:hint="eastAsia" w:ascii="仿宋" w:hAnsi="仿宋" w:eastAsia="仿宋"/>
              <w:bCs w:val="0"/>
            </w:rPr>
            <w:t>十二、</w:t>
          </w:r>
          <w:r>
            <w:rPr>
              <w:rFonts w:hint="eastAsia" w:ascii="仿宋" w:hAnsi="仿宋" w:eastAsia="仿宋"/>
            </w:rPr>
            <w:t>政</w:t>
          </w:r>
          <w:r>
            <w:rPr>
              <w:rFonts w:hint="eastAsia" w:ascii="仿宋" w:hAnsi="仿宋" w:eastAsia="仿宋"/>
              <w:bCs w:val="0"/>
            </w:rPr>
            <w:t>府性基金预算财政拨款“三公”经费支出决算表</w:t>
          </w:r>
          <w:r>
            <w:tab/>
          </w:r>
          <w:r>
            <w:fldChar w:fldCharType="begin"/>
          </w:r>
          <w:r>
            <w:instrText xml:space="preserve"> PAGEREF _Toc2913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_Toc4697 </w:instrText>
          </w:r>
          <w:r>
            <w:rPr>
              <w:rFonts w:hint="eastAsia"/>
            </w:rPr>
            <w:fldChar w:fldCharType="separate"/>
          </w:r>
          <w:r>
            <w:rPr>
              <w:rFonts w:hint="eastAsia" w:ascii="仿宋" w:hAnsi="仿宋" w:eastAsia="仿宋"/>
              <w:bCs w:val="0"/>
            </w:rPr>
            <w:t>十三、</w:t>
          </w:r>
          <w:r>
            <w:rPr>
              <w:rFonts w:hint="eastAsia" w:ascii="仿宋" w:hAnsi="仿宋" w:eastAsia="仿宋"/>
            </w:rPr>
            <w:t>国</w:t>
          </w:r>
          <w:r>
            <w:rPr>
              <w:rFonts w:hint="eastAsia" w:ascii="仿宋" w:hAnsi="仿宋" w:eastAsia="仿宋"/>
              <w:bCs w:val="0"/>
            </w:rPr>
            <w:t>有资本经营预算财政拨款收入支出决算表</w:t>
          </w:r>
          <w:r>
            <w:tab/>
          </w:r>
          <w:r>
            <w:fldChar w:fldCharType="begin"/>
          </w:r>
          <w:r>
            <w:instrText xml:space="preserve"> PAGEREF _Toc4697 \h </w:instrText>
          </w:r>
          <w:r>
            <w:fldChar w:fldCharType="separate"/>
          </w:r>
          <w:r>
            <w:t>33</w:t>
          </w:r>
          <w:r>
            <w:fldChar w:fldCharType="end"/>
          </w:r>
          <w:r>
            <w:rPr>
              <w:rFonts w:hint="eastAsia"/>
            </w:rPr>
            <w:fldChar w:fldCharType="end"/>
          </w:r>
        </w:p>
        <w:p>
          <w:pPr>
            <w:pStyle w:val="12"/>
            <w:tabs>
              <w:tab w:val="right" w:leader="dot" w:pos="8306"/>
              <w:tab w:val="clear" w:pos="8296"/>
            </w:tabs>
          </w:pPr>
          <w:r>
            <w:rPr>
              <w:rFonts w:hint="eastAsia"/>
            </w:rPr>
            <w:fldChar w:fldCharType="begin"/>
          </w:r>
          <w:r>
            <w:rPr>
              <w:rFonts w:hint="eastAsia"/>
            </w:rPr>
            <w:instrText xml:space="preserve"> HYPERLINK \l _Toc9530 </w:instrText>
          </w:r>
          <w:r>
            <w:rPr>
              <w:rFonts w:hint="eastAsia"/>
            </w:rPr>
            <w:fldChar w:fldCharType="separate"/>
          </w:r>
          <w:r>
            <w:rPr>
              <w:rFonts w:hint="eastAsia" w:ascii="仿宋" w:hAnsi="仿宋" w:eastAsia="仿宋"/>
              <w:bCs w:val="0"/>
            </w:rPr>
            <w:t>十四、国有资本经营预算财政拨款支出决算表</w:t>
          </w:r>
          <w:r>
            <w:tab/>
          </w:r>
          <w:r>
            <w:fldChar w:fldCharType="begin"/>
          </w:r>
          <w:r>
            <w:instrText xml:space="preserve"> PAGEREF _Toc9530 \h </w:instrText>
          </w:r>
          <w:r>
            <w:fldChar w:fldCharType="separate"/>
          </w:r>
          <w:r>
            <w:t>33</w:t>
          </w:r>
          <w:r>
            <w:fldChar w:fldCharType="end"/>
          </w:r>
          <w:r>
            <w:rPr>
              <w:rFonts w:hint="eastAsia"/>
            </w:rPr>
            <w:fldChar w:fldCharType="end"/>
          </w:r>
        </w:p>
        <w:p>
          <w:pPr>
            <w:rPr>
              <w:rFonts w:hint="eastAsia" w:ascii="Times New Roman" w:hAnsi="Times New Roman" w:eastAsia="宋体" w:cs="Times New Roman"/>
              <w:b/>
              <w:kern w:val="2"/>
              <w:sz w:val="21"/>
              <w:szCs w:val="24"/>
              <w:lang w:val="en-US" w:eastAsia="zh-CN" w:bidi="ar-SA"/>
            </w:rPr>
          </w:pPr>
          <w:r>
            <w:rPr>
              <w:rFonts w:hint="eastAsia"/>
            </w:rPr>
            <w:fldChar w:fldCharType="end"/>
          </w:r>
        </w:p>
      </w:sdtContent>
    </w:sdt>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rPr>
          <w:rFonts w:hint="eastAsia" w:ascii="Times New Roman" w:hAnsi="Times New Roman" w:eastAsia="宋体" w:cs="Times New Roman"/>
          <w:b/>
          <w:kern w:val="2"/>
          <w:sz w:val="21"/>
          <w:szCs w:val="24"/>
          <w:lang w:val="en-US" w:eastAsia="zh-CN" w:bidi="ar-SA"/>
        </w:rPr>
      </w:pPr>
    </w:p>
    <w:p>
      <w:pPr>
        <w:rPr>
          <w:rFonts w:hint="eastAsia" w:ascii="Times New Roman" w:hAnsi="Times New Roman" w:eastAsia="宋体" w:cs="Times New Roman"/>
          <w:b/>
          <w:kern w:val="2"/>
          <w:sz w:val="21"/>
          <w:szCs w:val="24"/>
          <w:lang w:val="en-US" w:eastAsia="zh-CN" w:bidi="ar-SA"/>
        </w:rPr>
      </w:pPr>
    </w:p>
    <w:p>
      <w:pPr>
        <w:pStyle w:val="11"/>
      </w:pPr>
    </w:p>
    <w:p>
      <w:pPr>
        <w:rPr>
          <w:rFonts w:hint="eastAsia" w:ascii="黑体" w:hAnsi="黑体" w:eastAsia="黑体"/>
          <w:b w:val="0"/>
          <w:lang w:val="en-US" w:eastAsia="zh-CN"/>
        </w:rPr>
      </w:pPr>
      <w:r>
        <w:rPr>
          <w:rFonts w:hint="eastAsia" w:ascii="黑体" w:hAnsi="黑体" w:eastAsia="黑体"/>
          <w:b w:val="0"/>
          <w:lang w:val="en-US" w:eastAsia="zh-CN"/>
        </w:rPr>
        <w:t xml:space="preserve">   </w:t>
      </w:r>
    </w:p>
    <w:p>
      <w:pPr>
        <w:pStyle w:val="3"/>
        <w:jc w:val="center"/>
        <w:rPr>
          <w:rFonts w:ascii="黑体" w:eastAsia="黑体"/>
          <w:sz w:val="32"/>
          <w:szCs w:val="32"/>
        </w:rPr>
      </w:pPr>
      <w:bookmarkStart w:id="14" w:name="_Toc21394"/>
      <w:r>
        <w:rPr>
          <w:rFonts w:hint="eastAsia" w:ascii="黑体" w:hAnsi="黑体" w:eastAsia="黑体"/>
          <w:b w:val="0"/>
        </w:rPr>
        <w:t>第一部分 单位</w:t>
      </w:r>
      <w:r>
        <w:rPr>
          <w:rStyle w:val="26"/>
          <w:rFonts w:hint="eastAsia" w:ascii="黑体" w:hAnsi="黑体" w:eastAsia="黑体"/>
          <w:b w:val="0"/>
          <w:bCs w:val="0"/>
        </w:rPr>
        <w:t>概况</w:t>
      </w:r>
      <w:bookmarkEnd w:id="12"/>
      <w:bookmarkEnd w:id="13"/>
      <w:bookmarkEnd w:id="14"/>
    </w:p>
    <w:p>
      <w:pPr>
        <w:pStyle w:val="4"/>
        <w:numPr>
          <w:ilvl w:val="0"/>
          <w:numId w:val="1"/>
        </w:numPr>
        <w:rPr>
          <w:rStyle w:val="27"/>
          <w:rFonts w:ascii="黑体" w:hAnsi="黑体" w:eastAsia="黑体"/>
          <w:b w:val="0"/>
          <w:bCs w:val="0"/>
        </w:rPr>
      </w:pPr>
      <w:bookmarkStart w:id="15" w:name="_Toc21447"/>
      <w:bookmarkStart w:id="16" w:name="_Toc15396600"/>
      <w:bookmarkStart w:id="17" w:name="_Toc15377197"/>
      <w:r>
        <w:rPr>
          <w:rStyle w:val="27"/>
          <w:rFonts w:hint="eastAsia" w:ascii="黑体" w:hAnsi="黑体" w:eastAsia="黑体"/>
          <w:b w:val="0"/>
          <w:bCs w:val="0"/>
        </w:rPr>
        <w:t>职能简介</w:t>
      </w:r>
      <w:bookmarkEnd w:id="15"/>
    </w:p>
    <w:p>
      <w:pPr>
        <w:snapToGrid w:val="0"/>
        <w:spacing w:line="520" w:lineRule="exact"/>
        <w:ind w:firstLine="640" w:firstLineChars="200"/>
        <w:rPr>
          <w:rFonts w:hint="eastAsia" w:ascii="仿宋" w:hAnsi="仿宋" w:eastAsia="仿宋"/>
          <w:sz w:val="32"/>
          <w:szCs w:val="32"/>
        </w:rPr>
      </w:pPr>
      <w:r>
        <w:rPr>
          <w:rFonts w:hint="eastAsia" w:ascii="仿宋" w:hAnsi="仿宋" w:eastAsia="仿宋"/>
          <w:sz w:val="32"/>
          <w:szCs w:val="32"/>
        </w:rPr>
        <w:t>贯彻执行国家人力资源和社会保障工作的相关法律、法规、规章和政策；拟定全县人力资源和社会保障事业发展规划、政策并组织实施和检查。拟定全县人力资源市场发展规划和人力资源流动政策，建立统一规范的人力资源市场，促进人力资源合理流动、有效配置。负责促进就业工作、统筹建立覆盖城乡居民的社会保障体系，五大保险的征收、管理和监督。负责劳动保障执法、人事招考、人才引进、军队转业干部安置、人事工资政策的落实。</w:t>
      </w:r>
    </w:p>
    <w:p>
      <w:pPr>
        <w:pStyle w:val="1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rPr>
          <w:rStyle w:val="27"/>
          <w:rFonts w:hint="eastAsia" w:ascii="黑体" w:hAnsi="黑体" w:eastAsia="黑体"/>
          <w:b w:val="0"/>
          <w:bCs w:val="0"/>
          <w:color w:val="auto"/>
          <w:highlight w:val="none"/>
          <w:lang w:val="en-US" w:eastAsia="zh-CN" w:bidi="ar-SA"/>
        </w:rPr>
      </w:pPr>
      <w:r>
        <w:rPr>
          <w:rStyle w:val="27"/>
          <w:rFonts w:hint="eastAsia" w:ascii="黑体" w:hAnsi="黑体" w:eastAsia="黑体"/>
          <w:b w:val="0"/>
          <w:bCs w:val="0"/>
          <w:color w:val="auto"/>
          <w:highlight w:val="none"/>
          <w:lang w:val="en-US" w:eastAsia="zh-CN" w:bidi="ar-SA"/>
        </w:rPr>
        <w:t>二、机构设置</w:t>
      </w:r>
    </w:p>
    <w:p>
      <w:pPr>
        <w:pStyle w:val="1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pPr>
      <w:r>
        <w:rPr>
          <w:rFonts w:hint="eastAsia" w:ascii="仿宋" w:hAnsi="仿宋" w:eastAsia="仿宋" w:cs="仿宋"/>
          <w:color w:val="000000"/>
          <w:kern w:val="2"/>
          <w:sz w:val="32"/>
          <w:szCs w:val="32"/>
          <w:lang w:val="en-US" w:eastAsia="zh-CN" w:bidi="ar-SA"/>
        </w:rPr>
        <w:t>旺苍县人力资源和社会保障局（本级）属于旺苍县人力资源和社会保障局部门下属的二级预算单位，下设独立编制机构5个，其中行政机构0个，参照公务员法管理的事业机构1个，其他事业机构4个。</w:t>
      </w:r>
    </w:p>
    <w:p>
      <w:pPr>
        <w:pStyle w:val="4"/>
        <w:rPr>
          <w:rFonts w:ascii="黑体" w:hAnsi="黑体" w:eastAsia="黑体"/>
          <w:b w:val="0"/>
        </w:rPr>
      </w:pPr>
      <w:bookmarkStart w:id="18" w:name="_Toc189"/>
      <w:r>
        <w:rPr>
          <w:rFonts w:hint="eastAsia" w:ascii="黑体" w:hAnsi="黑体" w:eastAsia="黑体"/>
          <w:b w:val="0"/>
          <w:lang w:eastAsia="zh-CN"/>
        </w:rPr>
        <w:t>三</w:t>
      </w:r>
      <w:r>
        <w:rPr>
          <w:rFonts w:hint="eastAsia" w:ascii="黑体" w:hAnsi="黑体" w:eastAsia="黑体"/>
          <w:b w:val="0"/>
        </w:rPr>
        <w:t>、2021年重点工作</w:t>
      </w:r>
      <w:bookmarkEnd w:id="16"/>
      <w:bookmarkEnd w:id="17"/>
      <w:r>
        <w:rPr>
          <w:rFonts w:hint="eastAsia" w:ascii="黑体" w:hAnsi="黑体" w:eastAsia="黑体"/>
          <w:b w:val="0"/>
        </w:rPr>
        <w:t>完成情况</w:t>
      </w:r>
      <w:bookmarkEnd w:id="18"/>
    </w:p>
    <w:p>
      <w:pPr>
        <w:spacing w:line="576" w:lineRule="exact"/>
        <w:ind w:right="268" w:firstLine="611" w:firstLineChars="200"/>
        <w:rPr>
          <w:rFonts w:ascii="仿宋" w:hAnsi="仿宋" w:eastAsia="仿宋"/>
          <w:sz w:val="32"/>
          <w:szCs w:val="32"/>
        </w:rPr>
      </w:pPr>
      <w:r>
        <w:rPr>
          <w:rFonts w:hint="eastAsia" w:ascii="仿宋" w:hAnsi="仿宋" w:eastAsia="仿宋"/>
          <w:b/>
          <w:w w:val="95"/>
          <w:sz w:val="32"/>
          <w:szCs w:val="32"/>
        </w:rPr>
        <w:t>（一）深入推进脱贫攻坚与乡村振兴有效衔接。</w:t>
      </w:r>
      <w:r>
        <w:rPr>
          <w:rFonts w:ascii="仿宋" w:hAnsi="仿宋" w:eastAsia="仿宋"/>
          <w:w w:val="95"/>
          <w:sz w:val="32"/>
          <w:szCs w:val="32"/>
        </w:rPr>
        <w:t>不断夯实稳定基</w:t>
      </w:r>
      <w:r>
        <w:rPr>
          <w:rFonts w:ascii="仿宋" w:hAnsi="仿宋" w:eastAsia="仿宋"/>
          <w:b/>
          <w:w w:val="95"/>
          <w:sz w:val="32"/>
          <w:szCs w:val="32"/>
        </w:rPr>
        <w:t>层人才队伍。</w:t>
      </w:r>
      <w:r>
        <w:rPr>
          <w:rFonts w:ascii="仿宋" w:hAnsi="仿宋" w:eastAsia="仿宋"/>
          <w:w w:val="95"/>
          <w:sz w:val="32"/>
          <w:szCs w:val="32"/>
        </w:rPr>
        <w:t>牢固树立“人才是第一资源”理念，紧扣县域经济发展，不断夯实人才强县基础。2021 年计划全县事业单位公开招聘（引进）教育、卫健等各类人才 423 名【上半年已</w:t>
      </w:r>
      <w:r>
        <w:rPr>
          <w:rFonts w:ascii="仿宋" w:hAnsi="仿宋" w:eastAsia="仿宋"/>
          <w:spacing w:val="7"/>
          <w:w w:val="95"/>
          <w:sz w:val="32"/>
          <w:szCs w:val="32"/>
        </w:rPr>
        <w:t xml:space="preserve">考核招聘 </w:t>
      </w:r>
      <w:r>
        <w:rPr>
          <w:rFonts w:ascii="仿宋" w:hAnsi="仿宋" w:eastAsia="仿宋"/>
          <w:w w:val="95"/>
          <w:sz w:val="32"/>
          <w:szCs w:val="32"/>
        </w:rPr>
        <w:t>134</w:t>
      </w:r>
      <w:r>
        <w:rPr>
          <w:rFonts w:ascii="仿宋" w:hAnsi="仿宋" w:eastAsia="仿宋"/>
          <w:spacing w:val="8"/>
          <w:w w:val="95"/>
          <w:sz w:val="32"/>
          <w:szCs w:val="32"/>
        </w:rPr>
        <w:t xml:space="preserve"> 名。下半年考试招聘 </w:t>
      </w:r>
      <w:r>
        <w:rPr>
          <w:rFonts w:ascii="仿宋" w:hAnsi="仿宋" w:eastAsia="仿宋"/>
          <w:w w:val="95"/>
          <w:sz w:val="32"/>
          <w:szCs w:val="32"/>
        </w:rPr>
        <w:t>147</w:t>
      </w:r>
      <w:r>
        <w:rPr>
          <w:rFonts w:ascii="仿宋" w:hAnsi="仿宋" w:eastAsia="仿宋"/>
          <w:spacing w:val="9"/>
          <w:w w:val="95"/>
          <w:sz w:val="32"/>
          <w:szCs w:val="32"/>
        </w:rPr>
        <w:t xml:space="preserve"> 名、考核考聘 </w:t>
      </w:r>
      <w:r>
        <w:rPr>
          <w:rFonts w:ascii="仿宋" w:hAnsi="仿宋" w:eastAsia="仿宋"/>
          <w:w w:val="95"/>
          <w:sz w:val="32"/>
          <w:szCs w:val="32"/>
        </w:rPr>
        <w:t>142名（其中急需紧缺高层次人才32名）</w:t>
      </w:r>
      <w:r>
        <w:rPr>
          <w:rFonts w:ascii="仿宋" w:hAnsi="仿宋" w:eastAsia="仿宋"/>
          <w:spacing w:val="-16"/>
          <w:w w:val="95"/>
          <w:sz w:val="32"/>
          <w:szCs w:val="32"/>
        </w:rPr>
        <w:t>目前正在有序进行】，事</w:t>
      </w:r>
      <w:r>
        <w:rPr>
          <w:rFonts w:ascii="仿宋" w:hAnsi="仿宋" w:eastAsia="仿宋"/>
          <w:spacing w:val="-1"/>
          <w:w w:val="95"/>
          <w:sz w:val="32"/>
          <w:szCs w:val="32"/>
        </w:rPr>
        <w:t xml:space="preserve">业单位招聘人数较 </w:t>
      </w:r>
      <w:r>
        <w:rPr>
          <w:rFonts w:ascii="仿宋" w:hAnsi="仿宋" w:eastAsia="仿宋"/>
          <w:w w:val="95"/>
          <w:sz w:val="32"/>
          <w:szCs w:val="32"/>
        </w:rPr>
        <w:t>2020</w:t>
      </w:r>
      <w:r>
        <w:rPr>
          <w:rFonts w:ascii="仿宋" w:hAnsi="仿宋" w:eastAsia="仿宋"/>
          <w:spacing w:val="-4"/>
          <w:w w:val="95"/>
          <w:sz w:val="32"/>
          <w:szCs w:val="32"/>
        </w:rPr>
        <w:t xml:space="preserve"> 年增长 </w:t>
      </w:r>
      <w:r>
        <w:rPr>
          <w:rFonts w:ascii="仿宋" w:hAnsi="仿宋" w:eastAsia="仿宋"/>
          <w:w w:val="95"/>
          <w:sz w:val="32"/>
          <w:szCs w:val="32"/>
        </w:rPr>
        <w:t>208</w:t>
      </w:r>
      <w:r>
        <w:rPr>
          <w:rFonts w:ascii="仿宋" w:hAnsi="仿宋" w:eastAsia="仿宋"/>
          <w:spacing w:val="-4"/>
          <w:w w:val="95"/>
          <w:sz w:val="32"/>
          <w:szCs w:val="32"/>
        </w:rPr>
        <w:t xml:space="preserve"> 人，同比增长 </w:t>
      </w:r>
      <w:r>
        <w:rPr>
          <w:rFonts w:ascii="仿宋" w:hAnsi="仿宋" w:eastAsia="仿宋"/>
          <w:w w:val="95"/>
          <w:sz w:val="32"/>
          <w:szCs w:val="32"/>
        </w:rPr>
        <w:t>96.74%。</w:t>
      </w:r>
      <w:r>
        <w:rPr>
          <w:rFonts w:ascii="仿宋" w:hAnsi="仿宋" w:eastAsia="仿宋"/>
          <w:spacing w:val="-1"/>
          <w:w w:val="95"/>
          <w:sz w:val="32"/>
          <w:szCs w:val="32"/>
        </w:rPr>
        <w:t>首次</w:t>
      </w:r>
      <w:r>
        <w:rPr>
          <w:rFonts w:hint="eastAsia" w:ascii="仿宋" w:hAnsi="仿宋" w:eastAsia="仿宋"/>
          <w:spacing w:val="-1"/>
          <w:w w:val="95"/>
          <w:sz w:val="32"/>
          <w:szCs w:val="32"/>
        </w:rPr>
        <w:t>与</w:t>
      </w:r>
      <w:r>
        <w:rPr>
          <w:rFonts w:ascii="仿宋" w:hAnsi="仿宋" w:eastAsia="仿宋"/>
          <w:spacing w:val="-1"/>
          <w:w w:val="95"/>
          <w:sz w:val="32"/>
          <w:szCs w:val="32"/>
        </w:rPr>
        <w:t>17 名乡村振</w:t>
      </w:r>
      <w:r>
        <w:rPr>
          <w:rFonts w:ascii="仿宋" w:hAnsi="仿宋" w:eastAsia="仿宋"/>
          <w:spacing w:val="11"/>
          <w:w w:val="95"/>
          <w:sz w:val="32"/>
          <w:szCs w:val="32"/>
        </w:rPr>
        <w:t>兴急需紧缺专业大学本科生签订了定向培养协</w:t>
      </w:r>
      <w:r>
        <w:rPr>
          <w:rFonts w:ascii="仿宋" w:hAnsi="仿宋" w:eastAsia="仿宋"/>
          <w:w w:val="95"/>
          <w:sz w:val="32"/>
          <w:szCs w:val="32"/>
        </w:rPr>
        <w:t>议，毕业后将回到基层助力家乡乡村振兴，进一步夯实了基层人才队伍。</w:t>
      </w:r>
    </w:p>
    <w:p>
      <w:pPr>
        <w:pStyle w:val="6"/>
        <w:spacing w:before="93" w:line="576" w:lineRule="exact"/>
        <w:ind w:left="106" w:right="107" w:firstLine="640"/>
        <w:rPr>
          <w:rFonts w:ascii="仿宋" w:hAnsi="仿宋" w:eastAsia="仿宋"/>
          <w:sz w:val="32"/>
          <w:szCs w:val="32"/>
        </w:rPr>
      </w:pPr>
      <w:r>
        <w:rPr>
          <w:rFonts w:hint="eastAsia" w:ascii="仿宋" w:hAnsi="仿宋" w:eastAsia="仿宋"/>
          <w:b/>
          <w:w w:val="95"/>
          <w:sz w:val="32"/>
          <w:szCs w:val="32"/>
        </w:rPr>
        <w:t>（二</w:t>
      </w:r>
      <w:r>
        <w:rPr>
          <w:rFonts w:hint="eastAsia" w:ascii="仿宋" w:hAnsi="仿宋" w:eastAsia="仿宋"/>
          <w:b/>
          <w:spacing w:val="-67"/>
          <w:w w:val="95"/>
          <w:sz w:val="32"/>
          <w:szCs w:val="32"/>
        </w:rPr>
        <w:t>）</w:t>
      </w:r>
      <w:r>
        <w:rPr>
          <w:rFonts w:hint="eastAsia" w:ascii="仿宋" w:hAnsi="仿宋" w:eastAsia="仿宋"/>
          <w:b/>
          <w:spacing w:val="-7"/>
          <w:w w:val="95"/>
          <w:sz w:val="32"/>
          <w:szCs w:val="32"/>
        </w:rPr>
        <w:t>逐步完善社会保障体系。</w:t>
      </w:r>
      <w:r>
        <w:rPr>
          <w:rFonts w:hint="eastAsia" w:ascii="仿宋" w:hAnsi="仿宋" w:eastAsia="仿宋"/>
          <w:b/>
          <w:w w:val="95"/>
          <w:sz w:val="32"/>
          <w:szCs w:val="32"/>
        </w:rPr>
        <w:t>1</w:t>
      </w:r>
      <w:r>
        <w:rPr>
          <w:rFonts w:ascii="仿宋" w:hAnsi="仿宋" w:eastAsia="仿宋"/>
          <w:b/>
          <w:spacing w:val="-13"/>
          <w:w w:val="95"/>
          <w:sz w:val="32"/>
          <w:szCs w:val="32"/>
        </w:rPr>
        <w:t>.实现重点工作“常态化”。</w:t>
      </w:r>
      <w:r>
        <w:rPr>
          <w:rFonts w:ascii="仿宋" w:hAnsi="仿宋" w:eastAsia="仿宋"/>
          <w:w w:val="95"/>
          <w:sz w:val="32"/>
          <w:szCs w:val="32"/>
        </w:rPr>
        <w:t>继续加强经办业务内部控制管理和严格核实疑点数据核查；有序对档案进行管理；对标对表查摆问题、深入检视剖析，进行了学习自查和整治纠治。</w:t>
      </w:r>
      <w:r>
        <w:rPr>
          <w:rFonts w:hint="eastAsia" w:ascii="仿宋" w:hAnsi="仿宋" w:eastAsia="仿宋"/>
          <w:b/>
          <w:w w:val="95"/>
          <w:sz w:val="32"/>
          <w:szCs w:val="32"/>
        </w:rPr>
        <w:t>2</w:t>
      </w:r>
      <w:r>
        <w:rPr>
          <w:rFonts w:ascii="仿宋" w:hAnsi="仿宋" w:eastAsia="仿宋"/>
          <w:b/>
          <w:w w:val="95"/>
          <w:sz w:val="32"/>
          <w:szCs w:val="32"/>
        </w:rPr>
        <w:t>.</w:t>
      </w:r>
      <w:r>
        <w:rPr>
          <w:rFonts w:ascii="仿宋" w:hAnsi="仿宋" w:eastAsia="仿宋"/>
          <w:b/>
          <w:spacing w:val="-13"/>
          <w:w w:val="95"/>
          <w:sz w:val="32"/>
          <w:szCs w:val="32"/>
        </w:rPr>
        <w:t>实现保障基金管理“安全化”</w:t>
      </w:r>
      <w:r>
        <w:rPr>
          <w:rFonts w:hint="eastAsia" w:ascii="仿宋" w:hAnsi="仿宋" w:eastAsia="仿宋"/>
          <w:b/>
          <w:w w:val="95"/>
          <w:sz w:val="32"/>
          <w:szCs w:val="32"/>
        </w:rPr>
        <w:t>。</w:t>
      </w:r>
      <w:r>
        <w:rPr>
          <w:rFonts w:ascii="仿宋" w:hAnsi="仿宋" w:eastAsia="仿宋"/>
          <w:w w:val="95"/>
          <w:sz w:val="32"/>
          <w:szCs w:val="32"/>
        </w:rPr>
        <w:t>通过内部循环自查</w:t>
      </w:r>
      <w:r>
        <w:rPr>
          <w:rFonts w:ascii="仿宋" w:hAnsi="仿宋" w:eastAsia="仿宋"/>
          <w:spacing w:val="-7"/>
          <w:w w:val="95"/>
          <w:sz w:val="32"/>
          <w:szCs w:val="32"/>
        </w:rPr>
        <w:t>与外部数据协查相结合的原则，共核查养老保险发放数据</w:t>
      </w:r>
      <w:r>
        <w:rPr>
          <w:rFonts w:ascii="仿宋" w:hAnsi="仿宋" w:eastAsia="仿宋"/>
          <w:w w:val="95"/>
          <w:sz w:val="32"/>
          <w:szCs w:val="32"/>
        </w:rPr>
        <w:t>43191条，通过逐项逐条排查，无任何发放异常现象。因死亡原因暂</w:t>
      </w:r>
      <w:r>
        <w:rPr>
          <w:rFonts w:ascii="仿宋" w:hAnsi="仿宋" w:eastAsia="仿宋"/>
          <w:spacing w:val="3"/>
          <w:w w:val="95"/>
          <w:sz w:val="32"/>
          <w:szCs w:val="32"/>
        </w:rPr>
        <w:t xml:space="preserve">停发放人员恢复待遇、补发待遇 </w:t>
      </w:r>
      <w:r>
        <w:rPr>
          <w:rFonts w:ascii="仿宋" w:hAnsi="仿宋" w:eastAsia="仿宋"/>
          <w:w w:val="95"/>
          <w:sz w:val="32"/>
          <w:szCs w:val="32"/>
        </w:rPr>
        <w:t>2人，经核查后均无异常发放</w:t>
      </w:r>
      <w:r>
        <w:rPr>
          <w:rFonts w:ascii="仿宋" w:hAnsi="仿宋" w:eastAsia="仿宋"/>
          <w:sz w:val="32"/>
          <w:szCs w:val="32"/>
        </w:rPr>
        <w:t>现象。</w:t>
      </w:r>
    </w:p>
    <w:p>
      <w:pPr>
        <w:pStyle w:val="6"/>
        <w:spacing w:before="93" w:line="576" w:lineRule="exact"/>
        <w:ind w:left="106" w:right="270" w:firstLine="652"/>
        <w:rPr>
          <w:rFonts w:ascii="仿宋" w:hAnsi="仿宋" w:eastAsia="仿宋"/>
          <w:spacing w:val="-12"/>
          <w:w w:val="95"/>
          <w:sz w:val="32"/>
          <w:szCs w:val="32"/>
        </w:rPr>
      </w:pPr>
      <w:r>
        <w:rPr>
          <w:rFonts w:hint="eastAsia" w:ascii="仿宋" w:hAnsi="仿宋" w:eastAsia="仿宋"/>
          <w:b/>
          <w:w w:val="95"/>
          <w:sz w:val="32"/>
          <w:szCs w:val="32"/>
        </w:rPr>
        <w:t>（三）高效推进人事人才。</w:t>
      </w:r>
      <w:r>
        <w:rPr>
          <w:rFonts w:ascii="仿宋" w:hAnsi="仿宋" w:eastAsia="仿宋"/>
          <w:w w:val="95"/>
          <w:sz w:val="32"/>
          <w:szCs w:val="32"/>
        </w:rPr>
        <w:t>牢固树立“人才是第一资源”理念，紧扣县域经济发展，不断夯实人才强县基础。</w:t>
      </w:r>
      <w:r>
        <w:rPr>
          <w:rFonts w:ascii="仿宋" w:hAnsi="仿宋" w:eastAsia="仿宋"/>
          <w:b/>
          <w:w w:val="95"/>
          <w:sz w:val="32"/>
          <w:szCs w:val="32"/>
        </w:rPr>
        <w:t>1.不断加强干部管理。</w:t>
      </w:r>
      <w:r>
        <w:rPr>
          <w:rFonts w:ascii="仿宋" w:hAnsi="仿宋" w:eastAsia="仿宋"/>
          <w:spacing w:val="-10"/>
          <w:w w:val="95"/>
          <w:sz w:val="32"/>
          <w:szCs w:val="32"/>
        </w:rPr>
        <w:t>认真贯彻落实《事业单位人事管理条例》《关于深</w:t>
      </w:r>
      <w:r>
        <w:rPr>
          <w:rFonts w:ascii="仿宋" w:hAnsi="仿宋" w:eastAsia="仿宋"/>
          <w:w w:val="95"/>
          <w:sz w:val="32"/>
          <w:szCs w:val="32"/>
        </w:rPr>
        <w:t>化职称制度改革的实施意见》等有关规定及文件精神，严格按照程序做好岗位设置、职称评聘、人事调配等工作。做好因机</w:t>
      </w:r>
      <w:r>
        <w:rPr>
          <w:rFonts w:ascii="仿宋" w:hAnsi="仿宋" w:eastAsia="仿宋"/>
          <w:spacing w:val="1"/>
          <w:w w:val="95"/>
          <w:sz w:val="32"/>
          <w:szCs w:val="32"/>
        </w:rPr>
        <w:t xml:space="preserve">构改革等原因需重新设置岗位的核准工作。完成 </w:t>
      </w:r>
      <w:r>
        <w:rPr>
          <w:rFonts w:ascii="仿宋" w:hAnsi="仿宋" w:eastAsia="仿宋"/>
          <w:w w:val="95"/>
          <w:sz w:val="32"/>
          <w:szCs w:val="32"/>
        </w:rPr>
        <w:t>110个事业单位的岗位设置。严格执行国家、省、市有关政策，办理事业单</w:t>
      </w:r>
      <w:r>
        <w:rPr>
          <w:rFonts w:ascii="仿宋" w:hAnsi="仿宋" w:eastAsia="仿宋"/>
          <w:spacing w:val="13"/>
          <w:w w:val="95"/>
          <w:sz w:val="32"/>
          <w:szCs w:val="32"/>
        </w:rPr>
        <w:t xml:space="preserve">位 </w:t>
      </w:r>
      <w:r>
        <w:rPr>
          <w:rFonts w:ascii="仿宋" w:hAnsi="仿宋" w:eastAsia="仿宋"/>
          <w:w w:val="95"/>
          <w:sz w:val="32"/>
          <w:szCs w:val="32"/>
        </w:rPr>
        <w:t>400</w:t>
      </w:r>
      <w:r>
        <w:rPr>
          <w:rFonts w:ascii="仿宋" w:hAnsi="仿宋" w:eastAsia="仿宋"/>
          <w:spacing w:val="1"/>
          <w:w w:val="95"/>
          <w:sz w:val="32"/>
          <w:szCs w:val="32"/>
        </w:rPr>
        <w:t xml:space="preserve"> 余人调动手续，安置退役军人 </w:t>
      </w:r>
      <w:r>
        <w:rPr>
          <w:rFonts w:ascii="仿宋" w:hAnsi="仿宋" w:eastAsia="仿宋"/>
          <w:w w:val="95"/>
          <w:sz w:val="32"/>
          <w:szCs w:val="32"/>
        </w:rPr>
        <w:t>16 名，完成了乡镇行政区划调整后人员划转后续工作和代政府职务任免及提请人大任免工作。</w:t>
      </w:r>
      <w:r>
        <w:rPr>
          <w:rFonts w:ascii="仿宋" w:hAnsi="仿宋" w:eastAsia="仿宋"/>
          <w:b/>
          <w:w w:val="95"/>
          <w:sz w:val="32"/>
          <w:szCs w:val="32"/>
        </w:rPr>
        <w:t>2.不断深化职称管理。</w:t>
      </w:r>
      <w:r>
        <w:rPr>
          <w:rFonts w:ascii="仿宋" w:hAnsi="仿宋" w:eastAsia="仿宋"/>
          <w:spacing w:val="6"/>
          <w:w w:val="95"/>
          <w:sz w:val="32"/>
          <w:szCs w:val="32"/>
        </w:rPr>
        <w:t xml:space="preserve">建立 </w:t>
      </w:r>
      <w:r>
        <w:rPr>
          <w:rFonts w:ascii="仿宋" w:hAnsi="仿宋" w:eastAsia="仿宋"/>
          <w:w w:val="95"/>
          <w:sz w:val="32"/>
          <w:szCs w:val="32"/>
        </w:rPr>
        <w:t>9</w:t>
      </w:r>
      <w:r>
        <w:rPr>
          <w:rFonts w:ascii="仿宋" w:hAnsi="仿宋" w:eastAsia="仿宋"/>
          <w:spacing w:val="11"/>
          <w:w w:val="95"/>
          <w:sz w:val="32"/>
          <w:szCs w:val="32"/>
        </w:rPr>
        <w:t xml:space="preserve"> 个初级职称评审委员会和</w:t>
      </w:r>
      <w:r>
        <w:rPr>
          <w:rFonts w:ascii="仿宋" w:hAnsi="仿宋" w:eastAsia="仿宋"/>
          <w:w w:val="95"/>
          <w:sz w:val="32"/>
          <w:szCs w:val="32"/>
        </w:rPr>
        <w:t>农业中级职称评审委员会，进一步规范职称评审工作，做好任职资格评审、推荐工作，初级、中级职称确认（定</w:t>
      </w:r>
      <w:r>
        <w:rPr>
          <w:rFonts w:ascii="仿宋" w:hAnsi="仿宋" w:eastAsia="仿宋"/>
          <w:spacing w:val="-154"/>
          <w:w w:val="95"/>
          <w:sz w:val="32"/>
          <w:szCs w:val="32"/>
        </w:rPr>
        <w:t>）</w:t>
      </w:r>
      <w:r>
        <w:rPr>
          <w:rFonts w:ascii="仿宋" w:hAnsi="仿宋" w:eastAsia="仿宋"/>
          <w:w w:val="95"/>
          <w:sz w:val="32"/>
          <w:szCs w:val="32"/>
        </w:rPr>
        <w:t>、评审 612</w:t>
      </w:r>
      <w:r>
        <w:rPr>
          <w:rFonts w:ascii="仿宋" w:hAnsi="仿宋" w:eastAsia="仿宋"/>
          <w:spacing w:val="-8"/>
          <w:w w:val="95"/>
          <w:sz w:val="32"/>
          <w:szCs w:val="32"/>
        </w:rPr>
        <w:t xml:space="preserve">人。中、高级职称拟评聘结合 </w:t>
      </w:r>
      <w:r>
        <w:rPr>
          <w:rFonts w:ascii="仿宋" w:hAnsi="仿宋" w:eastAsia="仿宋"/>
          <w:w w:val="95"/>
          <w:sz w:val="32"/>
          <w:szCs w:val="32"/>
        </w:rPr>
        <w:t>480 人，其中中小学教师 394</w:t>
      </w:r>
      <w:r>
        <w:rPr>
          <w:rFonts w:ascii="仿宋" w:hAnsi="仿宋" w:eastAsia="仿宋"/>
          <w:spacing w:val="16"/>
          <w:w w:val="95"/>
          <w:sz w:val="32"/>
          <w:szCs w:val="32"/>
        </w:rPr>
        <w:t xml:space="preserve"> 人。</w:t>
      </w:r>
      <w:r>
        <w:rPr>
          <w:rFonts w:ascii="仿宋" w:hAnsi="仿宋" w:eastAsia="仿宋"/>
          <w:spacing w:val="21"/>
          <w:w w:val="95"/>
          <w:sz w:val="32"/>
          <w:szCs w:val="32"/>
        </w:rPr>
        <w:t xml:space="preserve">卫生系统推荐评审高级职称 </w:t>
      </w:r>
      <w:r>
        <w:rPr>
          <w:rFonts w:ascii="仿宋" w:hAnsi="仿宋" w:eastAsia="仿宋"/>
          <w:w w:val="95"/>
          <w:sz w:val="32"/>
          <w:szCs w:val="32"/>
        </w:rPr>
        <w:t>41</w:t>
      </w:r>
      <w:r>
        <w:rPr>
          <w:rFonts w:ascii="仿宋" w:hAnsi="仿宋" w:eastAsia="仿宋"/>
          <w:spacing w:val="18"/>
          <w:w w:val="95"/>
          <w:sz w:val="32"/>
          <w:szCs w:val="32"/>
        </w:rPr>
        <w:t xml:space="preserve"> 人。按要求办理职称资格证书</w:t>
      </w:r>
      <w:r>
        <w:rPr>
          <w:rFonts w:ascii="仿宋" w:hAnsi="仿宋" w:eastAsia="仿宋"/>
          <w:w w:val="95"/>
          <w:sz w:val="32"/>
          <w:szCs w:val="32"/>
        </w:rPr>
        <w:t>1201本。东河小学原校长黄先友首次成功申报省学术技术带头</w:t>
      </w:r>
      <w:r>
        <w:rPr>
          <w:rFonts w:ascii="仿宋" w:hAnsi="仿宋" w:eastAsia="仿宋"/>
          <w:sz w:val="32"/>
          <w:szCs w:val="32"/>
        </w:rPr>
        <w:t>人，同时成为广元市首例聘任到二级专业技术岗位的教育系统专业技术人员，极大激发了全县教育系统工作人员奉献教育事</w:t>
      </w:r>
      <w:r>
        <w:rPr>
          <w:rFonts w:ascii="仿宋" w:hAnsi="仿宋" w:eastAsia="仿宋"/>
          <w:w w:val="95"/>
          <w:sz w:val="32"/>
          <w:szCs w:val="32"/>
        </w:rPr>
        <w:t>业的热情。</w:t>
      </w:r>
      <w:r>
        <w:rPr>
          <w:rFonts w:ascii="仿宋" w:hAnsi="仿宋" w:eastAsia="仿宋"/>
          <w:b/>
          <w:w w:val="95"/>
          <w:sz w:val="32"/>
          <w:szCs w:val="32"/>
        </w:rPr>
        <w:t>3.不断强化“三支一扶”管理。</w:t>
      </w:r>
      <w:r>
        <w:rPr>
          <w:rFonts w:ascii="仿宋" w:hAnsi="仿宋" w:eastAsia="仿宋"/>
          <w:w w:val="95"/>
          <w:sz w:val="32"/>
          <w:szCs w:val="32"/>
        </w:rPr>
        <w:t>坚持严把招募入口，</w:t>
      </w:r>
      <w:r>
        <w:rPr>
          <w:rFonts w:ascii="仿宋" w:hAnsi="仿宋" w:eastAsia="仿宋"/>
          <w:sz w:val="32"/>
          <w:szCs w:val="32"/>
        </w:rPr>
        <w:t>细化过程管理，完善服务保障，畅通流通渠道，努力将“三支一扶”队伍打造成为一支心向基层、服务基层、扎根基层的青</w:t>
      </w:r>
      <w:r>
        <w:rPr>
          <w:rFonts w:ascii="仿宋" w:hAnsi="仿宋" w:eastAsia="仿宋"/>
          <w:w w:val="95"/>
          <w:sz w:val="32"/>
          <w:szCs w:val="32"/>
        </w:rPr>
        <w:t>年人才后备力量，2021</w:t>
      </w:r>
      <w:r>
        <w:rPr>
          <w:rFonts w:ascii="仿宋" w:hAnsi="仿宋" w:eastAsia="仿宋"/>
          <w:spacing w:val="-9"/>
          <w:w w:val="95"/>
          <w:sz w:val="32"/>
          <w:szCs w:val="32"/>
        </w:rPr>
        <w:t xml:space="preserve"> 年新招募“三支一扶”计划志愿者 </w:t>
      </w:r>
      <w:r>
        <w:rPr>
          <w:rFonts w:ascii="仿宋" w:hAnsi="仿宋" w:eastAsia="仿宋"/>
          <w:w w:val="95"/>
          <w:sz w:val="32"/>
          <w:szCs w:val="32"/>
        </w:rPr>
        <w:t>48</w:t>
      </w:r>
      <w:r>
        <w:rPr>
          <w:rFonts w:ascii="仿宋" w:hAnsi="仿宋" w:eastAsia="仿宋"/>
          <w:spacing w:val="10"/>
          <w:w w:val="95"/>
          <w:sz w:val="32"/>
          <w:szCs w:val="32"/>
        </w:rPr>
        <w:t xml:space="preserve"> 人，</w:t>
      </w:r>
      <w:r>
        <w:rPr>
          <w:rFonts w:ascii="仿宋" w:hAnsi="仿宋" w:eastAsia="仿宋"/>
          <w:spacing w:val="23"/>
          <w:w w:val="95"/>
          <w:sz w:val="32"/>
          <w:szCs w:val="32"/>
        </w:rPr>
        <w:t xml:space="preserve">及时兑现 </w:t>
      </w:r>
      <w:r>
        <w:rPr>
          <w:rFonts w:ascii="仿宋" w:hAnsi="仿宋" w:eastAsia="仿宋"/>
          <w:w w:val="95"/>
          <w:sz w:val="32"/>
          <w:szCs w:val="32"/>
        </w:rPr>
        <w:t>79</w:t>
      </w:r>
      <w:r>
        <w:rPr>
          <w:rFonts w:ascii="仿宋" w:hAnsi="仿宋" w:eastAsia="仿宋"/>
          <w:spacing w:val="-5"/>
          <w:w w:val="95"/>
          <w:sz w:val="32"/>
          <w:szCs w:val="32"/>
        </w:rPr>
        <w:t xml:space="preserve"> 名志愿者的工作生活补贴、目标绩效奖和安家费等，</w:t>
      </w:r>
      <w:r>
        <w:rPr>
          <w:rFonts w:ascii="仿宋" w:hAnsi="仿宋" w:eastAsia="仿宋"/>
          <w:spacing w:val="-2"/>
          <w:w w:val="95"/>
          <w:sz w:val="32"/>
          <w:szCs w:val="32"/>
        </w:rPr>
        <w:t xml:space="preserve">完成了 </w:t>
      </w:r>
      <w:r>
        <w:rPr>
          <w:rFonts w:ascii="仿宋" w:hAnsi="仿宋" w:eastAsia="仿宋"/>
          <w:w w:val="95"/>
          <w:sz w:val="32"/>
          <w:szCs w:val="32"/>
        </w:rPr>
        <w:t>2019</w:t>
      </w:r>
      <w:r>
        <w:rPr>
          <w:rFonts w:ascii="仿宋" w:hAnsi="仿宋" w:eastAsia="仿宋"/>
          <w:spacing w:val="-4"/>
          <w:w w:val="95"/>
          <w:sz w:val="32"/>
          <w:szCs w:val="32"/>
        </w:rPr>
        <w:t xml:space="preserve"> 年、</w:t>
      </w:r>
      <w:r>
        <w:rPr>
          <w:rFonts w:ascii="仿宋" w:hAnsi="仿宋" w:eastAsia="仿宋"/>
          <w:w w:val="95"/>
          <w:sz w:val="32"/>
          <w:szCs w:val="32"/>
        </w:rPr>
        <w:t>2020</w:t>
      </w:r>
      <w:r>
        <w:rPr>
          <w:rFonts w:ascii="仿宋" w:hAnsi="仿宋" w:eastAsia="仿宋"/>
          <w:spacing w:val="-3"/>
          <w:w w:val="95"/>
          <w:sz w:val="32"/>
          <w:szCs w:val="32"/>
        </w:rPr>
        <w:t xml:space="preserve"> 年招募的“三支一扶”计划志愿者年度考</w:t>
      </w:r>
      <w:r>
        <w:rPr>
          <w:rFonts w:ascii="仿宋" w:hAnsi="仿宋" w:eastAsia="仿宋"/>
          <w:sz w:val="32"/>
          <w:szCs w:val="32"/>
        </w:rPr>
        <w:t>核工作。</w:t>
      </w:r>
      <w:r>
        <w:rPr>
          <w:rFonts w:ascii="仿宋" w:hAnsi="仿宋" w:eastAsia="仿宋"/>
          <w:b/>
          <w:sz w:val="32"/>
          <w:szCs w:val="32"/>
        </w:rPr>
        <w:t>4.不断优化档案规范管理。</w:t>
      </w:r>
      <w:r>
        <w:rPr>
          <w:rFonts w:ascii="仿宋" w:hAnsi="仿宋" w:eastAsia="仿宋"/>
          <w:sz w:val="32"/>
          <w:szCs w:val="32"/>
        </w:rPr>
        <w:t>制</w:t>
      </w:r>
      <w:r>
        <w:rPr>
          <w:rFonts w:ascii="仿宋" w:hAnsi="仿宋" w:eastAsia="仿宋"/>
          <w:spacing w:val="-12"/>
          <w:w w:val="95"/>
          <w:sz w:val="32"/>
          <w:szCs w:val="32"/>
        </w:rPr>
        <w:t>作了公共服务事项二维码、办事指南目录，查阅人事档案 6220 人次，到档查询 1546人次，办理全县查档、退休提档、社保基金专项审计 1318 人次；接收高校毕业生档案 3233 份，转寄各届毕业生人事档案 579 份， 完成了 7755 余册事业单位干部人事档案的数字化扫描2017-2019年度机关文书档案整理归档入库</w:t>
      </w:r>
      <w:r>
        <w:rPr>
          <w:rFonts w:ascii="仿宋" w:hAnsi="仿宋" w:eastAsia="仿宋"/>
          <w:spacing w:val="-7"/>
          <w:w w:val="95"/>
          <w:sz w:val="32"/>
          <w:szCs w:val="32"/>
        </w:rPr>
        <w:t>。</w:t>
      </w:r>
      <w:r>
        <w:rPr>
          <w:rFonts w:ascii="仿宋" w:hAnsi="仿宋" w:eastAsia="仿宋"/>
          <w:b/>
          <w:w w:val="95"/>
          <w:sz w:val="32"/>
          <w:szCs w:val="32"/>
        </w:rPr>
        <w:t>5.不断加大高技能</w:t>
      </w:r>
      <w:r>
        <w:rPr>
          <w:rFonts w:ascii="仿宋" w:hAnsi="仿宋" w:eastAsia="仿宋"/>
          <w:b/>
          <w:sz w:val="32"/>
          <w:szCs w:val="32"/>
        </w:rPr>
        <w:t>人才培养。</w:t>
      </w:r>
      <w:r>
        <w:rPr>
          <w:rFonts w:ascii="仿宋" w:hAnsi="仿宋" w:eastAsia="仿宋"/>
          <w:sz w:val="32"/>
          <w:szCs w:val="32"/>
        </w:rPr>
        <w:t>深入开展高技能人才等级考核工作，机关事业单位</w:t>
      </w:r>
      <w:r>
        <w:rPr>
          <w:rFonts w:ascii="仿宋" w:hAnsi="仿宋" w:eastAsia="仿宋"/>
          <w:w w:val="95"/>
          <w:sz w:val="32"/>
          <w:szCs w:val="32"/>
        </w:rPr>
        <w:t>工</w:t>
      </w:r>
      <w:r>
        <w:rPr>
          <w:rFonts w:ascii="仿宋" w:hAnsi="仿宋" w:eastAsia="仿宋"/>
          <w:spacing w:val="3"/>
          <w:w w:val="95"/>
          <w:sz w:val="32"/>
          <w:szCs w:val="32"/>
        </w:rPr>
        <w:t>人等级考核</w:t>
      </w:r>
      <w:r>
        <w:rPr>
          <w:rFonts w:ascii="仿宋" w:hAnsi="仿宋" w:eastAsia="仿宋"/>
          <w:spacing w:val="-12"/>
          <w:w w:val="95"/>
          <w:sz w:val="32"/>
          <w:szCs w:val="32"/>
        </w:rPr>
        <w:t>技师 31 人、高级工 24 人。积极组织职业中学学生参加第五届全国茶业职业技能竞赛——茶叶加工（绿茶）竞 赛，四川参赛代表 5 人，仅旺苍县获奖，其中赵小龙获银奖、王祥森获铜奖。6</w:t>
      </w:r>
      <w:r>
        <w:rPr>
          <w:rFonts w:ascii="仿宋" w:hAnsi="仿宋" w:eastAsia="仿宋"/>
          <w:b/>
          <w:w w:val="95"/>
          <w:sz w:val="32"/>
          <w:szCs w:val="32"/>
        </w:rPr>
        <w:t>.不断完善工资福利。</w:t>
      </w:r>
      <w:r>
        <w:rPr>
          <w:rFonts w:ascii="仿宋" w:hAnsi="仿宋" w:eastAsia="仿宋"/>
          <w:spacing w:val="-12"/>
          <w:w w:val="95"/>
          <w:sz w:val="32"/>
          <w:szCs w:val="32"/>
        </w:rPr>
        <w:t>春节前，代表县委、县政府</w:t>
      </w:r>
      <w:r>
        <w:rPr>
          <w:rFonts w:hint="eastAsia" w:ascii="仿宋" w:hAnsi="仿宋" w:eastAsia="仿宋"/>
          <w:spacing w:val="-12"/>
          <w:w w:val="95"/>
          <w:sz w:val="32"/>
          <w:szCs w:val="32"/>
        </w:rPr>
        <w:t>对</w:t>
      </w:r>
      <w:r>
        <w:rPr>
          <w:rFonts w:ascii="仿宋" w:hAnsi="仿宋" w:eastAsia="仿宋"/>
          <w:spacing w:val="-12"/>
          <w:w w:val="95"/>
          <w:sz w:val="32"/>
          <w:szCs w:val="32"/>
        </w:rPr>
        <w:t>7 位家住城区的曾担任实职正、副科级退休领导干部发放 2021 年春节慰问品；审批 130 名事业单位退休人员资格；审批全县事业单位 26 名新增遗属困难补助；转移介绍 625 名新进、调动、划转人员工资；调整 2520 名岗位变动、技术等级晋升人员工资；完成 248 人次工龄变动审核、审批、发文及工资调整， 配合县统计局高质量完成全县 GDP 核算劳动工资总额统计等多项重点工作。</w:t>
      </w:r>
    </w:p>
    <w:p>
      <w:pPr>
        <w:pStyle w:val="6"/>
        <w:spacing w:before="93" w:line="576" w:lineRule="exact"/>
        <w:ind w:left="106" w:right="270" w:firstLine="652"/>
        <w:rPr>
          <w:rFonts w:ascii="仿宋" w:hAnsi="仿宋" w:eastAsia="仿宋"/>
          <w:sz w:val="32"/>
          <w:szCs w:val="32"/>
        </w:rPr>
      </w:pPr>
      <w:r>
        <w:rPr>
          <w:rFonts w:hint="eastAsia" w:ascii="仿宋" w:hAnsi="仿宋" w:eastAsia="仿宋"/>
          <w:b/>
          <w:sz w:val="32"/>
          <w:szCs w:val="32"/>
        </w:rPr>
        <w:t>（四）有序开展农民工服务保障。</w:t>
      </w:r>
      <w:r>
        <w:rPr>
          <w:rFonts w:ascii="仿宋" w:hAnsi="仿宋" w:eastAsia="仿宋"/>
          <w:b/>
          <w:sz w:val="32"/>
          <w:szCs w:val="32"/>
        </w:rPr>
        <w:t>1.强化服务站点建设。</w:t>
      </w:r>
      <w:r>
        <w:rPr>
          <w:rFonts w:ascii="仿宋" w:hAnsi="仿宋" w:eastAsia="仿宋"/>
          <w:w w:val="95"/>
          <w:sz w:val="32"/>
          <w:szCs w:val="32"/>
        </w:rPr>
        <w:t>在输出人数较多的广东、山西、浙江等地，建立农民工服务站，</w:t>
      </w:r>
      <w:r>
        <w:rPr>
          <w:rFonts w:ascii="仿宋" w:hAnsi="仿宋" w:eastAsia="仿宋"/>
          <w:sz w:val="32"/>
          <w:szCs w:val="32"/>
        </w:rPr>
        <w:t>增强人员信息采集、劳动力转移推介、就业技能培训、法律援助等多项服务，确保农民工转得出、收益稳、权益好。在流动党员较集中地区，建成了广州、成都农民工流动党支部。</w:t>
      </w:r>
      <w:r>
        <w:rPr>
          <w:rFonts w:ascii="仿宋" w:hAnsi="仿宋" w:eastAsia="仿宋"/>
          <w:b/>
          <w:sz w:val="32"/>
          <w:szCs w:val="32"/>
        </w:rPr>
        <w:t>2.着力助企纾难解困。</w:t>
      </w:r>
      <w:r>
        <w:rPr>
          <w:rFonts w:ascii="仿宋" w:hAnsi="仿宋" w:eastAsia="仿宋"/>
          <w:sz w:val="32"/>
          <w:szCs w:val="32"/>
        </w:rPr>
        <w:t>积极收集、汇总县内企业在生产、加工、销售等发展过程中遇到的实际困难和问题，充分利用全市返乡下乡创业企业困难问题会商和全县政企困难企业会商会，先后解决了旺苍县晟隆养殖家庭农场用电、旺苍县三合茶业有限公司茶叶品牌推广和销售渠道拓展、旺苍县天宝食品有限公司受疫</w:t>
      </w:r>
      <w:r>
        <w:rPr>
          <w:rFonts w:ascii="仿宋" w:hAnsi="仿宋" w:eastAsia="仿宋"/>
          <w:spacing w:val="-1"/>
          <w:w w:val="95"/>
          <w:sz w:val="32"/>
          <w:szCs w:val="32"/>
        </w:rPr>
        <w:t xml:space="preserve">情影响原材料购买和产品销售推广资金短缺等 </w:t>
      </w:r>
      <w:r>
        <w:rPr>
          <w:rFonts w:ascii="仿宋" w:hAnsi="仿宋" w:eastAsia="仿宋"/>
          <w:w w:val="95"/>
          <w:sz w:val="32"/>
          <w:szCs w:val="32"/>
        </w:rPr>
        <w:t>9</w:t>
      </w:r>
      <w:r>
        <w:rPr>
          <w:rFonts w:ascii="仿宋" w:hAnsi="仿宋" w:eastAsia="仿宋"/>
          <w:spacing w:val="-5"/>
          <w:w w:val="95"/>
          <w:sz w:val="32"/>
          <w:szCs w:val="32"/>
        </w:rPr>
        <w:t xml:space="preserve"> 家企业 </w:t>
      </w:r>
      <w:r>
        <w:rPr>
          <w:rFonts w:ascii="仿宋" w:hAnsi="仿宋" w:eastAsia="仿宋"/>
          <w:w w:val="95"/>
          <w:sz w:val="32"/>
          <w:szCs w:val="32"/>
        </w:rPr>
        <w:t>11</w:t>
      </w:r>
      <w:r>
        <w:rPr>
          <w:rFonts w:ascii="仿宋" w:hAnsi="仿宋" w:eastAsia="仿宋"/>
          <w:spacing w:val="-2"/>
          <w:w w:val="95"/>
          <w:sz w:val="32"/>
          <w:szCs w:val="32"/>
        </w:rPr>
        <w:t xml:space="preserve"> 个实</w:t>
      </w:r>
      <w:r>
        <w:rPr>
          <w:rFonts w:ascii="仿宋" w:hAnsi="仿宋" w:eastAsia="仿宋"/>
          <w:sz w:val="32"/>
          <w:szCs w:val="32"/>
        </w:rPr>
        <w:t>际困难。</w:t>
      </w:r>
      <w:r>
        <w:rPr>
          <w:rFonts w:ascii="仿宋" w:hAnsi="仿宋" w:eastAsia="仿宋"/>
          <w:b/>
          <w:sz w:val="32"/>
          <w:szCs w:val="32"/>
        </w:rPr>
        <w:t>3.突出返乡创业产业带动。</w:t>
      </w:r>
      <w:r>
        <w:rPr>
          <w:rFonts w:ascii="仿宋" w:hAnsi="仿宋" w:eastAsia="仿宋"/>
          <w:sz w:val="32"/>
          <w:szCs w:val="32"/>
        </w:rPr>
        <w:t>紧紧围绕全县返乡下乡创</w:t>
      </w:r>
      <w:r>
        <w:rPr>
          <w:rFonts w:ascii="仿宋" w:hAnsi="仿宋" w:eastAsia="仿宋"/>
          <w:w w:val="95"/>
          <w:sz w:val="32"/>
          <w:szCs w:val="32"/>
        </w:rPr>
        <w:t xml:space="preserve">业园区总体发展目标，会同县农业农村局和旺苍经开区等部门， </w:t>
      </w:r>
      <w:r>
        <w:rPr>
          <w:rFonts w:ascii="仿宋" w:hAnsi="仿宋" w:eastAsia="仿宋"/>
          <w:sz w:val="32"/>
          <w:szCs w:val="32"/>
        </w:rPr>
        <w:t xml:space="preserve">以工业产业园、特色农业现代园为载体，大力引导返乡创业， </w:t>
      </w:r>
      <w:r>
        <w:rPr>
          <w:rFonts w:ascii="仿宋" w:hAnsi="仿宋" w:eastAsia="仿宋"/>
          <w:w w:val="95"/>
          <w:sz w:val="32"/>
          <w:szCs w:val="32"/>
        </w:rPr>
        <w:t xml:space="preserve">坚持“村集体经济组织+新型经营主体+农户”的利益联结模式， </w:t>
      </w:r>
      <w:r>
        <w:rPr>
          <w:rFonts w:ascii="仿宋" w:hAnsi="仿宋" w:eastAsia="仿宋"/>
          <w:sz w:val="32"/>
          <w:szCs w:val="32"/>
        </w:rPr>
        <w:t xml:space="preserve">采取产业承包、入股合作、经营土地三种方式，利用区位优势 </w:t>
      </w:r>
      <w:r>
        <w:rPr>
          <w:rFonts w:ascii="仿宋" w:hAnsi="仿宋" w:eastAsia="仿宋"/>
          <w:w w:val="95"/>
          <w:sz w:val="32"/>
          <w:szCs w:val="32"/>
        </w:rPr>
        <w:t>发展</w:t>
      </w:r>
      <w:r>
        <w:rPr>
          <w:rFonts w:ascii="仿宋" w:hAnsi="仿宋" w:eastAsia="仿宋"/>
          <w:spacing w:val="5"/>
          <w:w w:val="95"/>
          <w:sz w:val="32"/>
          <w:szCs w:val="32"/>
        </w:rPr>
        <w:t xml:space="preserve">特色产业，建立县级农民工返乡下乡创业示范园区 </w:t>
      </w:r>
      <w:r>
        <w:rPr>
          <w:rFonts w:ascii="仿宋" w:hAnsi="仿宋" w:eastAsia="仿宋"/>
          <w:w w:val="95"/>
          <w:sz w:val="32"/>
          <w:szCs w:val="32"/>
        </w:rPr>
        <w:t>7</w:t>
      </w:r>
      <w:r>
        <w:rPr>
          <w:rFonts w:ascii="仿宋" w:hAnsi="仿宋" w:eastAsia="仿宋"/>
          <w:spacing w:val="33"/>
          <w:w w:val="95"/>
          <w:sz w:val="32"/>
          <w:szCs w:val="32"/>
        </w:rPr>
        <w:t xml:space="preserve"> 个，</w:t>
      </w:r>
      <w:r>
        <w:rPr>
          <w:rFonts w:ascii="仿宋" w:hAnsi="仿宋" w:eastAsia="仿宋"/>
          <w:sz w:val="32"/>
          <w:szCs w:val="32"/>
        </w:rPr>
        <w:t xml:space="preserve">产业孵化带动作用逐步得以彰显。全县已建成市级农民工返乡 </w:t>
      </w:r>
      <w:r>
        <w:rPr>
          <w:rFonts w:ascii="仿宋" w:hAnsi="仿宋" w:eastAsia="仿宋"/>
          <w:w w:val="95"/>
          <w:sz w:val="32"/>
          <w:szCs w:val="32"/>
        </w:rPr>
        <w:t>下乡</w:t>
      </w:r>
      <w:r>
        <w:rPr>
          <w:rFonts w:ascii="仿宋" w:hAnsi="仿宋" w:eastAsia="仿宋"/>
          <w:spacing w:val="4"/>
          <w:w w:val="95"/>
          <w:sz w:val="32"/>
          <w:szCs w:val="32"/>
        </w:rPr>
        <w:t xml:space="preserve">创业示范园 </w:t>
      </w:r>
      <w:r>
        <w:rPr>
          <w:rFonts w:ascii="仿宋" w:hAnsi="仿宋" w:eastAsia="仿宋"/>
          <w:w w:val="95"/>
          <w:sz w:val="32"/>
          <w:szCs w:val="32"/>
        </w:rPr>
        <w:t>5</w:t>
      </w:r>
      <w:r>
        <w:rPr>
          <w:rFonts w:ascii="仿宋" w:hAnsi="仿宋" w:eastAsia="仿宋"/>
          <w:spacing w:val="1"/>
          <w:w w:val="95"/>
          <w:sz w:val="32"/>
          <w:szCs w:val="32"/>
        </w:rPr>
        <w:t xml:space="preserve"> 个，其中以茶叶为主导产业的园区 </w:t>
      </w:r>
      <w:r>
        <w:rPr>
          <w:rFonts w:ascii="仿宋" w:hAnsi="仿宋" w:eastAsia="仿宋"/>
          <w:w w:val="95"/>
          <w:sz w:val="32"/>
          <w:szCs w:val="32"/>
        </w:rPr>
        <w:t>3</w:t>
      </w:r>
      <w:r>
        <w:rPr>
          <w:rFonts w:ascii="仿宋" w:hAnsi="仿宋" w:eastAsia="仿宋"/>
          <w:spacing w:val="4"/>
          <w:w w:val="95"/>
          <w:sz w:val="32"/>
          <w:szCs w:val="32"/>
        </w:rPr>
        <w:t xml:space="preserve"> 个，以</w:t>
      </w:r>
      <w:r>
        <w:rPr>
          <w:rFonts w:ascii="仿宋" w:hAnsi="仿宋" w:eastAsia="仿宋"/>
          <w:spacing w:val="12"/>
          <w:w w:val="95"/>
          <w:sz w:val="32"/>
          <w:szCs w:val="32"/>
        </w:rPr>
        <w:t xml:space="preserve">桃为主导产业的园区 </w:t>
      </w:r>
      <w:r>
        <w:rPr>
          <w:rFonts w:ascii="仿宋" w:hAnsi="仿宋" w:eastAsia="仿宋"/>
          <w:w w:val="95"/>
          <w:sz w:val="32"/>
          <w:szCs w:val="32"/>
        </w:rPr>
        <w:t>1</w:t>
      </w:r>
      <w:r>
        <w:rPr>
          <w:rFonts w:ascii="仿宋" w:hAnsi="仿宋" w:eastAsia="仿宋"/>
          <w:spacing w:val="11"/>
          <w:w w:val="95"/>
          <w:sz w:val="32"/>
          <w:szCs w:val="32"/>
        </w:rPr>
        <w:t xml:space="preserve"> 个，以特色水果为主导产业的园区 </w:t>
      </w:r>
      <w:r>
        <w:rPr>
          <w:rFonts w:ascii="仿宋" w:hAnsi="仿宋" w:eastAsia="仿宋"/>
          <w:w w:val="95"/>
          <w:sz w:val="32"/>
          <w:szCs w:val="32"/>
        </w:rPr>
        <w:t>1</w:t>
      </w:r>
      <w:r>
        <w:rPr>
          <w:rFonts w:ascii="仿宋" w:hAnsi="仿宋" w:eastAsia="仿宋"/>
          <w:spacing w:val="-10"/>
          <w:w w:val="95"/>
          <w:sz w:val="32"/>
          <w:szCs w:val="32"/>
        </w:rPr>
        <w:t xml:space="preserve">个。园区总面积 </w:t>
      </w:r>
      <w:r>
        <w:rPr>
          <w:rFonts w:ascii="仿宋" w:hAnsi="仿宋" w:eastAsia="仿宋"/>
          <w:w w:val="95"/>
          <w:sz w:val="32"/>
          <w:szCs w:val="32"/>
        </w:rPr>
        <w:t>10</w:t>
      </w:r>
      <w:r>
        <w:rPr>
          <w:rFonts w:ascii="仿宋" w:hAnsi="仿宋" w:eastAsia="仿宋"/>
          <w:spacing w:val="-10"/>
          <w:w w:val="95"/>
          <w:sz w:val="32"/>
          <w:szCs w:val="32"/>
        </w:rPr>
        <w:t xml:space="preserve"> 万亩，总投资 </w:t>
      </w:r>
      <w:r>
        <w:rPr>
          <w:rFonts w:ascii="仿宋" w:hAnsi="仿宋" w:eastAsia="仿宋"/>
          <w:w w:val="95"/>
          <w:sz w:val="32"/>
          <w:szCs w:val="32"/>
        </w:rPr>
        <w:t>19.54</w:t>
      </w:r>
      <w:r>
        <w:rPr>
          <w:rFonts w:ascii="仿宋" w:hAnsi="仿宋" w:eastAsia="仿宋"/>
          <w:spacing w:val="-7"/>
          <w:w w:val="95"/>
          <w:sz w:val="32"/>
          <w:szCs w:val="32"/>
        </w:rPr>
        <w:t xml:space="preserve"> 亿元，其中财政投资 </w:t>
      </w:r>
      <w:r>
        <w:rPr>
          <w:rFonts w:ascii="仿宋" w:hAnsi="仿宋" w:eastAsia="仿宋"/>
          <w:w w:val="95"/>
          <w:sz w:val="32"/>
          <w:szCs w:val="32"/>
        </w:rPr>
        <w:t>6.8</w:t>
      </w:r>
      <w:r>
        <w:rPr>
          <w:rFonts w:ascii="仿宋" w:hAnsi="仿宋" w:eastAsia="仿宋"/>
          <w:spacing w:val="-16"/>
          <w:w w:val="95"/>
          <w:sz w:val="32"/>
          <w:szCs w:val="32"/>
        </w:rPr>
        <w:t xml:space="preserve">亿元，年总产值近 </w:t>
      </w:r>
      <w:r>
        <w:rPr>
          <w:rFonts w:ascii="仿宋" w:hAnsi="仿宋" w:eastAsia="仿宋"/>
          <w:w w:val="95"/>
          <w:sz w:val="32"/>
          <w:szCs w:val="32"/>
        </w:rPr>
        <w:t>20</w:t>
      </w:r>
      <w:r>
        <w:rPr>
          <w:rFonts w:ascii="仿宋" w:hAnsi="仿宋" w:eastAsia="仿宋"/>
          <w:spacing w:val="-13"/>
          <w:w w:val="95"/>
          <w:sz w:val="32"/>
          <w:szCs w:val="32"/>
        </w:rPr>
        <w:t xml:space="preserve"> 亿元，入住园区企业 </w:t>
      </w:r>
      <w:r>
        <w:rPr>
          <w:rFonts w:ascii="仿宋" w:hAnsi="仿宋" w:eastAsia="仿宋"/>
          <w:w w:val="95"/>
          <w:sz w:val="32"/>
          <w:szCs w:val="32"/>
        </w:rPr>
        <w:t>215</w:t>
      </w:r>
      <w:r>
        <w:rPr>
          <w:rFonts w:ascii="仿宋" w:hAnsi="仿宋" w:eastAsia="仿宋"/>
          <w:spacing w:val="-16"/>
          <w:w w:val="95"/>
          <w:sz w:val="32"/>
          <w:szCs w:val="32"/>
        </w:rPr>
        <w:t xml:space="preserve"> 家，带动就业 </w:t>
      </w:r>
      <w:r>
        <w:rPr>
          <w:rFonts w:ascii="仿宋" w:hAnsi="仿宋" w:eastAsia="仿宋"/>
          <w:w w:val="95"/>
          <w:sz w:val="32"/>
          <w:szCs w:val="32"/>
        </w:rPr>
        <w:t>8000</w:t>
      </w:r>
      <w:r>
        <w:rPr>
          <w:rFonts w:ascii="仿宋" w:hAnsi="仿宋" w:eastAsia="仿宋"/>
          <w:spacing w:val="3"/>
          <w:w w:val="95"/>
          <w:sz w:val="32"/>
          <w:szCs w:val="32"/>
        </w:rPr>
        <w:t xml:space="preserve">余人园区农民年人均纯收入达 </w:t>
      </w:r>
      <w:r>
        <w:rPr>
          <w:rFonts w:ascii="仿宋" w:hAnsi="仿宋" w:eastAsia="仿宋"/>
          <w:w w:val="95"/>
          <w:sz w:val="32"/>
          <w:szCs w:val="32"/>
        </w:rPr>
        <w:t>1.6万元。</w:t>
      </w:r>
      <w:r>
        <w:rPr>
          <w:rFonts w:ascii="仿宋" w:hAnsi="仿宋" w:eastAsia="仿宋"/>
          <w:b/>
          <w:w w:val="95"/>
          <w:sz w:val="32"/>
          <w:szCs w:val="32"/>
        </w:rPr>
        <w:t>4.深入推进农民工服务保障工作。</w:t>
      </w:r>
      <w:r>
        <w:rPr>
          <w:rFonts w:ascii="仿宋" w:hAnsi="仿宋" w:eastAsia="仿宋"/>
          <w:w w:val="95"/>
          <w:sz w:val="32"/>
          <w:szCs w:val="32"/>
        </w:rPr>
        <w:t>认真贯彻落实党中央、国务院和省委、省政府关于农民工工作系列决策部署，切实做好我县农民工疫情防控、转移就业、回引创业、技能培训、维权救助等服务保障工作，切实履行牵头单位职责，有序推进专列专车、关爱慰问、证照办理、维权服务和就业招聘等工作。积极组织发动全县农民工参加四川省第四届暨川渝首届农民工原创文艺作品大赛。经筛</w:t>
      </w:r>
      <w:r>
        <w:rPr>
          <w:rFonts w:ascii="仿宋" w:hAnsi="仿宋" w:eastAsia="仿宋"/>
          <w:spacing w:val="8"/>
          <w:w w:val="95"/>
          <w:sz w:val="32"/>
          <w:szCs w:val="32"/>
        </w:rPr>
        <w:t xml:space="preserve">选推荐，全县征集上报参赛作品 </w:t>
      </w:r>
      <w:r>
        <w:rPr>
          <w:rFonts w:ascii="仿宋" w:hAnsi="仿宋" w:eastAsia="仿宋"/>
          <w:w w:val="95"/>
          <w:sz w:val="32"/>
          <w:szCs w:val="32"/>
        </w:rPr>
        <w:t>51</w:t>
      </w:r>
      <w:r>
        <w:rPr>
          <w:rFonts w:ascii="仿宋" w:hAnsi="仿宋" w:eastAsia="仿宋"/>
          <w:spacing w:val="7"/>
          <w:w w:val="95"/>
          <w:sz w:val="32"/>
          <w:szCs w:val="32"/>
        </w:rPr>
        <w:t xml:space="preserve"> 件，其中歌曲参赛作品获全</w:t>
      </w:r>
      <w:r>
        <w:rPr>
          <w:rFonts w:ascii="仿宋" w:hAnsi="仿宋" w:eastAsia="仿宋"/>
          <w:w w:val="95"/>
          <w:sz w:val="32"/>
          <w:szCs w:val="32"/>
        </w:rPr>
        <w:t>省三等奖。扎实做好第三届川籍农民工运动会（云健身）宣传发动、组织参赛工作，我县农民工积极参与到象棋、健步走、</w:t>
      </w:r>
      <w:r>
        <w:rPr>
          <w:rFonts w:ascii="仿宋" w:hAnsi="仿宋" w:eastAsia="仿宋"/>
          <w:spacing w:val="4"/>
          <w:w w:val="95"/>
          <w:sz w:val="32"/>
          <w:szCs w:val="32"/>
        </w:rPr>
        <w:t xml:space="preserve">羽毛球、跳绳、广场舞等多个比赛项目，涉及参赛人员 </w:t>
      </w:r>
      <w:r>
        <w:rPr>
          <w:rFonts w:ascii="仿宋" w:hAnsi="仿宋" w:eastAsia="仿宋"/>
          <w:w w:val="95"/>
          <w:sz w:val="32"/>
          <w:szCs w:val="32"/>
        </w:rPr>
        <w:t>2300</w:t>
      </w:r>
      <w:r>
        <w:rPr>
          <w:rFonts w:ascii="仿宋" w:hAnsi="仿宋" w:eastAsia="仿宋"/>
          <w:spacing w:val="59"/>
          <w:w w:val="95"/>
          <w:sz w:val="32"/>
          <w:szCs w:val="32"/>
        </w:rPr>
        <w:t xml:space="preserve"> 余</w:t>
      </w:r>
      <w:r>
        <w:rPr>
          <w:rFonts w:ascii="仿宋" w:hAnsi="仿宋" w:eastAsia="仿宋"/>
          <w:w w:val="95"/>
          <w:sz w:val="32"/>
          <w:szCs w:val="32"/>
        </w:rPr>
        <w:t>人，县人社局荣获全省优秀组织奖，其中象棋个人比赛取得全</w:t>
      </w:r>
      <w:r>
        <w:rPr>
          <w:rFonts w:ascii="仿宋" w:hAnsi="仿宋" w:eastAsia="仿宋"/>
          <w:sz w:val="32"/>
          <w:szCs w:val="32"/>
        </w:rPr>
        <w:t>省第四名的好成绩，极大丰富了农民工精神文化生活。</w:t>
      </w:r>
    </w:p>
    <w:p>
      <w:pPr>
        <w:spacing w:line="576" w:lineRule="exact"/>
        <w:ind w:left="747"/>
        <w:rPr>
          <w:rFonts w:ascii="仿宋" w:hAnsi="仿宋" w:eastAsia="仿宋"/>
          <w:b/>
          <w:sz w:val="32"/>
          <w:szCs w:val="32"/>
        </w:rPr>
      </w:pPr>
      <w:r>
        <w:rPr>
          <w:rFonts w:hint="eastAsia" w:ascii="仿宋" w:hAnsi="仿宋" w:eastAsia="仿宋"/>
          <w:b/>
          <w:w w:val="95"/>
          <w:sz w:val="32"/>
          <w:szCs w:val="32"/>
        </w:rPr>
        <w:t>（五）积极构建和谐稳定劳动关系。</w:t>
      </w:r>
      <w:r>
        <w:rPr>
          <w:rFonts w:ascii="仿宋" w:hAnsi="仿宋" w:eastAsia="仿宋"/>
          <w:b/>
          <w:w w:val="95"/>
          <w:sz w:val="32"/>
          <w:szCs w:val="32"/>
        </w:rPr>
        <w:t>1.建立构建治欠保支</w:t>
      </w:r>
    </w:p>
    <w:p>
      <w:pPr>
        <w:pStyle w:val="6"/>
        <w:spacing w:before="93" w:line="576" w:lineRule="exact"/>
        <w:ind w:left="106" w:right="268"/>
        <w:rPr>
          <w:rFonts w:ascii="仿宋" w:hAnsi="仿宋" w:eastAsia="仿宋"/>
          <w:sz w:val="32"/>
          <w:szCs w:val="32"/>
        </w:rPr>
      </w:pPr>
      <w:r>
        <w:rPr>
          <w:rFonts w:ascii="仿宋" w:hAnsi="仿宋" w:eastAsia="仿宋"/>
          <w:b/>
          <w:w w:val="95"/>
          <w:sz w:val="32"/>
          <w:szCs w:val="32"/>
        </w:rPr>
        <w:t>责任体系。</w:t>
      </w:r>
      <w:r>
        <w:rPr>
          <w:rFonts w:ascii="仿宋" w:hAnsi="仿宋" w:eastAsia="仿宋"/>
          <w:w w:val="95"/>
          <w:sz w:val="32"/>
          <w:szCs w:val="32"/>
        </w:rPr>
        <w:t>及时调整了旺苍县根治拖欠农民工工资工作领导小组，年初召开了县根治拖欠农民工工资工作领导小组会议，安排部署全县根治拖欠农民工工资工作。县级领导牵头化解分管联系部门和乡镇拖欠工资问题，按照“谁分管、谁负责”和“属地管理”原则，将工程项目“做实工资专用账户、按月发放到人”等责任落实到建设行业主管部门和属地乡镇，确保农民工工资问题及时化解在基层。</w:t>
      </w:r>
      <w:r>
        <w:rPr>
          <w:rFonts w:ascii="仿宋" w:hAnsi="仿宋" w:eastAsia="仿宋"/>
          <w:b/>
          <w:w w:val="95"/>
          <w:sz w:val="32"/>
          <w:szCs w:val="32"/>
        </w:rPr>
        <w:t>2.全面治理企业拖欠工资问题。</w:t>
      </w:r>
      <w:r>
        <w:rPr>
          <w:rFonts w:ascii="仿宋" w:hAnsi="仿宋" w:eastAsia="仿宋"/>
          <w:w w:val="95"/>
          <w:sz w:val="32"/>
          <w:szCs w:val="32"/>
        </w:rPr>
        <w:t>严格落实农民工工资专用账户制度，在住建、交通、水利等建设</w:t>
      </w:r>
      <w:r>
        <w:rPr>
          <w:rFonts w:ascii="仿宋" w:hAnsi="仿宋" w:eastAsia="仿宋"/>
          <w:spacing w:val="8"/>
          <w:w w:val="95"/>
          <w:sz w:val="32"/>
          <w:szCs w:val="32"/>
        </w:rPr>
        <w:t xml:space="preserve">领域建立农民工工资专用账户 </w:t>
      </w:r>
      <w:r>
        <w:rPr>
          <w:rFonts w:ascii="仿宋" w:hAnsi="仿宋" w:eastAsia="仿宋"/>
          <w:w w:val="95"/>
          <w:sz w:val="32"/>
          <w:szCs w:val="32"/>
        </w:rPr>
        <w:t>15</w:t>
      </w:r>
      <w:r>
        <w:rPr>
          <w:rFonts w:ascii="仿宋" w:hAnsi="仿宋" w:eastAsia="仿宋"/>
          <w:spacing w:val="5"/>
          <w:w w:val="95"/>
          <w:sz w:val="32"/>
          <w:szCs w:val="32"/>
        </w:rPr>
        <w:t xml:space="preserve"> 户，督促按月足额打卡发放农</w:t>
      </w:r>
      <w:r>
        <w:rPr>
          <w:rFonts w:ascii="仿宋" w:hAnsi="仿宋" w:eastAsia="仿宋"/>
          <w:w w:val="95"/>
          <w:sz w:val="32"/>
          <w:szCs w:val="32"/>
        </w:rPr>
        <w:t>民工工资。严格执行农民工工资保证金制度，由县审计局牵头对近年来工资保证金缴退情况开展专项审计，缴存工资保证金</w:t>
      </w:r>
      <w:r>
        <w:rPr>
          <w:rFonts w:ascii="仿宋" w:hAnsi="仿宋" w:eastAsia="仿宋"/>
          <w:spacing w:val="20"/>
          <w:w w:val="95"/>
          <w:sz w:val="32"/>
          <w:szCs w:val="32"/>
        </w:rPr>
        <w:t>企业</w:t>
      </w:r>
      <w:r>
        <w:rPr>
          <w:rFonts w:ascii="仿宋" w:hAnsi="仿宋" w:eastAsia="仿宋"/>
          <w:w w:val="95"/>
          <w:sz w:val="32"/>
          <w:szCs w:val="32"/>
        </w:rPr>
        <w:t>25</w:t>
      </w:r>
      <w:r>
        <w:rPr>
          <w:rFonts w:ascii="仿宋" w:hAnsi="仿宋" w:eastAsia="仿宋"/>
          <w:spacing w:val="12"/>
          <w:w w:val="95"/>
          <w:sz w:val="32"/>
          <w:szCs w:val="32"/>
        </w:rPr>
        <w:t xml:space="preserve"> 家，退还保证金 </w:t>
      </w:r>
      <w:r>
        <w:rPr>
          <w:rFonts w:ascii="仿宋" w:hAnsi="仿宋" w:eastAsia="仿宋"/>
          <w:w w:val="95"/>
          <w:sz w:val="32"/>
          <w:szCs w:val="32"/>
        </w:rPr>
        <w:t>32 家。严格落实劳动用工实名制度，督促各类企业依法与农民工签订劳动合同，建立实名制管理台账。积极开展劳动保障监察宣传工作，2021年组织开展保障农</w:t>
      </w:r>
      <w:r>
        <w:rPr>
          <w:rFonts w:ascii="仿宋" w:hAnsi="仿宋" w:eastAsia="仿宋"/>
          <w:spacing w:val="6"/>
          <w:w w:val="95"/>
          <w:sz w:val="32"/>
          <w:szCs w:val="32"/>
        </w:rPr>
        <w:t xml:space="preserve">民工工资支付条例培训 </w:t>
      </w:r>
      <w:r>
        <w:rPr>
          <w:rFonts w:ascii="仿宋" w:hAnsi="仿宋" w:eastAsia="仿宋"/>
          <w:w w:val="95"/>
          <w:sz w:val="32"/>
          <w:szCs w:val="32"/>
        </w:rPr>
        <w:t>2</w:t>
      </w:r>
      <w:r>
        <w:rPr>
          <w:rFonts w:ascii="仿宋" w:hAnsi="仿宋" w:eastAsia="仿宋"/>
          <w:spacing w:val="9"/>
          <w:w w:val="95"/>
          <w:sz w:val="32"/>
          <w:szCs w:val="32"/>
        </w:rPr>
        <w:t xml:space="preserve"> 期，书面材料审查 </w:t>
      </w:r>
      <w:r>
        <w:rPr>
          <w:rFonts w:ascii="仿宋" w:hAnsi="仿宋" w:eastAsia="仿宋"/>
          <w:w w:val="95"/>
          <w:sz w:val="32"/>
          <w:szCs w:val="32"/>
        </w:rPr>
        <w:t>1</w:t>
      </w:r>
      <w:r>
        <w:rPr>
          <w:rFonts w:ascii="仿宋" w:hAnsi="仿宋" w:eastAsia="仿宋"/>
          <w:spacing w:val="6"/>
          <w:w w:val="95"/>
          <w:sz w:val="32"/>
          <w:szCs w:val="32"/>
        </w:rPr>
        <w:t xml:space="preserve"> 次，县政府网站</w:t>
      </w:r>
      <w:r>
        <w:rPr>
          <w:rFonts w:ascii="仿宋" w:hAnsi="仿宋" w:eastAsia="仿宋"/>
          <w:spacing w:val="3"/>
          <w:w w:val="95"/>
          <w:sz w:val="32"/>
          <w:szCs w:val="32"/>
        </w:rPr>
        <w:t xml:space="preserve">采纳劳动监察信息 </w:t>
      </w:r>
      <w:r>
        <w:rPr>
          <w:rFonts w:ascii="仿宋" w:hAnsi="仿宋" w:eastAsia="仿宋"/>
          <w:w w:val="95"/>
          <w:sz w:val="32"/>
          <w:szCs w:val="32"/>
        </w:rPr>
        <w:t>4 件。加强劳动保障监察执法能力建设，2</w:t>
      </w:r>
      <w:r>
        <w:rPr>
          <w:rFonts w:ascii="仿宋" w:hAnsi="仿宋" w:eastAsia="仿宋"/>
          <w:spacing w:val="15"/>
          <w:w w:val="95"/>
          <w:sz w:val="32"/>
          <w:szCs w:val="32"/>
        </w:rPr>
        <w:t xml:space="preserve"> 名</w:t>
      </w:r>
      <w:r>
        <w:rPr>
          <w:rFonts w:ascii="仿宋" w:hAnsi="仿宋" w:eastAsia="仿宋"/>
          <w:w w:val="95"/>
          <w:sz w:val="32"/>
          <w:szCs w:val="32"/>
        </w:rPr>
        <w:t>专职劳动监察人员全年主动学习劳动政策法规，并用于实际办案，增强服务意识，较大的提升了办案效率和群众满意度。</w:t>
      </w:r>
      <w:r>
        <w:rPr>
          <w:rFonts w:ascii="仿宋" w:hAnsi="仿宋" w:eastAsia="仿宋"/>
          <w:b/>
          <w:w w:val="95"/>
          <w:sz w:val="32"/>
          <w:szCs w:val="32"/>
        </w:rPr>
        <w:t>3.严厉查处企业拖欠工资行为。</w:t>
      </w:r>
      <w:r>
        <w:rPr>
          <w:rFonts w:ascii="仿宋" w:hAnsi="仿宋" w:eastAsia="仿宋"/>
          <w:w w:val="95"/>
          <w:sz w:val="32"/>
          <w:szCs w:val="32"/>
        </w:rPr>
        <w:t>加大日常巡查工作力度，重点检查用人单位合同签订、工资支付等情况，累计检查用人单位130</w:t>
      </w:r>
      <w:r>
        <w:rPr>
          <w:rFonts w:ascii="仿宋" w:hAnsi="仿宋" w:eastAsia="仿宋"/>
          <w:spacing w:val="7"/>
          <w:w w:val="99"/>
          <w:sz w:val="32"/>
          <w:szCs w:val="32"/>
        </w:rPr>
        <w:t>户（</w:t>
      </w:r>
      <w:r>
        <w:rPr>
          <w:rFonts w:ascii="仿宋" w:hAnsi="仿宋" w:eastAsia="仿宋"/>
          <w:spacing w:val="5"/>
          <w:w w:val="99"/>
          <w:sz w:val="32"/>
          <w:szCs w:val="32"/>
        </w:rPr>
        <w:t>次</w:t>
      </w:r>
      <w:r>
        <w:rPr>
          <w:rFonts w:ascii="仿宋" w:hAnsi="仿宋" w:eastAsia="仿宋"/>
          <w:spacing w:val="-154"/>
          <w:w w:val="99"/>
          <w:sz w:val="32"/>
          <w:szCs w:val="32"/>
        </w:rPr>
        <w:t>）</w:t>
      </w:r>
      <w:r>
        <w:rPr>
          <w:rFonts w:ascii="仿宋" w:hAnsi="仿宋" w:eastAsia="仿宋"/>
          <w:spacing w:val="4"/>
          <w:w w:val="99"/>
          <w:sz w:val="32"/>
          <w:szCs w:val="32"/>
        </w:rPr>
        <w:t>，查处立案拖欠工资案件</w:t>
      </w:r>
      <w:r>
        <w:rPr>
          <w:rFonts w:ascii="仿宋" w:hAnsi="仿宋" w:eastAsia="仿宋"/>
          <w:w w:val="99"/>
          <w:sz w:val="32"/>
          <w:szCs w:val="32"/>
        </w:rPr>
        <w:t>2</w:t>
      </w:r>
      <w:r>
        <w:rPr>
          <w:rFonts w:ascii="仿宋" w:hAnsi="仿宋" w:eastAsia="仿宋"/>
          <w:spacing w:val="4"/>
          <w:w w:val="99"/>
          <w:sz w:val="32"/>
          <w:szCs w:val="32"/>
        </w:rPr>
        <w:t>起。制定了</w:t>
      </w:r>
      <w:r>
        <w:rPr>
          <w:rFonts w:ascii="仿宋" w:hAnsi="仿宋" w:eastAsia="仿宋"/>
          <w:spacing w:val="1"/>
          <w:w w:val="99"/>
          <w:sz w:val="32"/>
          <w:szCs w:val="32"/>
        </w:rPr>
        <w:t>20</w:t>
      </w:r>
      <w:r>
        <w:rPr>
          <w:rFonts w:ascii="仿宋" w:hAnsi="仿宋" w:eastAsia="仿宋"/>
          <w:spacing w:val="-2"/>
          <w:w w:val="99"/>
          <w:sz w:val="32"/>
          <w:szCs w:val="32"/>
        </w:rPr>
        <w:t>2</w:t>
      </w:r>
      <w:r>
        <w:rPr>
          <w:rFonts w:ascii="仿宋" w:hAnsi="仿宋" w:eastAsia="仿宋"/>
          <w:w w:val="99"/>
          <w:sz w:val="32"/>
          <w:szCs w:val="32"/>
        </w:rPr>
        <w:t>1</w:t>
      </w:r>
      <w:r>
        <w:rPr>
          <w:rFonts w:ascii="仿宋" w:hAnsi="仿宋" w:eastAsia="仿宋"/>
          <w:spacing w:val="5"/>
          <w:w w:val="99"/>
          <w:sz w:val="32"/>
          <w:szCs w:val="32"/>
        </w:rPr>
        <w:t>年“双随</w:t>
      </w:r>
      <w:r>
        <w:rPr>
          <w:rFonts w:ascii="仿宋" w:hAnsi="仿宋" w:eastAsia="仿宋"/>
          <w:w w:val="95"/>
          <w:sz w:val="32"/>
          <w:szCs w:val="32"/>
        </w:rPr>
        <w:t>机一公开”工作计划，从市场主体名录库中随机抽取了9家人</w:t>
      </w:r>
      <w:r>
        <w:rPr>
          <w:rFonts w:ascii="仿宋" w:hAnsi="仿宋" w:eastAsia="仿宋"/>
          <w:spacing w:val="1"/>
          <w:w w:val="95"/>
          <w:sz w:val="32"/>
          <w:szCs w:val="32"/>
        </w:rPr>
        <w:t xml:space="preserve">力资源服务机构，在执法检查人员名录库中抽取了 </w:t>
      </w:r>
      <w:r>
        <w:rPr>
          <w:rFonts w:ascii="仿宋" w:hAnsi="仿宋" w:eastAsia="仿宋"/>
          <w:w w:val="95"/>
          <w:sz w:val="32"/>
          <w:szCs w:val="32"/>
        </w:rPr>
        <w:t>2名执法人员，对用人单位签订劳动合同、工资支付等情况进行了检查，全面掌握用人单位的用工情况。2021年通过政府网站向社会公布重大违法案件2起，以涉嫌拒不支付劳动报酬罪向公安机关</w:t>
      </w:r>
      <w:r>
        <w:rPr>
          <w:rFonts w:ascii="仿宋" w:hAnsi="仿宋" w:eastAsia="仿宋"/>
          <w:w w:val="99"/>
          <w:sz w:val="32"/>
          <w:szCs w:val="32"/>
        </w:rPr>
        <w:t>移交案件1</w:t>
      </w:r>
      <w:r>
        <w:rPr>
          <w:rFonts w:ascii="仿宋" w:hAnsi="仿宋" w:eastAsia="仿宋"/>
          <w:spacing w:val="-2"/>
          <w:w w:val="99"/>
          <w:sz w:val="32"/>
          <w:szCs w:val="32"/>
        </w:rPr>
        <w:t>件，将</w:t>
      </w:r>
      <w:r>
        <w:rPr>
          <w:rFonts w:ascii="仿宋" w:hAnsi="仿宋" w:eastAsia="仿宋"/>
          <w:w w:val="99"/>
          <w:sz w:val="32"/>
          <w:szCs w:val="32"/>
        </w:rPr>
        <w:t>1</w:t>
      </w:r>
      <w:r>
        <w:rPr>
          <w:rFonts w:ascii="仿宋" w:hAnsi="仿宋" w:eastAsia="仿宋"/>
          <w:spacing w:val="-11"/>
          <w:w w:val="99"/>
          <w:sz w:val="32"/>
          <w:szCs w:val="32"/>
        </w:rPr>
        <w:t>家拖欠工资用人单位列入“黑名单”，实施</w:t>
      </w:r>
      <w:r>
        <w:rPr>
          <w:rFonts w:ascii="仿宋" w:hAnsi="仿宋" w:eastAsia="仿宋"/>
          <w:w w:val="95"/>
          <w:sz w:val="32"/>
          <w:szCs w:val="32"/>
        </w:rPr>
        <w:t>联合惩戒。4.</w:t>
      </w:r>
      <w:r>
        <w:rPr>
          <w:rFonts w:ascii="仿宋" w:hAnsi="仿宋" w:eastAsia="仿宋"/>
          <w:b/>
          <w:w w:val="95"/>
          <w:sz w:val="32"/>
          <w:szCs w:val="32"/>
        </w:rPr>
        <w:t>切实履行调解仲裁职能。</w:t>
      </w:r>
      <w:r>
        <w:rPr>
          <w:rFonts w:ascii="仿宋" w:hAnsi="仿宋" w:eastAsia="仿宋"/>
          <w:w w:val="95"/>
          <w:sz w:val="32"/>
          <w:szCs w:val="32"/>
        </w:rPr>
        <w:t>全年处理劳动争议案件604</w:t>
      </w:r>
      <w:r>
        <w:rPr>
          <w:rFonts w:ascii="仿宋" w:hAnsi="仿宋" w:eastAsia="仿宋"/>
          <w:spacing w:val="8"/>
          <w:w w:val="95"/>
          <w:sz w:val="32"/>
          <w:szCs w:val="32"/>
        </w:rPr>
        <w:t xml:space="preserve"> 起，立案受理 </w:t>
      </w:r>
      <w:r>
        <w:rPr>
          <w:rFonts w:ascii="仿宋" w:hAnsi="仿宋" w:eastAsia="仿宋"/>
          <w:w w:val="95"/>
          <w:sz w:val="32"/>
          <w:szCs w:val="32"/>
        </w:rPr>
        <w:t>126 起，非立案方式调解、立案调解或调解后</w:t>
      </w:r>
      <w:r>
        <w:rPr>
          <w:rFonts w:ascii="仿宋" w:hAnsi="仿宋" w:eastAsia="仿宋"/>
          <w:spacing w:val="3"/>
          <w:w w:val="95"/>
          <w:sz w:val="32"/>
          <w:szCs w:val="32"/>
        </w:rPr>
        <w:t xml:space="preserve">撤诉等方式结案 </w:t>
      </w:r>
      <w:r>
        <w:rPr>
          <w:rFonts w:ascii="仿宋" w:hAnsi="仿宋" w:eastAsia="仿宋"/>
          <w:w w:val="95"/>
          <w:sz w:val="32"/>
          <w:szCs w:val="32"/>
        </w:rPr>
        <w:t>470</w:t>
      </w:r>
      <w:r>
        <w:rPr>
          <w:rFonts w:ascii="仿宋" w:hAnsi="仿宋" w:eastAsia="仿宋"/>
          <w:spacing w:val="5"/>
          <w:w w:val="95"/>
          <w:sz w:val="32"/>
          <w:szCs w:val="32"/>
        </w:rPr>
        <w:t xml:space="preserve"> 起，涉案金额 </w:t>
      </w:r>
      <w:r>
        <w:rPr>
          <w:rFonts w:ascii="仿宋" w:hAnsi="仿宋" w:eastAsia="仿宋"/>
          <w:w w:val="95"/>
          <w:sz w:val="32"/>
          <w:szCs w:val="32"/>
        </w:rPr>
        <w:t>365.93 万元，案件按期结案</w:t>
      </w:r>
      <w:r>
        <w:rPr>
          <w:rFonts w:ascii="仿宋" w:hAnsi="仿宋" w:eastAsia="仿宋"/>
          <w:spacing w:val="42"/>
          <w:w w:val="95"/>
          <w:sz w:val="32"/>
          <w:szCs w:val="32"/>
        </w:rPr>
        <w:t xml:space="preserve">率 </w:t>
      </w:r>
      <w:r>
        <w:rPr>
          <w:rFonts w:ascii="仿宋" w:hAnsi="仿宋" w:eastAsia="仿宋"/>
          <w:w w:val="95"/>
          <w:sz w:val="32"/>
          <w:szCs w:val="32"/>
        </w:rPr>
        <w:t>100%</w:t>
      </w:r>
      <w:r>
        <w:rPr>
          <w:rFonts w:ascii="仿宋" w:hAnsi="仿宋" w:eastAsia="仿宋"/>
          <w:spacing w:val="17"/>
          <w:w w:val="95"/>
          <w:sz w:val="32"/>
          <w:szCs w:val="32"/>
        </w:rPr>
        <w:t xml:space="preserve">,调解率 </w:t>
      </w:r>
      <w:r>
        <w:rPr>
          <w:rFonts w:ascii="仿宋" w:hAnsi="仿宋" w:eastAsia="仿宋"/>
          <w:w w:val="95"/>
          <w:sz w:val="32"/>
          <w:szCs w:val="32"/>
        </w:rPr>
        <w:t>77.8</w:t>
      </w:r>
      <w:r>
        <w:rPr>
          <w:rFonts w:ascii="仿宋" w:hAnsi="仿宋" w:eastAsia="仿宋"/>
          <w:spacing w:val="-6"/>
          <w:w w:val="95"/>
          <w:sz w:val="32"/>
          <w:szCs w:val="32"/>
        </w:rPr>
        <w:t>%，网上办案做到案件实时录入、实时结案。</w:t>
      </w:r>
      <w:r>
        <w:rPr>
          <w:rFonts w:ascii="仿宋" w:hAnsi="仿宋" w:eastAsia="仿宋"/>
          <w:spacing w:val="9"/>
          <w:w w:val="95"/>
          <w:sz w:val="32"/>
          <w:szCs w:val="32"/>
        </w:rPr>
        <w:t xml:space="preserve">深入 </w:t>
      </w:r>
      <w:r>
        <w:rPr>
          <w:rFonts w:ascii="仿宋" w:hAnsi="仿宋" w:eastAsia="仿宋"/>
          <w:w w:val="95"/>
          <w:sz w:val="32"/>
          <w:szCs w:val="32"/>
        </w:rPr>
        <w:t>10 家争议多发的用人单位开展案件成因调查活动，组织现</w:t>
      </w:r>
      <w:r>
        <w:rPr>
          <w:rFonts w:ascii="仿宋" w:hAnsi="仿宋" w:eastAsia="仿宋"/>
          <w:spacing w:val="3"/>
          <w:w w:val="95"/>
          <w:sz w:val="32"/>
          <w:szCs w:val="32"/>
        </w:rPr>
        <w:t xml:space="preserve">场培训会 </w:t>
      </w:r>
      <w:r>
        <w:rPr>
          <w:rFonts w:ascii="仿宋" w:hAnsi="仿宋" w:eastAsia="仿宋"/>
          <w:w w:val="95"/>
          <w:sz w:val="32"/>
          <w:szCs w:val="32"/>
        </w:rPr>
        <w:t>6</w:t>
      </w:r>
      <w:r>
        <w:rPr>
          <w:rFonts w:ascii="仿宋" w:hAnsi="仿宋" w:eastAsia="仿宋"/>
          <w:spacing w:val="9"/>
          <w:w w:val="95"/>
          <w:sz w:val="32"/>
          <w:szCs w:val="32"/>
        </w:rPr>
        <w:t xml:space="preserve"> 场次 </w:t>
      </w:r>
      <w:r>
        <w:rPr>
          <w:rFonts w:ascii="仿宋" w:hAnsi="仿宋" w:eastAsia="仿宋"/>
          <w:w w:val="95"/>
          <w:sz w:val="32"/>
          <w:szCs w:val="32"/>
        </w:rPr>
        <w:t>300</w:t>
      </w:r>
      <w:r>
        <w:rPr>
          <w:rFonts w:ascii="仿宋" w:hAnsi="仿宋" w:eastAsia="仿宋"/>
          <w:spacing w:val="1"/>
          <w:w w:val="95"/>
          <w:sz w:val="32"/>
          <w:szCs w:val="32"/>
        </w:rPr>
        <w:t xml:space="preserve"> 余人，及时纠正劳动合同条款 </w:t>
      </w:r>
      <w:r>
        <w:rPr>
          <w:rFonts w:ascii="仿宋" w:hAnsi="仿宋" w:eastAsia="仿宋"/>
          <w:w w:val="95"/>
          <w:sz w:val="32"/>
          <w:szCs w:val="32"/>
        </w:rPr>
        <w:t>8</w:t>
      </w:r>
      <w:r>
        <w:rPr>
          <w:rFonts w:ascii="仿宋" w:hAnsi="仿宋" w:eastAsia="仿宋"/>
          <w:spacing w:val="2"/>
          <w:w w:val="95"/>
          <w:sz w:val="32"/>
          <w:szCs w:val="32"/>
        </w:rPr>
        <w:t xml:space="preserve"> 处，收集</w:t>
      </w:r>
      <w:r>
        <w:rPr>
          <w:rFonts w:ascii="仿宋" w:hAnsi="仿宋" w:eastAsia="仿宋"/>
          <w:spacing w:val="23"/>
          <w:w w:val="95"/>
          <w:sz w:val="32"/>
          <w:szCs w:val="32"/>
        </w:rPr>
        <w:t xml:space="preserve">意见建议 </w:t>
      </w:r>
      <w:r>
        <w:rPr>
          <w:rFonts w:ascii="仿宋" w:hAnsi="仿宋" w:eastAsia="仿宋"/>
          <w:w w:val="95"/>
          <w:sz w:val="32"/>
          <w:szCs w:val="32"/>
        </w:rPr>
        <w:t>12 条。进一步提升了办案质效、充分发挥调解仲裁维护社会稳定、营造良好营商环境助力全县经济社会发展职能。积极参加全市首届先进基层调解组织和优秀基层调解员评选活动，嘉川镇劳动人事争议调解中心被评为全市“先进基层调解</w:t>
      </w:r>
      <w:r>
        <w:rPr>
          <w:rFonts w:ascii="仿宋" w:hAnsi="仿宋" w:eastAsia="仿宋"/>
          <w:spacing w:val="-15"/>
          <w:w w:val="99"/>
          <w:sz w:val="32"/>
          <w:szCs w:val="32"/>
        </w:rPr>
        <w:t>组织”，嘉川镇杨青被评为全市“优秀基层调解员”。</w:t>
      </w:r>
      <w:r>
        <w:rPr>
          <w:rFonts w:ascii="仿宋" w:hAnsi="仿宋" w:eastAsia="仿宋"/>
          <w:spacing w:val="1"/>
          <w:w w:val="99"/>
          <w:sz w:val="32"/>
          <w:szCs w:val="32"/>
        </w:rPr>
        <w:t>5</w:t>
      </w:r>
      <w:r>
        <w:rPr>
          <w:rFonts w:ascii="仿宋" w:hAnsi="仿宋" w:eastAsia="仿宋"/>
          <w:spacing w:val="3"/>
          <w:w w:val="99"/>
          <w:sz w:val="32"/>
          <w:szCs w:val="32"/>
        </w:rPr>
        <w:t>.</w:t>
      </w:r>
      <w:r>
        <w:rPr>
          <w:rFonts w:ascii="仿宋" w:hAnsi="仿宋" w:eastAsia="仿宋"/>
          <w:b/>
          <w:spacing w:val="4"/>
          <w:w w:val="99"/>
          <w:sz w:val="32"/>
          <w:szCs w:val="32"/>
        </w:rPr>
        <w:t>认真抓</w:t>
      </w:r>
      <w:r>
        <w:rPr>
          <w:rFonts w:ascii="仿宋" w:hAnsi="仿宋" w:eastAsia="仿宋"/>
          <w:b/>
          <w:w w:val="95"/>
          <w:sz w:val="32"/>
          <w:szCs w:val="32"/>
        </w:rPr>
        <w:t>好信访维稳。</w:t>
      </w:r>
      <w:r>
        <w:rPr>
          <w:rFonts w:ascii="仿宋" w:hAnsi="仿宋" w:eastAsia="仿宋"/>
          <w:spacing w:val="2"/>
          <w:w w:val="95"/>
          <w:sz w:val="32"/>
          <w:szCs w:val="32"/>
        </w:rPr>
        <w:t xml:space="preserve">今年以来，共接收各类信访共 </w:t>
      </w:r>
      <w:r>
        <w:rPr>
          <w:rFonts w:ascii="仿宋" w:hAnsi="仿宋" w:eastAsia="仿宋"/>
          <w:w w:val="95"/>
          <w:sz w:val="32"/>
          <w:szCs w:val="32"/>
        </w:rPr>
        <w:t>481件，所有信访件均按时回复，信访案件办理及时、高效、稳妥，信访动态总体运行平稳。6.</w:t>
      </w:r>
      <w:r>
        <w:rPr>
          <w:rFonts w:ascii="仿宋" w:hAnsi="仿宋" w:eastAsia="仿宋"/>
          <w:b/>
          <w:w w:val="95"/>
          <w:sz w:val="32"/>
          <w:szCs w:val="32"/>
        </w:rPr>
        <w:t>做好工伤认定和退管工作。</w:t>
      </w:r>
      <w:r>
        <w:rPr>
          <w:rFonts w:ascii="仿宋" w:hAnsi="仿宋" w:eastAsia="仿宋"/>
          <w:w w:val="95"/>
          <w:sz w:val="32"/>
          <w:szCs w:val="32"/>
        </w:rPr>
        <w:t>办理工伤性质认定案件166起，向市劳动能力鉴定中心报送伤残等级鉴定及申领</w:t>
      </w:r>
      <w:r>
        <w:rPr>
          <w:rFonts w:ascii="仿宋" w:hAnsi="仿宋" w:eastAsia="仿宋"/>
          <w:spacing w:val="17"/>
          <w:w w:val="95"/>
          <w:sz w:val="32"/>
          <w:szCs w:val="32"/>
        </w:rPr>
        <w:t xml:space="preserve">病残津贴鉴定 </w:t>
      </w:r>
      <w:r>
        <w:rPr>
          <w:rFonts w:ascii="仿宋" w:hAnsi="仿宋" w:eastAsia="仿宋"/>
          <w:w w:val="95"/>
          <w:sz w:val="32"/>
          <w:szCs w:val="32"/>
        </w:rPr>
        <w:t>158 件，依法依规全面核实，做到程序合法有序，</w:t>
      </w:r>
      <w:r>
        <w:rPr>
          <w:rFonts w:ascii="仿宋" w:hAnsi="仿宋" w:eastAsia="仿宋"/>
          <w:sz w:val="32"/>
          <w:szCs w:val="32"/>
        </w:rPr>
        <w:t>文书直接送达，案卷装订规范；认真做好提前退休审核报批等</w:t>
      </w:r>
      <w:r>
        <w:rPr>
          <w:rFonts w:ascii="仿宋" w:hAnsi="仿宋" w:eastAsia="仿宋"/>
          <w:spacing w:val="3"/>
          <w:w w:val="95"/>
          <w:sz w:val="32"/>
          <w:szCs w:val="32"/>
        </w:rPr>
        <w:t xml:space="preserve">工作，向市人社局报送企业职工提前退休档案 </w:t>
      </w:r>
      <w:r>
        <w:rPr>
          <w:rFonts w:ascii="仿宋" w:hAnsi="仿宋" w:eastAsia="仿宋"/>
          <w:w w:val="95"/>
          <w:sz w:val="32"/>
          <w:szCs w:val="32"/>
        </w:rPr>
        <w:t>103</w:t>
      </w:r>
      <w:r>
        <w:rPr>
          <w:rFonts w:ascii="仿宋" w:hAnsi="仿宋" w:eastAsia="仿宋"/>
          <w:spacing w:val="10"/>
          <w:w w:val="95"/>
          <w:sz w:val="32"/>
          <w:szCs w:val="32"/>
        </w:rPr>
        <w:t xml:space="preserve"> 份，市局审</w:t>
      </w:r>
      <w:r>
        <w:rPr>
          <w:rFonts w:ascii="仿宋" w:hAnsi="仿宋" w:eastAsia="仿宋"/>
          <w:spacing w:val="15"/>
          <w:w w:val="95"/>
          <w:sz w:val="32"/>
          <w:szCs w:val="32"/>
        </w:rPr>
        <w:t xml:space="preserve">批通过 </w:t>
      </w:r>
      <w:r>
        <w:rPr>
          <w:rFonts w:ascii="仿宋" w:hAnsi="仿宋" w:eastAsia="仿宋"/>
          <w:w w:val="95"/>
          <w:sz w:val="32"/>
          <w:szCs w:val="32"/>
        </w:rPr>
        <w:t>96</w:t>
      </w:r>
      <w:r>
        <w:rPr>
          <w:rFonts w:ascii="仿宋" w:hAnsi="仿宋" w:eastAsia="仿宋"/>
          <w:spacing w:val="17"/>
          <w:w w:val="95"/>
          <w:sz w:val="32"/>
          <w:szCs w:val="32"/>
        </w:rPr>
        <w:t xml:space="preserve"> 份，为其中 </w:t>
      </w:r>
      <w:r>
        <w:rPr>
          <w:rFonts w:ascii="仿宋" w:hAnsi="仿宋" w:eastAsia="仿宋"/>
          <w:w w:val="95"/>
          <w:sz w:val="32"/>
          <w:szCs w:val="32"/>
        </w:rPr>
        <w:t>61 名符合提前退休条件的职工办理了退休手续。保险管理股经办的赵某工伤认定案，被市人社局评为</w:t>
      </w:r>
      <w:r>
        <w:rPr>
          <w:rFonts w:ascii="仿宋" w:hAnsi="仿宋" w:eastAsia="仿宋"/>
          <w:sz w:val="32"/>
          <w:szCs w:val="32"/>
        </w:rPr>
        <w:t>优秀案卷，在全市进行通报表扬。</w:t>
      </w:r>
    </w:p>
    <w:p>
      <w:pPr>
        <w:spacing w:line="576" w:lineRule="exact"/>
        <w:ind w:left="106" w:right="112" w:firstLine="640"/>
        <w:rPr>
          <w:rFonts w:ascii="仿宋" w:hAnsi="仿宋" w:eastAsia="仿宋"/>
          <w:sz w:val="32"/>
          <w:szCs w:val="32"/>
        </w:rPr>
      </w:pPr>
      <w:r>
        <w:rPr>
          <w:rFonts w:hint="eastAsia" w:ascii="仿宋" w:hAnsi="仿宋" w:eastAsia="仿宋"/>
          <w:b/>
          <w:sz w:val="32"/>
          <w:szCs w:val="32"/>
        </w:rPr>
        <w:t>（六）纵深推进党建和党风廉政建设及反腐败工作。</w:t>
      </w:r>
      <w:r>
        <w:rPr>
          <w:rFonts w:ascii="仿宋" w:hAnsi="仿宋" w:eastAsia="仿宋"/>
          <w:b/>
          <w:sz w:val="32"/>
          <w:szCs w:val="32"/>
        </w:rPr>
        <w:t>1.坚持政治引领，聚力政治建设。</w:t>
      </w:r>
      <w:r>
        <w:rPr>
          <w:rFonts w:ascii="仿宋" w:hAnsi="仿宋" w:eastAsia="仿宋"/>
          <w:sz w:val="32"/>
          <w:szCs w:val="32"/>
        </w:rPr>
        <w:t>深入学习习近平新时代中国特色社会主义思想和习近平总书记系列重要讲话精神、党的十九届五中、六中全会精神，深入贯彻落实中央、省委、市委、县委</w:t>
      </w:r>
      <w:r>
        <w:rPr>
          <w:rFonts w:ascii="仿宋" w:hAnsi="仿宋" w:eastAsia="仿宋"/>
          <w:spacing w:val="-3"/>
          <w:w w:val="95"/>
          <w:sz w:val="32"/>
          <w:szCs w:val="32"/>
        </w:rPr>
        <w:t xml:space="preserve">会议精神，组织开展理论学习中心组学习 </w:t>
      </w:r>
      <w:r>
        <w:rPr>
          <w:rFonts w:ascii="仿宋" w:hAnsi="仿宋" w:eastAsia="仿宋"/>
          <w:w w:val="95"/>
          <w:sz w:val="32"/>
          <w:szCs w:val="32"/>
        </w:rPr>
        <w:t>12</w:t>
      </w:r>
      <w:r>
        <w:rPr>
          <w:rFonts w:ascii="仿宋" w:hAnsi="仿宋" w:eastAsia="仿宋"/>
          <w:spacing w:val="2"/>
          <w:w w:val="95"/>
          <w:sz w:val="32"/>
          <w:szCs w:val="32"/>
        </w:rPr>
        <w:t xml:space="preserve"> 次、召开专题会议、</w:t>
      </w:r>
      <w:r>
        <w:rPr>
          <w:rFonts w:ascii="仿宋" w:hAnsi="仿宋" w:eastAsia="仿宋"/>
          <w:spacing w:val="5"/>
          <w:w w:val="95"/>
          <w:sz w:val="32"/>
          <w:szCs w:val="32"/>
        </w:rPr>
        <w:t xml:space="preserve">干部职工会 </w:t>
      </w:r>
      <w:r>
        <w:rPr>
          <w:rFonts w:ascii="仿宋" w:hAnsi="仿宋" w:eastAsia="仿宋"/>
          <w:w w:val="95"/>
          <w:sz w:val="32"/>
          <w:szCs w:val="32"/>
        </w:rPr>
        <w:t>20</w:t>
      </w:r>
      <w:r>
        <w:rPr>
          <w:rFonts w:ascii="仿宋" w:hAnsi="仿宋" w:eastAsia="仿宋"/>
          <w:spacing w:val="1"/>
          <w:w w:val="95"/>
          <w:sz w:val="32"/>
          <w:szCs w:val="32"/>
        </w:rPr>
        <w:t xml:space="preserve"> 余次。扎实开展党史学习教育，开展专题研讨 </w:t>
      </w:r>
      <w:r>
        <w:rPr>
          <w:rFonts w:ascii="仿宋" w:hAnsi="仿宋" w:eastAsia="仿宋"/>
          <w:w w:val="95"/>
          <w:sz w:val="32"/>
          <w:szCs w:val="32"/>
        </w:rPr>
        <w:t>7次，组织讲专题党课4次，以支部为单位，创新开展党史“夜学”和农民工群体党史专题宣讲活动8次。圆满承办省人社厅组织 32 名四川省高级专家团赴旺苍开展“学党史·启新程”联谊交流活动和省人社厅专技处、信息化处党支部来旺开展党史</w:t>
      </w:r>
      <w:r>
        <w:rPr>
          <w:rFonts w:ascii="仿宋" w:hAnsi="仿宋" w:eastAsia="仿宋"/>
          <w:spacing w:val="4"/>
          <w:w w:val="95"/>
          <w:sz w:val="32"/>
          <w:szCs w:val="32"/>
        </w:rPr>
        <w:t xml:space="preserve">学习教育。认真组织开展建党 </w:t>
      </w:r>
      <w:r>
        <w:rPr>
          <w:rFonts w:ascii="仿宋" w:hAnsi="仿宋" w:eastAsia="仿宋"/>
          <w:w w:val="95"/>
          <w:sz w:val="32"/>
          <w:szCs w:val="32"/>
        </w:rPr>
        <w:t>100</w:t>
      </w:r>
      <w:r>
        <w:rPr>
          <w:rFonts w:ascii="仿宋" w:hAnsi="仿宋" w:eastAsia="仿宋"/>
          <w:spacing w:val="6"/>
          <w:w w:val="95"/>
          <w:sz w:val="32"/>
          <w:szCs w:val="32"/>
        </w:rPr>
        <w:t xml:space="preserve"> 周年系列庆祝活动</w:t>
      </w:r>
      <w:r>
        <w:rPr>
          <w:rFonts w:ascii="仿宋" w:hAnsi="仿宋" w:eastAsia="仿宋"/>
          <w:w w:val="95"/>
          <w:sz w:val="32"/>
          <w:szCs w:val="32"/>
        </w:rPr>
        <w:t>，对 2 个先进基层党组织、5 名优秀党务工作者、13名优秀共产党员进行了通报表扬，有效引导全体党员干部职工牢固树立“四个意</w:t>
      </w:r>
      <w:r>
        <w:rPr>
          <w:rFonts w:ascii="仿宋" w:hAnsi="仿宋" w:eastAsia="仿宋"/>
          <w:spacing w:val="-23"/>
          <w:w w:val="99"/>
          <w:sz w:val="32"/>
          <w:szCs w:val="32"/>
        </w:rPr>
        <w:t>识”，坚定“四个自信”，做到“两个维护”。严格落实意识形态</w:t>
      </w:r>
      <w:r>
        <w:rPr>
          <w:rFonts w:ascii="仿宋" w:hAnsi="仿宋" w:eastAsia="仿宋"/>
          <w:w w:val="95"/>
          <w:sz w:val="32"/>
          <w:szCs w:val="32"/>
        </w:rPr>
        <w:t>工作责任制，将意识形态工作与疫情防控、信访维稳等工作紧</w:t>
      </w:r>
      <w:r>
        <w:rPr>
          <w:rFonts w:ascii="仿宋" w:hAnsi="仿宋" w:eastAsia="仿宋"/>
          <w:spacing w:val="1"/>
          <w:w w:val="95"/>
          <w:sz w:val="32"/>
          <w:szCs w:val="32"/>
        </w:rPr>
        <w:t xml:space="preserve">密结合，全年专题研究意识形态工作 </w:t>
      </w:r>
      <w:r>
        <w:rPr>
          <w:rFonts w:ascii="仿宋" w:hAnsi="仿宋" w:eastAsia="仿宋"/>
          <w:w w:val="95"/>
          <w:sz w:val="32"/>
          <w:szCs w:val="32"/>
        </w:rPr>
        <w:t>4</w:t>
      </w:r>
      <w:r>
        <w:rPr>
          <w:rFonts w:ascii="仿宋" w:hAnsi="仿宋" w:eastAsia="仿宋"/>
          <w:spacing w:val="2"/>
          <w:w w:val="95"/>
          <w:sz w:val="32"/>
          <w:szCs w:val="32"/>
        </w:rPr>
        <w:t xml:space="preserve"> 次，开展相关学习 </w:t>
      </w:r>
      <w:r>
        <w:rPr>
          <w:rFonts w:ascii="仿宋" w:hAnsi="仿宋" w:eastAsia="仿宋"/>
          <w:w w:val="95"/>
          <w:sz w:val="32"/>
          <w:szCs w:val="32"/>
        </w:rPr>
        <w:t>10</w:t>
      </w:r>
      <w:r>
        <w:rPr>
          <w:rFonts w:ascii="仿宋" w:hAnsi="仿宋" w:eastAsia="仿宋"/>
          <w:spacing w:val="11"/>
          <w:w w:val="95"/>
          <w:sz w:val="32"/>
          <w:szCs w:val="32"/>
        </w:rPr>
        <w:t xml:space="preserve"> 余</w:t>
      </w:r>
      <w:r>
        <w:rPr>
          <w:rFonts w:ascii="仿宋" w:hAnsi="仿宋" w:eastAsia="仿宋"/>
          <w:w w:val="95"/>
          <w:sz w:val="32"/>
          <w:szCs w:val="32"/>
        </w:rPr>
        <w:t>次。</w:t>
      </w:r>
      <w:r>
        <w:rPr>
          <w:rFonts w:ascii="仿宋" w:hAnsi="仿宋" w:eastAsia="仿宋"/>
          <w:b/>
          <w:w w:val="95"/>
          <w:sz w:val="32"/>
          <w:szCs w:val="32"/>
        </w:rPr>
        <w:t>2.坚持创先争优，聚力建强堡垒。</w:t>
      </w:r>
      <w:r>
        <w:rPr>
          <w:rFonts w:ascii="仿宋" w:hAnsi="仿宋" w:eastAsia="仿宋"/>
          <w:w w:val="95"/>
          <w:sz w:val="32"/>
          <w:szCs w:val="32"/>
        </w:rPr>
        <w:t>以“争创模范机关、争作三个表率”行动为主线，全力构建知责明责、履责尽责的党建责任体系，制定《2021</w:t>
      </w:r>
      <w:r>
        <w:rPr>
          <w:rFonts w:ascii="仿宋" w:hAnsi="仿宋" w:eastAsia="仿宋"/>
          <w:spacing w:val="4"/>
          <w:w w:val="95"/>
          <w:sz w:val="32"/>
          <w:szCs w:val="32"/>
        </w:rPr>
        <w:t xml:space="preserve"> 年党建工作计划》和党建工作责任清</w:t>
      </w:r>
      <w:r>
        <w:rPr>
          <w:rFonts w:ascii="仿宋" w:hAnsi="仿宋" w:eastAsia="仿宋"/>
          <w:w w:val="95"/>
          <w:sz w:val="32"/>
          <w:szCs w:val="32"/>
        </w:rPr>
        <w:t>单，出台对各支部党建工作目标考核办法、明确工作重点，量化具体要求。深入推进下属党组织规范化标准化建设，选优配</w:t>
      </w:r>
      <w:r>
        <w:rPr>
          <w:rFonts w:ascii="仿宋" w:hAnsi="仿宋" w:eastAsia="仿宋"/>
          <w:spacing w:val="1"/>
          <w:w w:val="95"/>
          <w:sz w:val="32"/>
          <w:szCs w:val="32"/>
        </w:rPr>
        <w:t xml:space="preserve">强党务干部，全年培养发展入党积极分子 </w:t>
      </w:r>
      <w:r>
        <w:rPr>
          <w:rFonts w:ascii="仿宋" w:hAnsi="仿宋" w:eastAsia="仿宋"/>
          <w:w w:val="95"/>
          <w:sz w:val="32"/>
          <w:szCs w:val="32"/>
        </w:rPr>
        <w:t>2</w:t>
      </w:r>
      <w:r>
        <w:rPr>
          <w:rFonts w:ascii="仿宋" w:hAnsi="仿宋" w:eastAsia="仿宋"/>
          <w:spacing w:val="8"/>
          <w:w w:val="95"/>
          <w:sz w:val="32"/>
          <w:szCs w:val="32"/>
        </w:rPr>
        <w:t xml:space="preserve"> 名，</w:t>
      </w:r>
      <w:r>
        <w:rPr>
          <w:rFonts w:ascii="仿宋" w:hAnsi="仿宋" w:eastAsia="仿宋"/>
          <w:w w:val="95"/>
          <w:sz w:val="32"/>
          <w:szCs w:val="32"/>
        </w:rPr>
        <w:t>5</w:t>
      </w:r>
      <w:r>
        <w:rPr>
          <w:rFonts w:ascii="仿宋" w:hAnsi="仿宋" w:eastAsia="仿宋"/>
          <w:spacing w:val="2"/>
          <w:w w:val="95"/>
          <w:sz w:val="32"/>
          <w:szCs w:val="32"/>
        </w:rPr>
        <w:t xml:space="preserve"> 名预备党员按</w:t>
      </w:r>
      <w:r>
        <w:rPr>
          <w:rFonts w:ascii="仿宋" w:hAnsi="仿宋" w:eastAsia="仿宋"/>
          <w:w w:val="95"/>
          <w:sz w:val="32"/>
          <w:szCs w:val="32"/>
        </w:rPr>
        <w:t>期转正。严格落实三会一课等党的组织生活制度，开展主题党</w:t>
      </w:r>
      <w:r>
        <w:rPr>
          <w:rFonts w:ascii="仿宋" w:hAnsi="仿宋" w:eastAsia="仿宋"/>
          <w:spacing w:val="32"/>
          <w:w w:val="95"/>
          <w:sz w:val="32"/>
          <w:szCs w:val="32"/>
        </w:rPr>
        <w:t xml:space="preserve">日活动 </w:t>
      </w:r>
      <w:r>
        <w:rPr>
          <w:rFonts w:ascii="仿宋" w:hAnsi="仿宋" w:eastAsia="仿宋"/>
          <w:w w:val="95"/>
          <w:sz w:val="32"/>
          <w:szCs w:val="32"/>
        </w:rPr>
        <w:t>12 次，进一步规范党建宣传阵地，营造浓厚党建氛围。充分发挥党员先锋模范作用，组织党员干部开展交通文明劝导活、疫情防控、疫苗接种排查、防疫知识等政策宣传、开展清</w:t>
      </w:r>
      <w:r>
        <w:rPr>
          <w:rFonts w:ascii="仿宋" w:hAnsi="仿宋" w:eastAsia="仿宋"/>
          <w:spacing w:val="6"/>
          <w:w w:val="95"/>
          <w:sz w:val="32"/>
          <w:szCs w:val="32"/>
        </w:rPr>
        <w:t xml:space="preserve">洁红城等志愿服务活动 </w:t>
      </w:r>
      <w:r>
        <w:rPr>
          <w:rFonts w:ascii="仿宋" w:hAnsi="仿宋" w:eastAsia="仿宋"/>
          <w:w w:val="95"/>
          <w:sz w:val="32"/>
          <w:szCs w:val="32"/>
        </w:rPr>
        <w:t>70</w:t>
      </w:r>
      <w:r>
        <w:rPr>
          <w:rFonts w:ascii="仿宋" w:hAnsi="仿宋" w:eastAsia="仿宋"/>
          <w:spacing w:val="11"/>
          <w:w w:val="95"/>
          <w:sz w:val="32"/>
          <w:szCs w:val="32"/>
        </w:rPr>
        <w:t xml:space="preserve"> 余次，党员参与率达 </w:t>
      </w:r>
      <w:r>
        <w:rPr>
          <w:rFonts w:ascii="仿宋" w:hAnsi="仿宋" w:eastAsia="仿宋"/>
          <w:w w:val="95"/>
          <w:sz w:val="32"/>
          <w:szCs w:val="32"/>
        </w:rPr>
        <w:t>80%以上。</w:t>
      </w:r>
      <w:r>
        <w:rPr>
          <w:rFonts w:ascii="仿宋" w:hAnsi="仿宋" w:eastAsia="仿宋"/>
          <w:b/>
          <w:w w:val="95"/>
          <w:sz w:val="32"/>
          <w:szCs w:val="32"/>
        </w:rPr>
        <w:t>3.坚</w:t>
      </w:r>
      <w:r>
        <w:rPr>
          <w:rFonts w:ascii="仿宋" w:hAnsi="仿宋" w:eastAsia="仿宋"/>
          <w:b/>
          <w:spacing w:val="-11"/>
          <w:w w:val="95"/>
          <w:sz w:val="32"/>
          <w:szCs w:val="32"/>
        </w:rPr>
        <w:t>持</w:t>
      </w:r>
      <w:r>
        <w:rPr>
          <w:rFonts w:hint="eastAsia" w:ascii="仿宋" w:hAnsi="仿宋" w:eastAsia="仿宋"/>
          <w:b/>
          <w:spacing w:val="-11"/>
          <w:w w:val="95"/>
          <w:sz w:val="32"/>
          <w:szCs w:val="32"/>
          <w:lang w:eastAsia="zh-CN"/>
        </w:rPr>
        <w:t>全面</w:t>
      </w:r>
      <w:bookmarkStart w:id="103" w:name="_GoBack"/>
      <w:bookmarkEnd w:id="103"/>
      <w:r>
        <w:rPr>
          <w:rFonts w:ascii="仿宋" w:hAnsi="仿宋" w:eastAsia="仿宋"/>
          <w:b/>
          <w:spacing w:val="-11"/>
          <w:w w:val="95"/>
          <w:sz w:val="32"/>
          <w:szCs w:val="32"/>
        </w:rPr>
        <w:t>从严治党，聚力自身建设。</w:t>
      </w:r>
      <w:r>
        <w:rPr>
          <w:rFonts w:ascii="仿宋" w:hAnsi="仿宋" w:eastAsia="仿宋"/>
          <w:w w:val="95"/>
          <w:sz w:val="32"/>
          <w:szCs w:val="32"/>
        </w:rPr>
        <w:t>主持召开专题会议研究党建工作2</w:t>
      </w:r>
      <w:r>
        <w:rPr>
          <w:rFonts w:ascii="仿宋" w:hAnsi="仿宋" w:eastAsia="仿宋"/>
          <w:sz w:val="32"/>
          <w:szCs w:val="32"/>
        </w:rPr>
        <w:t>次，健全“三重一大”事项集体决策、意识形态工作实施方案</w:t>
      </w:r>
      <w:r>
        <w:rPr>
          <w:rFonts w:ascii="仿宋" w:hAnsi="仿宋" w:eastAsia="仿宋"/>
          <w:w w:val="95"/>
          <w:sz w:val="32"/>
          <w:szCs w:val="32"/>
        </w:rPr>
        <w:t>等党建制度</w:t>
      </w:r>
      <w:r>
        <w:rPr>
          <w:rFonts w:ascii="仿宋" w:hAnsi="仿宋" w:eastAsia="仿宋"/>
          <w:b/>
          <w:w w:val="95"/>
          <w:sz w:val="32"/>
          <w:szCs w:val="32"/>
        </w:rPr>
        <w:t>。</w:t>
      </w:r>
      <w:r>
        <w:rPr>
          <w:rFonts w:ascii="仿宋" w:hAnsi="仿宋" w:eastAsia="仿宋"/>
          <w:w w:val="95"/>
          <w:sz w:val="32"/>
          <w:szCs w:val="32"/>
        </w:rPr>
        <w:t>始终坚持把“强作风、打硬仗、创一流、树形象”</w:t>
      </w:r>
      <w:r>
        <w:rPr>
          <w:rFonts w:ascii="仿宋" w:hAnsi="仿宋" w:eastAsia="仿宋"/>
          <w:sz w:val="32"/>
          <w:szCs w:val="32"/>
        </w:rPr>
        <w:t>作为第一标准，采取“三学五找三结合”的方式狠抓纪律作风</w:t>
      </w:r>
      <w:r>
        <w:rPr>
          <w:rFonts w:ascii="仿宋" w:hAnsi="仿宋" w:eastAsia="仿宋"/>
          <w:spacing w:val="-24"/>
          <w:w w:val="95"/>
          <w:sz w:val="32"/>
          <w:szCs w:val="32"/>
        </w:rPr>
        <w:t xml:space="preserve">整顿。全局 </w:t>
      </w:r>
      <w:r>
        <w:rPr>
          <w:rFonts w:ascii="仿宋" w:hAnsi="仿宋" w:eastAsia="仿宋"/>
          <w:w w:val="95"/>
          <w:sz w:val="32"/>
          <w:szCs w:val="32"/>
        </w:rPr>
        <w:t>97</w:t>
      </w:r>
      <w:r>
        <w:rPr>
          <w:rFonts w:ascii="仿宋" w:hAnsi="仿宋" w:eastAsia="仿宋"/>
          <w:spacing w:val="-5"/>
          <w:w w:val="95"/>
          <w:sz w:val="32"/>
          <w:szCs w:val="32"/>
        </w:rPr>
        <w:t xml:space="preserve"> 名干部职工共查找问题 </w:t>
      </w:r>
      <w:r>
        <w:rPr>
          <w:rFonts w:ascii="仿宋" w:hAnsi="仿宋" w:eastAsia="仿宋"/>
          <w:w w:val="95"/>
          <w:sz w:val="32"/>
          <w:szCs w:val="32"/>
        </w:rPr>
        <w:t>301</w:t>
      </w:r>
      <w:r>
        <w:rPr>
          <w:rFonts w:ascii="仿宋" w:hAnsi="仿宋" w:eastAsia="仿宋"/>
          <w:spacing w:val="-17"/>
          <w:w w:val="95"/>
          <w:sz w:val="32"/>
          <w:szCs w:val="32"/>
        </w:rPr>
        <w:t xml:space="preserve"> 个，制定整改措施 </w:t>
      </w:r>
      <w:r>
        <w:rPr>
          <w:rFonts w:ascii="仿宋" w:hAnsi="仿宋" w:eastAsia="仿宋"/>
          <w:w w:val="95"/>
          <w:sz w:val="32"/>
          <w:szCs w:val="32"/>
        </w:rPr>
        <w:t>420</w:t>
      </w:r>
      <w:r>
        <w:rPr>
          <w:rFonts w:ascii="仿宋" w:hAnsi="仿宋" w:eastAsia="仿宋"/>
          <w:sz w:val="32"/>
          <w:szCs w:val="32"/>
        </w:rPr>
        <w:t>条，逐一会审公示，全部按期整改到位，提出了“自警自醒亮问题、自觉自律常反问、自查自纠保长效”的工作要求，奋力推进自我净化、自我完善、自我革新、自我提高，全局上下精神面貌焕然一新，机关作风有效好转、办事效率切实提升，上级口碑明显变好，形成了“风气正、人心齐、干劲足”的良好态势。</w:t>
      </w:r>
    </w:p>
    <w:p>
      <w:pPr>
        <w:pStyle w:val="6"/>
        <w:spacing w:beforeLines="0" w:line="240" w:lineRule="auto"/>
        <w:ind w:left="0" w:right="0" w:firstLine="611" w:firstLineChars="200"/>
        <w:rPr>
          <w:rFonts w:ascii="仿宋" w:hAnsi="仿宋" w:eastAsia="仿宋" w:cs="Times New Roman"/>
          <w:kern w:val="2"/>
          <w:sz w:val="32"/>
          <w:szCs w:val="32"/>
          <w:lang w:val="en-US" w:eastAsia="zh-CN" w:bidi="ar-SA"/>
        </w:rPr>
      </w:pPr>
      <w:r>
        <w:rPr>
          <w:rFonts w:hint="eastAsia" w:ascii="仿宋" w:hAnsi="仿宋" w:eastAsia="仿宋"/>
          <w:b/>
          <w:w w:val="95"/>
          <w:sz w:val="32"/>
          <w:szCs w:val="32"/>
        </w:rPr>
        <w:t>（</w:t>
      </w:r>
      <w:r>
        <w:rPr>
          <w:rFonts w:hint="eastAsia" w:ascii="仿宋" w:hAnsi="仿宋" w:eastAsia="仿宋" w:cs="Times New Roman"/>
          <w:b/>
          <w:kern w:val="2"/>
          <w:sz w:val="32"/>
          <w:szCs w:val="32"/>
          <w:lang w:val="en-US" w:eastAsia="zh-CN" w:bidi="ar-SA"/>
        </w:rPr>
        <w:t>七）慎终如始筑牢疫情防控防线。</w:t>
      </w:r>
      <w:r>
        <w:rPr>
          <w:rFonts w:ascii="仿宋" w:hAnsi="仿宋" w:eastAsia="仿宋"/>
          <w:sz w:val="32"/>
          <w:szCs w:val="32"/>
        </w:rPr>
        <w:t>动员全局 147 名</w:t>
      </w:r>
      <w:r>
        <w:rPr>
          <w:rFonts w:ascii="仿宋" w:hAnsi="仿宋" w:eastAsia="仿宋" w:cs="Times New Roman"/>
          <w:kern w:val="2"/>
          <w:sz w:val="32"/>
          <w:szCs w:val="32"/>
          <w:lang w:val="en-US" w:eastAsia="zh-CN" w:bidi="ar-SA"/>
        </w:rPr>
        <w:t>干部职工（含退休职工）及时接种新冠疫苗，做好常态化疫情防控 期间社会保障经办服务工作，全员参与超市疫情防控值班值守。特别是在下半年事业单位招聘考试笔试阶段，正值西安疫情出现反弹，疫情局势十分严峻，且有效报名人数高达 4700 人的情况下，局班子结合疫情防控形势，科学细致谋划，精心组织实施，通过提前电话联系、“点对点”发送温馨提示短信，及时通过“旺苍发布”微信公众号、旺苍融媒 APP 公布县域内住宿、交通、防疫等信息。全局干部职工勠力同心，以过硬的作风、 强有力的责任担当，筑牢了疫情防控防线，笔试考试圆满收官， 温馨、细致、周到的服务温暖了广大考生，受到社会各界广泛赞誉和广大考生的一致好评。</w:t>
      </w:r>
    </w:p>
    <w:p>
      <w:pPr>
        <w:widowControl/>
        <w:ind w:firstLine="643" w:firstLineChars="200"/>
        <w:jc w:val="left"/>
        <w:rPr>
          <w:rFonts w:ascii="仿宋" w:hAnsi="仿宋" w:eastAsia="仿宋"/>
          <w:kern w:val="0"/>
          <w:sz w:val="32"/>
          <w:szCs w:val="32"/>
        </w:rPr>
      </w:pPr>
      <w:r>
        <w:rPr>
          <w:rFonts w:hint="eastAsia" w:ascii="仿宋" w:hAnsi="仿宋" w:eastAsia="仿宋"/>
          <w:b/>
          <w:sz w:val="32"/>
          <w:szCs w:val="32"/>
        </w:rPr>
        <w:t>（</w:t>
      </w:r>
      <w:r>
        <w:rPr>
          <w:rFonts w:hint="eastAsia" w:ascii="仿宋" w:hAnsi="仿宋" w:eastAsia="仿宋"/>
          <w:b/>
          <w:sz w:val="32"/>
          <w:szCs w:val="32"/>
          <w:lang w:eastAsia="zh-CN"/>
        </w:rPr>
        <w:t>八</w:t>
      </w:r>
      <w:r>
        <w:rPr>
          <w:rFonts w:hint="eastAsia" w:ascii="仿宋" w:hAnsi="仿宋" w:eastAsia="仿宋"/>
          <w:b/>
          <w:sz w:val="32"/>
          <w:szCs w:val="32"/>
        </w:rPr>
        <w:t>）圆满完成单项工作。</w:t>
      </w:r>
      <w:r>
        <w:rPr>
          <w:rFonts w:ascii="仿宋" w:hAnsi="仿宋" w:eastAsia="仿宋"/>
          <w:sz w:val="32"/>
          <w:szCs w:val="32"/>
        </w:rPr>
        <w:t>全面落实了县委和县政府重大决策、重要工作部署、重要会议决定及领导批示交办事项；完成了县政协委员提案办理工作；深化人社法治建设，依法履行管理服务职能。完成干部人事档案数字化工作，严格规范档案管理。认真做好生态环境保护、政务公开、机关效能、信息</w:t>
      </w:r>
      <w:r>
        <w:rPr>
          <w:rFonts w:ascii="仿宋" w:hAnsi="仿宋" w:eastAsia="仿宋"/>
          <w:w w:val="95"/>
          <w:sz w:val="32"/>
          <w:szCs w:val="32"/>
        </w:rPr>
        <w:t>宣传、安全生产、扫黑除恶、河长制、禁毒、平安建设、防邪、</w:t>
      </w:r>
      <w:r>
        <w:rPr>
          <w:rFonts w:ascii="仿宋" w:hAnsi="仿宋" w:eastAsia="仿宋"/>
          <w:spacing w:val="-10"/>
          <w:sz w:val="32"/>
          <w:szCs w:val="32"/>
        </w:rPr>
        <w:t>计划生育、营商环境、妇儿“两纲”、保密、双拥、应急管理、</w:t>
      </w:r>
      <w:r>
        <w:rPr>
          <w:rFonts w:ascii="仿宋" w:hAnsi="仿宋" w:eastAsia="仿宋"/>
          <w:sz w:val="32"/>
          <w:szCs w:val="32"/>
        </w:rPr>
        <w:t>国有企业薪酬制度改革等各项工作。</w:t>
      </w:r>
      <w:r>
        <w:rPr>
          <w:rFonts w:ascii="仿宋" w:hAnsi="仿宋" w:eastAsia="仿宋"/>
          <w:sz w:val="32"/>
          <w:szCs w:val="32"/>
        </w:rPr>
        <w:br w:type="page"/>
      </w:r>
    </w:p>
    <w:p>
      <w:pPr>
        <w:pStyle w:val="3"/>
        <w:ind w:right="440"/>
        <w:jc w:val="center"/>
        <w:rPr>
          <w:rStyle w:val="26"/>
          <w:rFonts w:ascii="黑体" w:hAnsi="黑体" w:eastAsia="黑体"/>
          <w:b w:val="0"/>
          <w:bCs/>
        </w:rPr>
      </w:pPr>
      <w:bookmarkStart w:id="19" w:name="_Toc15396602"/>
      <w:bookmarkStart w:id="20" w:name="_Toc14671"/>
      <w:bookmarkStart w:id="21" w:name="_Toc15377204"/>
      <w:r>
        <w:rPr>
          <w:rFonts w:hint="eastAsia" w:ascii="黑体" w:hAnsi="黑体" w:eastAsia="黑体"/>
          <w:b w:val="0"/>
        </w:rPr>
        <w:t>第二部分 2021年度</w:t>
      </w:r>
      <w:r>
        <w:rPr>
          <w:rStyle w:val="26"/>
          <w:rFonts w:hint="eastAsia" w:ascii="黑体" w:hAnsi="黑体" w:eastAsia="黑体"/>
          <w:b w:val="0"/>
          <w:bCs/>
        </w:rPr>
        <w:t>单位决算情况说明</w:t>
      </w:r>
      <w:bookmarkEnd w:id="19"/>
      <w:bookmarkEnd w:id="20"/>
      <w:bookmarkEnd w:id="21"/>
    </w:p>
    <w:p/>
    <w:p>
      <w:pPr>
        <w:pStyle w:val="25"/>
        <w:numPr>
          <w:ilvl w:val="0"/>
          <w:numId w:val="2"/>
        </w:numPr>
        <w:spacing w:line="600" w:lineRule="exact"/>
        <w:ind w:firstLineChars="0"/>
        <w:outlineLvl w:val="1"/>
        <w:rPr>
          <w:rStyle w:val="27"/>
          <w:rFonts w:ascii="黑体" w:hAnsi="黑体" w:eastAsia="黑体"/>
          <w:b w:val="0"/>
        </w:rPr>
      </w:pPr>
      <w:bookmarkStart w:id="22" w:name="_Toc14511"/>
      <w:bookmarkStart w:id="23" w:name="_Toc15396603"/>
      <w:bookmarkStart w:id="24" w:name="_Toc15377205"/>
      <w:r>
        <w:rPr>
          <w:rFonts w:hint="eastAsia" w:ascii="黑体" w:hAnsi="黑体" w:eastAsia="黑体"/>
          <w:sz w:val="32"/>
          <w:szCs w:val="32"/>
        </w:rPr>
        <w:t>收</w:t>
      </w:r>
      <w:r>
        <w:rPr>
          <w:rStyle w:val="27"/>
          <w:rFonts w:hint="eastAsia" w:ascii="黑体" w:hAnsi="黑体" w:eastAsia="黑体"/>
          <w:b w:val="0"/>
        </w:rPr>
        <w:t>入支出决算总体情况说明</w:t>
      </w:r>
      <w:bookmarkEnd w:id="22"/>
      <w:bookmarkEnd w:id="23"/>
      <w:bookmarkEnd w:id="24"/>
    </w:p>
    <w:p>
      <w:pPr>
        <w:widowControl/>
        <w:shd w:val="clear" w:color="auto" w:fill="FFFFFF"/>
        <w:spacing w:line="560" w:lineRule="exact"/>
        <w:ind w:firstLine="640" w:firstLineChars="200"/>
        <w:rPr>
          <w:rFonts w:hint="eastAsia" w:ascii="仿宋" w:hAnsi="仿宋" w:eastAsia="仿宋_GB2312"/>
          <w:sz w:val="32"/>
          <w:szCs w:val="32"/>
          <w:lang w:eastAsia="zh-CN"/>
        </w:rPr>
      </w:pPr>
      <w:r>
        <w:rPr>
          <w:rFonts w:hint="eastAsia" w:ascii="仿宋" w:hAnsi="仿宋" w:eastAsia="仿宋"/>
          <w:sz w:val="32"/>
          <w:szCs w:val="32"/>
        </w:rPr>
        <w:t>2021年度收、支总计1047.07万元。与2020年相比，收、支总计各减少1154.24万元，下降52.43</w:t>
      </w:r>
      <w:r>
        <w:rPr>
          <w:rFonts w:ascii="仿宋" w:hAnsi="仿宋" w:eastAsia="仿宋"/>
          <w:sz w:val="32"/>
          <w:szCs w:val="32"/>
        </w:rPr>
        <w:t>%</w:t>
      </w:r>
      <w:r>
        <w:rPr>
          <w:rFonts w:hint="eastAsia" w:ascii="仿宋" w:hAnsi="仿宋" w:eastAsia="仿宋"/>
          <w:sz w:val="32"/>
          <w:szCs w:val="32"/>
        </w:rPr>
        <w:t>。主要变动原因是</w:t>
      </w:r>
      <w:r>
        <w:rPr>
          <w:rFonts w:hint="eastAsia" w:ascii="仿宋_GB2312" w:hAnsi="微软雅黑" w:eastAsia="仿宋_GB2312" w:cs="宋体"/>
          <w:color w:val="333333"/>
          <w:kern w:val="0"/>
          <w:sz w:val="32"/>
          <w:szCs w:val="32"/>
          <w:lang w:eastAsia="zh-CN"/>
        </w:rPr>
        <w:t>一是</w:t>
      </w:r>
      <w:r>
        <w:rPr>
          <w:rFonts w:hint="eastAsia" w:ascii="仿宋_GB2312" w:hAnsi="微软雅黑" w:eastAsia="仿宋_GB2312" w:cs="宋体"/>
          <w:color w:val="333333"/>
          <w:kern w:val="0"/>
          <w:sz w:val="32"/>
          <w:szCs w:val="32"/>
        </w:rPr>
        <w:t>2021年乡（镇）人力资源和社会保障服务所机构划转到乡（镇），人员整体划转到乡（镇），减少97</w:t>
      </w:r>
      <w:r>
        <w:rPr>
          <w:rFonts w:hint="eastAsia" w:ascii="仿宋_GB2312" w:hAnsi="微软雅黑" w:eastAsia="仿宋_GB2312" w:cs="宋体"/>
          <w:color w:val="333333"/>
          <w:kern w:val="0"/>
          <w:sz w:val="32"/>
          <w:szCs w:val="32"/>
          <w:lang w:eastAsia="zh-CN"/>
        </w:rPr>
        <w:t>的</w:t>
      </w:r>
      <w:r>
        <w:rPr>
          <w:rFonts w:hint="eastAsia" w:ascii="仿宋_GB2312" w:hAnsi="微软雅黑" w:eastAsia="仿宋_GB2312" w:cs="宋体"/>
          <w:color w:val="333333"/>
          <w:kern w:val="0"/>
          <w:sz w:val="32"/>
          <w:szCs w:val="32"/>
        </w:rPr>
        <w:t>人员经</w:t>
      </w:r>
      <w:r>
        <w:rPr>
          <w:rFonts w:hint="eastAsia" w:ascii="仿宋_GB2312" w:hAnsi="微软雅黑" w:eastAsia="仿宋_GB2312" w:cs="宋体"/>
          <w:color w:val="333333"/>
          <w:kern w:val="0"/>
          <w:sz w:val="32"/>
          <w:szCs w:val="32"/>
          <w:lang w:eastAsia="zh-CN"/>
        </w:rPr>
        <w:t>费</w:t>
      </w:r>
      <w:r>
        <w:rPr>
          <w:rFonts w:hint="eastAsia" w:ascii="仿宋_GB2312" w:hAnsi="微软雅黑" w:eastAsia="仿宋_GB2312" w:cs="宋体"/>
          <w:color w:val="333333"/>
          <w:kern w:val="0"/>
          <w:sz w:val="32"/>
          <w:szCs w:val="32"/>
        </w:rPr>
        <w:t>及人头工作经费预算</w:t>
      </w:r>
      <w:r>
        <w:rPr>
          <w:rFonts w:hint="eastAsia" w:ascii="仿宋_GB2312" w:hAnsi="微软雅黑" w:eastAsia="仿宋_GB2312" w:cs="宋体"/>
          <w:color w:val="333333"/>
          <w:kern w:val="0"/>
          <w:sz w:val="32"/>
          <w:szCs w:val="32"/>
          <w:lang w:eastAsia="zh-CN"/>
        </w:rPr>
        <w:t>；二是三支一扶人员减少。</w:t>
      </w:r>
    </w:p>
    <w:p>
      <w:pPr>
        <w:rPr>
          <w:rFonts w:hint="eastAsia"/>
        </w:rPr>
      </w:pPr>
    </w:p>
    <w:p>
      <w:pPr>
        <w:pStyle w:val="11"/>
        <w:ind w:left="840" w:hanging="420"/>
      </w:pPr>
    </w:p>
    <w:p>
      <w:pPr>
        <w:jc w:val="center"/>
      </w:pPr>
      <w:r>
        <w:drawing>
          <wp:inline distT="0" distB="0" distL="0" distR="0">
            <wp:extent cx="4583430" cy="2754630"/>
            <wp:effectExtent l="19050" t="0" r="7237" b="0"/>
            <wp:docPr id="1" name="图片 0" descr="图片1-收、支决算总计变动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图片1-收、支决算总计变动图.png"/>
                    <pic:cNvPicPr>
                      <a:picLocks noChangeAspect="1"/>
                    </pic:cNvPicPr>
                  </pic:nvPicPr>
                  <pic:blipFill>
                    <a:blip r:embed="rId6"/>
                    <a:stretch>
                      <a:fillRect/>
                    </a:stretch>
                  </pic:blipFill>
                  <pic:spPr>
                    <a:xfrm>
                      <a:off x="0" y="0"/>
                      <a:ext cx="4583813" cy="2755164"/>
                    </a:xfrm>
                    <a:prstGeom prst="rect">
                      <a:avLst/>
                    </a:prstGeom>
                  </pic:spPr>
                </pic:pic>
              </a:graphicData>
            </a:graphic>
          </wp:inline>
        </w:drawing>
      </w:r>
    </w:p>
    <w:p>
      <w:pPr>
        <w:spacing w:line="600" w:lineRule="exact"/>
        <w:ind w:firstLine="640" w:firstLineChars="200"/>
        <w:jc w:val="center"/>
        <w:rPr>
          <w:rFonts w:ascii="仿宋" w:hAnsi="仿宋" w:eastAsia="仿宋"/>
          <w:sz w:val="32"/>
          <w:szCs w:val="32"/>
        </w:rPr>
      </w:pPr>
      <w:r>
        <w:rPr>
          <w:rFonts w:hint="eastAsia" w:ascii="仿宋" w:hAnsi="仿宋" w:eastAsia="仿宋"/>
          <w:sz w:val="32"/>
          <w:szCs w:val="32"/>
        </w:rPr>
        <w:t>（图</w:t>
      </w:r>
      <w:r>
        <w:rPr>
          <w:rFonts w:ascii="仿宋" w:hAnsi="仿宋" w:eastAsia="仿宋"/>
          <w:sz w:val="32"/>
          <w:szCs w:val="32"/>
        </w:rPr>
        <w:t>1</w:t>
      </w:r>
      <w:r>
        <w:rPr>
          <w:rFonts w:hint="eastAsia" w:ascii="仿宋" w:hAnsi="仿宋" w:eastAsia="仿宋"/>
          <w:sz w:val="32"/>
          <w:szCs w:val="32"/>
        </w:rPr>
        <w:t>：收、支决算总计变动情况图）</w:t>
      </w:r>
    </w:p>
    <w:p>
      <w:pPr>
        <w:spacing w:line="600" w:lineRule="exact"/>
        <w:ind w:firstLine="640" w:firstLineChars="200"/>
        <w:jc w:val="left"/>
        <w:rPr>
          <w:rFonts w:ascii="仿宋_GB2312" w:eastAsia="仿宋_GB2312"/>
          <w:sz w:val="32"/>
          <w:szCs w:val="32"/>
        </w:rPr>
      </w:pPr>
    </w:p>
    <w:p>
      <w:pPr>
        <w:pStyle w:val="25"/>
        <w:numPr>
          <w:ilvl w:val="0"/>
          <w:numId w:val="2"/>
        </w:numPr>
        <w:spacing w:line="600" w:lineRule="exact"/>
        <w:ind w:firstLineChars="0"/>
        <w:outlineLvl w:val="1"/>
        <w:rPr>
          <w:rStyle w:val="27"/>
          <w:rFonts w:ascii="黑体" w:hAnsi="黑体" w:eastAsia="黑体"/>
          <w:b w:val="0"/>
        </w:rPr>
      </w:pPr>
      <w:bookmarkStart w:id="25" w:name="_Toc18682"/>
      <w:bookmarkStart w:id="26" w:name="_Toc15377206"/>
      <w:bookmarkStart w:id="27" w:name="_Toc15396604"/>
      <w:r>
        <w:rPr>
          <w:rFonts w:hint="eastAsia" w:ascii="黑体" w:hAnsi="黑体" w:eastAsia="黑体"/>
          <w:sz w:val="32"/>
          <w:szCs w:val="32"/>
        </w:rPr>
        <w:t>收</w:t>
      </w:r>
      <w:r>
        <w:rPr>
          <w:rStyle w:val="27"/>
          <w:rFonts w:hint="eastAsia" w:ascii="黑体" w:hAnsi="黑体" w:eastAsia="黑体"/>
          <w:b w:val="0"/>
        </w:rPr>
        <w:t>入决算情况说明</w:t>
      </w:r>
      <w:bookmarkEnd w:id="25"/>
      <w:bookmarkEnd w:id="26"/>
      <w:bookmarkEnd w:id="27"/>
    </w:p>
    <w:p>
      <w:pPr>
        <w:spacing w:line="600" w:lineRule="exact"/>
        <w:ind w:firstLine="640" w:firstLineChars="200"/>
        <w:outlineLvl w:val="9"/>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21年本年收入合计742.28万元，其中：一般公共预算财政拨款收入742.28万元，占100</w:t>
      </w:r>
      <w:r>
        <w:rPr>
          <w:rFonts w:ascii="仿宋" w:hAnsi="仿宋" w:eastAsia="仿宋"/>
          <w:sz w:val="32"/>
          <w:szCs w:val="32"/>
        </w:rPr>
        <w:t>%</w:t>
      </w:r>
      <w:r>
        <w:rPr>
          <w:rFonts w:hint="eastAsia" w:ascii="仿宋" w:hAnsi="仿宋" w:eastAsia="仿宋"/>
          <w:sz w:val="32"/>
          <w:szCs w:val="32"/>
        </w:rPr>
        <w:t>。</w:t>
      </w:r>
    </w:p>
    <w:p>
      <w:pPr>
        <w:spacing w:line="600" w:lineRule="exact"/>
        <w:ind w:firstLine="640" w:firstLineChars="200"/>
        <w:outlineLvl w:val="9"/>
        <w:rPr>
          <w:rFonts w:hint="eastAsia" w:ascii="仿宋" w:hAnsi="仿宋" w:eastAsia="仿宋"/>
          <w:sz w:val="32"/>
          <w:szCs w:val="32"/>
        </w:rPr>
      </w:pPr>
    </w:p>
    <w:p>
      <w:pPr>
        <w:pStyle w:val="11"/>
        <w:ind w:left="840" w:hanging="420"/>
      </w:pPr>
    </w:p>
    <w:p>
      <w:pPr>
        <w:rPr>
          <w:rFonts w:hint="eastAsia"/>
        </w:rPr>
      </w:pPr>
    </w:p>
    <w:p>
      <w:pPr>
        <w:pStyle w:val="11"/>
        <w:ind w:left="840" w:hanging="420"/>
        <w:jc w:val="center"/>
      </w:pPr>
      <w:r>
        <w:drawing>
          <wp:inline distT="0" distB="0" distL="0" distR="0">
            <wp:extent cx="4583430" cy="2571750"/>
            <wp:effectExtent l="19050" t="0" r="7237" b="0"/>
            <wp:docPr id="2" name="图片 1" descr="图片2-收入决算机构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片2-收入决算机构图.png"/>
                    <pic:cNvPicPr>
                      <a:picLocks noChangeAspect="1"/>
                    </pic:cNvPicPr>
                  </pic:nvPicPr>
                  <pic:blipFill>
                    <a:blip r:embed="rId7"/>
                    <a:stretch>
                      <a:fillRect/>
                    </a:stretch>
                  </pic:blipFill>
                  <pic:spPr>
                    <a:xfrm>
                      <a:off x="0" y="0"/>
                      <a:ext cx="4583813" cy="2572300"/>
                    </a:xfrm>
                    <a:prstGeom prst="rect">
                      <a:avLst/>
                    </a:prstGeom>
                  </pic:spPr>
                </pic:pic>
              </a:graphicData>
            </a:graphic>
          </wp:inline>
        </w:drawing>
      </w:r>
    </w:p>
    <w:p>
      <w:pPr>
        <w:spacing w:line="600" w:lineRule="exact"/>
        <w:ind w:firstLine="640" w:firstLineChars="200"/>
        <w:jc w:val="center"/>
        <w:rPr>
          <w:rFonts w:ascii="仿宋" w:hAnsi="仿宋" w:eastAsia="仿宋"/>
          <w:sz w:val="32"/>
          <w:szCs w:val="32"/>
        </w:rPr>
      </w:pPr>
      <w:r>
        <w:rPr>
          <w:rFonts w:hint="eastAsia" w:ascii="仿宋" w:hAnsi="仿宋" w:eastAsia="仿宋"/>
          <w:sz w:val="32"/>
          <w:szCs w:val="32"/>
        </w:rPr>
        <w:t>（图2：收入决算结构图）</w:t>
      </w:r>
    </w:p>
    <w:p>
      <w:pPr>
        <w:spacing w:line="600" w:lineRule="exact"/>
        <w:ind w:firstLine="640" w:firstLineChars="200"/>
        <w:rPr>
          <w:rFonts w:ascii="仿宋_GB2312" w:eastAsia="仿宋_GB2312"/>
          <w:sz w:val="32"/>
          <w:szCs w:val="32"/>
        </w:rPr>
      </w:pPr>
    </w:p>
    <w:p>
      <w:pPr>
        <w:pStyle w:val="25"/>
        <w:numPr>
          <w:ilvl w:val="0"/>
          <w:numId w:val="2"/>
        </w:numPr>
        <w:spacing w:line="600" w:lineRule="exact"/>
        <w:ind w:firstLineChars="0"/>
        <w:outlineLvl w:val="1"/>
        <w:rPr>
          <w:rStyle w:val="27"/>
          <w:rFonts w:ascii="黑体" w:hAnsi="黑体" w:eastAsia="黑体"/>
          <w:b w:val="0"/>
        </w:rPr>
      </w:pPr>
      <w:bookmarkStart w:id="28" w:name="_Toc4037"/>
      <w:bookmarkStart w:id="29" w:name="_Toc15396605"/>
      <w:bookmarkStart w:id="30" w:name="_Toc15377207"/>
      <w:r>
        <w:rPr>
          <w:rFonts w:hint="eastAsia" w:ascii="黑体" w:hAnsi="黑体" w:eastAsia="黑体"/>
          <w:sz w:val="32"/>
          <w:szCs w:val="32"/>
        </w:rPr>
        <w:t>支</w:t>
      </w:r>
      <w:r>
        <w:rPr>
          <w:rStyle w:val="27"/>
          <w:rFonts w:hint="eastAsia" w:ascii="黑体" w:hAnsi="黑体" w:eastAsia="黑体"/>
          <w:b w:val="0"/>
        </w:rPr>
        <w:t>出决算情况说明</w:t>
      </w:r>
      <w:bookmarkEnd w:id="28"/>
      <w:bookmarkEnd w:id="29"/>
      <w:bookmarkEnd w:id="30"/>
    </w:p>
    <w:p>
      <w:pPr>
        <w:spacing w:line="600" w:lineRule="exact"/>
        <w:ind w:firstLine="640" w:firstLineChars="200"/>
        <w:outlineLvl w:val="9"/>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21年本年支出合计1030.13万元，其中：基本支出705.16万元，占68.45</w:t>
      </w:r>
      <w:r>
        <w:rPr>
          <w:rFonts w:ascii="仿宋" w:hAnsi="仿宋" w:eastAsia="仿宋"/>
          <w:sz w:val="32"/>
          <w:szCs w:val="32"/>
        </w:rPr>
        <w:t>%</w:t>
      </w:r>
      <w:r>
        <w:rPr>
          <w:rFonts w:hint="eastAsia" w:ascii="仿宋" w:hAnsi="仿宋" w:eastAsia="仿宋"/>
          <w:sz w:val="32"/>
          <w:szCs w:val="32"/>
        </w:rPr>
        <w:t>；项目支出324.97万元，占31.55。</w:t>
      </w:r>
    </w:p>
    <w:p>
      <w:pPr>
        <w:rPr>
          <w:rFonts w:hint="eastAsia"/>
        </w:rPr>
      </w:pPr>
    </w:p>
    <w:p>
      <w:pPr>
        <w:rPr>
          <w:rFonts w:hint="eastAsia"/>
        </w:rPr>
      </w:pPr>
    </w:p>
    <w:p>
      <w:pPr>
        <w:pStyle w:val="11"/>
        <w:ind w:left="840" w:hanging="420"/>
        <w:jc w:val="center"/>
      </w:pPr>
      <w:r>
        <w:drawing>
          <wp:inline distT="0" distB="0" distL="0" distR="0">
            <wp:extent cx="4583430" cy="2754630"/>
            <wp:effectExtent l="19050" t="0" r="7237" b="0"/>
            <wp:docPr id="4" name="图片 3" descr="图片3-支出决算结构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图片3-支出决算结构图.png"/>
                    <pic:cNvPicPr>
                      <a:picLocks noChangeAspect="1"/>
                    </pic:cNvPicPr>
                  </pic:nvPicPr>
                  <pic:blipFill>
                    <a:blip r:embed="rId8"/>
                    <a:stretch>
                      <a:fillRect/>
                    </a:stretch>
                  </pic:blipFill>
                  <pic:spPr>
                    <a:xfrm>
                      <a:off x="0" y="0"/>
                      <a:ext cx="4583813" cy="2755164"/>
                    </a:xfrm>
                    <a:prstGeom prst="rect">
                      <a:avLst/>
                    </a:prstGeom>
                  </pic:spPr>
                </pic:pic>
              </a:graphicData>
            </a:graphic>
          </wp:inline>
        </w:drawing>
      </w:r>
    </w:p>
    <w:p/>
    <w:p>
      <w:pPr>
        <w:spacing w:line="600" w:lineRule="exact"/>
        <w:ind w:firstLine="640" w:firstLineChars="200"/>
        <w:jc w:val="center"/>
        <w:rPr>
          <w:rFonts w:ascii="仿宋" w:hAnsi="仿宋" w:eastAsia="仿宋"/>
          <w:sz w:val="32"/>
          <w:szCs w:val="32"/>
        </w:rPr>
      </w:pPr>
      <w:r>
        <w:rPr>
          <w:rFonts w:hint="eastAsia" w:ascii="仿宋" w:hAnsi="仿宋" w:eastAsia="仿宋"/>
          <w:sz w:val="32"/>
          <w:szCs w:val="32"/>
        </w:rPr>
        <w:t>（图3：支出决算结构图）</w:t>
      </w:r>
    </w:p>
    <w:p>
      <w:pPr>
        <w:spacing w:line="600" w:lineRule="exact"/>
        <w:ind w:firstLine="640" w:firstLineChars="200"/>
        <w:rPr>
          <w:rFonts w:ascii="仿宋_GB2312" w:eastAsia="仿宋_GB2312"/>
          <w:sz w:val="32"/>
          <w:szCs w:val="32"/>
        </w:rPr>
      </w:pPr>
    </w:p>
    <w:p>
      <w:pPr>
        <w:spacing w:line="600" w:lineRule="exact"/>
        <w:ind w:firstLine="640" w:firstLineChars="200"/>
        <w:outlineLvl w:val="1"/>
        <w:rPr>
          <w:rStyle w:val="27"/>
          <w:rFonts w:ascii="黑体" w:hAnsi="黑体" w:eastAsia="黑体"/>
          <w:b w:val="0"/>
        </w:rPr>
      </w:pPr>
      <w:bookmarkStart w:id="31" w:name="_Toc11152"/>
      <w:bookmarkStart w:id="32" w:name="_Toc15377208"/>
      <w:bookmarkStart w:id="33" w:name="_Toc15396606"/>
      <w:r>
        <w:rPr>
          <w:rFonts w:hint="eastAsia" w:ascii="黑体" w:hAnsi="黑体" w:eastAsia="黑体"/>
          <w:sz w:val="32"/>
          <w:szCs w:val="32"/>
        </w:rPr>
        <w:t>四、财</w:t>
      </w:r>
      <w:r>
        <w:rPr>
          <w:rStyle w:val="27"/>
          <w:rFonts w:hint="eastAsia" w:ascii="黑体" w:hAnsi="黑体" w:eastAsia="黑体"/>
          <w:b w:val="0"/>
        </w:rPr>
        <w:t>政拨款收入支出决算总体情况说明</w:t>
      </w:r>
      <w:bookmarkEnd w:id="31"/>
      <w:bookmarkEnd w:id="32"/>
      <w:bookmarkEnd w:id="33"/>
    </w:p>
    <w:p>
      <w:pPr>
        <w:ind w:firstLine="640" w:firstLineChars="200"/>
        <w:rPr>
          <w:rFonts w:ascii="宋体" w:hAnsi="宋体" w:cs="宋体"/>
          <w:kern w:val="0"/>
          <w:sz w:val="24"/>
        </w:rPr>
      </w:pPr>
      <w:r>
        <w:rPr>
          <w:rFonts w:ascii="仿宋" w:hAnsi="仿宋" w:eastAsia="仿宋"/>
          <w:sz w:val="32"/>
          <w:szCs w:val="32"/>
        </w:rPr>
        <w:t>20</w:t>
      </w:r>
      <w:r>
        <w:rPr>
          <w:rFonts w:hint="eastAsia" w:ascii="仿宋" w:hAnsi="仿宋" w:eastAsia="仿宋"/>
          <w:sz w:val="32"/>
          <w:szCs w:val="32"/>
        </w:rPr>
        <w:t>21年财政拨款收、支总计1047.07万元。与</w:t>
      </w:r>
      <w:r>
        <w:rPr>
          <w:rFonts w:ascii="仿宋" w:hAnsi="仿宋" w:eastAsia="仿宋"/>
          <w:sz w:val="32"/>
          <w:szCs w:val="32"/>
        </w:rPr>
        <w:t>20</w:t>
      </w:r>
      <w:r>
        <w:rPr>
          <w:rFonts w:hint="eastAsia" w:ascii="仿宋" w:hAnsi="仿宋" w:eastAsia="仿宋"/>
          <w:sz w:val="32"/>
          <w:szCs w:val="32"/>
        </w:rPr>
        <w:t>20年相比，财政拨款收、支总计各减少1154.24万元，下降52.43</w:t>
      </w:r>
      <w:r>
        <w:rPr>
          <w:rFonts w:ascii="仿宋" w:hAnsi="仿宋" w:eastAsia="仿宋"/>
          <w:sz w:val="32"/>
          <w:szCs w:val="32"/>
        </w:rPr>
        <w:t>%</w:t>
      </w:r>
      <w:r>
        <w:rPr>
          <w:rFonts w:hint="eastAsia" w:ascii="仿宋" w:hAnsi="仿宋" w:eastAsia="仿宋"/>
          <w:sz w:val="32"/>
          <w:szCs w:val="32"/>
        </w:rPr>
        <w:t>。主要变动原因是</w:t>
      </w:r>
      <w:r>
        <w:rPr>
          <w:rFonts w:hint="eastAsia" w:ascii="仿宋_GB2312" w:hAnsi="微软雅黑" w:eastAsia="仿宋_GB2312" w:cs="宋体"/>
          <w:color w:val="333333"/>
          <w:kern w:val="0"/>
          <w:sz w:val="32"/>
          <w:szCs w:val="32"/>
          <w:lang w:eastAsia="zh-CN"/>
        </w:rPr>
        <w:t>一是</w:t>
      </w:r>
      <w:r>
        <w:rPr>
          <w:rFonts w:hint="eastAsia" w:ascii="仿宋_GB2312" w:hAnsi="微软雅黑" w:eastAsia="仿宋_GB2312" w:cs="宋体"/>
          <w:color w:val="333333"/>
          <w:kern w:val="0"/>
          <w:sz w:val="32"/>
          <w:szCs w:val="32"/>
        </w:rPr>
        <w:t>2021年乡（镇）人力资源和社会保障服务所机构划转到乡（镇），人员整体划转到乡（镇），减少97</w:t>
      </w:r>
      <w:r>
        <w:rPr>
          <w:rFonts w:hint="eastAsia" w:ascii="仿宋_GB2312" w:hAnsi="微软雅黑" w:eastAsia="仿宋_GB2312" w:cs="宋体"/>
          <w:color w:val="333333"/>
          <w:kern w:val="0"/>
          <w:sz w:val="32"/>
          <w:szCs w:val="32"/>
          <w:lang w:eastAsia="zh-CN"/>
        </w:rPr>
        <w:t>的</w:t>
      </w:r>
      <w:r>
        <w:rPr>
          <w:rFonts w:hint="eastAsia" w:ascii="仿宋_GB2312" w:hAnsi="微软雅黑" w:eastAsia="仿宋_GB2312" w:cs="宋体"/>
          <w:color w:val="333333"/>
          <w:kern w:val="0"/>
          <w:sz w:val="32"/>
          <w:szCs w:val="32"/>
        </w:rPr>
        <w:t>人员经</w:t>
      </w:r>
      <w:r>
        <w:rPr>
          <w:rFonts w:hint="eastAsia" w:ascii="仿宋_GB2312" w:hAnsi="微软雅黑" w:eastAsia="仿宋_GB2312" w:cs="宋体"/>
          <w:color w:val="333333"/>
          <w:kern w:val="0"/>
          <w:sz w:val="32"/>
          <w:szCs w:val="32"/>
          <w:lang w:eastAsia="zh-CN"/>
        </w:rPr>
        <w:t>费</w:t>
      </w:r>
      <w:r>
        <w:rPr>
          <w:rFonts w:hint="eastAsia" w:ascii="仿宋_GB2312" w:hAnsi="微软雅黑" w:eastAsia="仿宋_GB2312" w:cs="宋体"/>
          <w:color w:val="333333"/>
          <w:kern w:val="0"/>
          <w:sz w:val="32"/>
          <w:szCs w:val="32"/>
        </w:rPr>
        <w:t>及人头工作经费预算</w:t>
      </w:r>
      <w:r>
        <w:rPr>
          <w:rFonts w:hint="eastAsia" w:ascii="仿宋_GB2312" w:hAnsi="微软雅黑" w:eastAsia="仿宋_GB2312" w:cs="宋体"/>
          <w:color w:val="333333"/>
          <w:kern w:val="0"/>
          <w:sz w:val="32"/>
          <w:szCs w:val="32"/>
          <w:lang w:eastAsia="zh-CN"/>
        </w:rPr>
        <w:t>；二是三支一扶人员减少。</w:t>
      </w:r>
    </w:p>
    <w:p>
      <w:pPr>
        <w:rPr>
          <w:rFonts w:hint="eastAsia"/>
        </w:rPr>
      </w:pPr>
    </w:p>
    <w:p>
      <w:pPr>
        <w:pStyle w:val="11"/>
        <w:ind w:left="840" w:hanging="420"/>
        <w:jc w:val="center"/>
      </w:pPr>
      <w:r>
        <w:drawing>
          <wp:inline distT="0" distB="0" distL="0" distR="0">
            <wp:extent cx="4589780" cy="2803525"/>
            <wp:effectExtent l="19050" t="0" r="1141" b="0"/>
            <wp:docPr id="6" name="图片 5" descr="图片4-财政拨款收、支决算总计变动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图片4-财政拨款收、支决算总计变动图.png"/>
                    <pic:cNvPicPr>
                      <a:picLocks noChangeAspect="1"/>
                    </pic:cNvPicPr>
                  </pic:nvPicPr>
                  <pic:blipFill>
                    <a:blip r:embed="rId9"/>
                    <a:stretch>
                      <a:fillRect/>
                    </a:stretch>
                  </pic:blipFill>
                  <pic:spPr>
                    <a:xfrm>
                      <a:off x="0" y="0"/>
                      <a:ext cx="4589909" cy="2803928"/>
                    </a:xfrm>
                    <a:prstGeom prst="rect">
                      <a:avLst/>
                    </a:prstGeom>
                  </pic:spPr>
                </pic:pic>
              </a:graphicData>
            </a:graphic>
          </wp:inline>
        </w:drawing>
      </w:r>
    </w:p>
    <w:p>
      <w:pPr>
        <w:spacing w:line="600" w:lineRule="exact"/>
        <w:jc w:val="center"/>
        <w:rPr>
          <w:rFonts w:ascii="仿宋" w:hAnsi="仿宋" w:eastAsia="仿宋"/>
          <w:sz w:val="32"/>
          <w:szCs w:val="32"/>
        </w:rPr>
      </w:pPr>
      <w:r>
        <w:rPr>
          <w:rFonts w:hint="eastAsia" w:ascii="仿宋" w:hAnsi="仿宋" w:eastAsia="仿宋"/>
          <w:sz w:val="32"/>
          <w:szCs w:val="32"/>
        </w:rPr>
        <w:t>（图4：财政拨款收、支决算总计变动情况）</w:t>
      </w:r>
    </w:p>
    <w:p>
      <w:pPr>
        <w:spacing w:line="600" w:lineRule="exact"/>
        <w:ind w:firstLine="640"/>
        <w:rPr>
          <w:rFonts w:ascii="仿宋" w:hAnsi="仿宋" w:eastAsia="仿宋"/>
          <w:b/>
          <w:sz w:val="32"/>
          <w:szCs w:val="32"/>
        </w:rPr>
      </w:pPr>
    </w:p>
    <w:p>
      <w:pPr>
        <w:spacing w:line="600" w:lineRule="exact"/>
        <w:ind w:firstLine="640" w:firstLineChars="200"/>
        <w:outlineLvl w:val="1"/>
        <w:rPr>
          <w:rStyle w:val="27"/>
          <w:rFonts w:ascii="黑体" w:hAnsi="黑体" w:eastAsia="黑体"/>
          <w:b w:val="0"/>
        </w:rPr>
      </w:pPr>
      <w:bookmarkStart w:id="34" w:name="_Toc15377209"/>
      <w:bookmarkStart w:id="35" w:name="_Toc16924"/>
      <w:bookmarkStart w:id="36" w:name="_Toc15396607"/>
      <w:r>
        <w:rPr>
          <w:rFonts w:hint="eastAsia" w:ascii="黑体" w:hAnsi="黑体" w:eastAsia="黑体"/>
          <w:sz w:val="32"/>
          <w:szCs w:val="32"/>
        </w:rPr>
        <w:t>五、</w:t>
      </w:r>
      <w:r>
        <w:rPr>
          <w:rFonts w:hint="eastAsia" w:ascii="黑体" w:hAnsi="黑体" w:eastAsia="黑体"/>
          <w:b/>
          <w:sz w:val="32"/>
          <w:szCs w:val="32"/>
        </w:rPr>
        <w:t>一</w:t>
      </w:r>
      <w:r>
        <w:rPr>
          <w:rStyle w:val="27"/>
          <w:rFonts w:hint="eastAsia" w:ascii="黑体" w:hAnsi="黑体" w:eastAsia="黑体"/>
          <w:b w:val="0"/>
        </w:rPr>
        <w:t>般公共预算财政拨款支出决算情况说明</w:t>
      </w:r>
      <w:bookmarkEnd w:id="34"/>
      <w:bookmarkEnd w:id="35"/>
      <w:bookmarkEnd w:id="36"/>
    </w:p>
    <w:p>
      <w:pPr>
        <w:spacing w:line="600" w:lineRule="exact"/>
        <w:ind w:firstLine="643" w:firstLineChars="200"/>
        <w:outlineLvl w:val="2"/>
        <w:rPr>
          <w:rFonts w:ascii="仿宋" w:hAnsi="仿宋" w:eastAsia="仿宋"/>
          <w:b/>
          <w:sz w:val="32"/>
          <w:szCs w:val="32"/>
        </w:rPr>
      </w:pPr>
      <w:bookmarkStart w:id="37" w:name="_Toc15377210"/>
      <w:r>
        <w:rPr>
          <w:rFonts w:hint="eastAsia" w:ascii="仿宋" w:hAnsi="仿宋" w:eastAsia="仿宋"/>
          <w:b/>
          <w:sz w:val="32"/>
          <w:szCs w:val="32"/>
        </w:rPr>
        <w:t>（一）一般公共预算财政拨款支出决算总体情况</w:t>
      </w:r>
      <w:bookmarkEnd w:id="37"/>
    </w:p>
    <w:p>
      <w:pPr>
        <w:ind w:firstLine="640" w:firstLineChars="200"/>
      </w:pPr>
      <w:r>
        <w:rPr>
          <w:rFonts w:ascii="仿宋" w:hAnsi="仿宋" w:eastAsia="仿宋"/>
          <w:sz w:val="32"/>
          <w:szCs w:val="32"/>
        </w:rPr>
        <w:t>20</w:t>
      </w:r>
      <w:r>
        <w:rPr>
          <w:rFonts w:hint="eastAsia" w:ascii="仿宋" w:hAnsi="仿宋" w:eastAsia="仿宋"/>
          <w:sz w:val="32"/>
          <w:szCs w:val="32"/>
        </w:rPr>
        <w:t>21年一般公共预算财政拨款支出1030.13万元，占本年支出合计的100</w:t>
      </w:r>
      <w:r>
        <w:rPr>
          <w:rFonts w:ascii="仿宋" w:hAnsi="仿宋" w:eastAsia="仿宋"/>
          <w:sz w:val="32"/>
          <w:szCs w:val="32"/>
        </w:rPr>
        <w:t>%</w:t>
      </w:r>
      <w:r>
        <w:rPr>
          <w:rFonts w:hint="eastAsia" w:ascii="仿宋" w:hAnsi="仿宋" w:eastAsia="仿宋"/>
          <w:sz w:val="32"/>
          <w:szCs w:val="32"/>
        </w:rPr>
        <w:t>。与</w:t>
      </w:r>
      <w:r>
        <w:rPr>
          <w:rFonts w:ascii="仿宋" w:hAnsi="仿宋" w:eastAsia="仿宋"/>
          <w:sz w:val="32"/>
          <w:szCs w:val="32"/>
        </w:rPr>
        <w:t>20</w:t>
      </w:r>
      <w:r>
        <w:rPr>
          <w:rFonts w:hint="eastAsia" w:ascii="仿宋" w:hAnsi="仿宋" w:eastAsia="仿宋"/>
          <w:sz w:val="32"/>
          <w:szCs w:val="32"/>
        </w:rPr>
        <w:t>20年相比，一般公共预算财政拨款支出减少1135.06万元，下降52.42</w:t>
      </w:r>
      <w:r>
        <w:rPr>
          <w:rFonts w:ascii="仿宋" w:hAnsi="仿宋" w:eastAsia="仿宋"/>
          <w:sz w:val="32"/>
          <w:szCs w:val="32"/>
        </w:rPr>
        <w:t>%</w:t>
      </w:r>
      <w:r>
        <w:rPr>
          <w:rFonts w:hint="eastAsia" w:ascii="仿宋" w:hAnsi="仿宋" w:eastAsia="仿宋"/>
          <w:sz w:val="32"/>
          <w:szCs w:val="32"/>
        </w:rPr>
        <w:t>。主要变动原因</w:t>
      </w:r>
      <w:r>
        <w:rPr>
          <w:rFonts w:hint="eastAsia" w:ascii="仿宋_GB2312" w:hAnsi="微软雅黑" w:eastAsia="仿宋_GB2312" w:cs="宋体"/>
          <w:color w:val="333333"/>
          <w:kern w:val="0"/>
          <w:sz w:val="32"/>
          <w:szCs w:val="32"/>
          <w:lang w:eastAsia="zh-CN"/>
        </w:rPr>
        <w:t>一是</w:t>
      </w:r>
      <w:r>
        <w:rPr>
          <w:rFonts w:hint="eastAsia" w:ascii="仿宋_GB2312" w:hAnsi="微软雅黑" w:eastAsia="仿宋_GB2312" w:cs="宋体"/>
          <w:color w:val="333333"/>
          <w:kern w:val="0"/>
          <w:sz w:val="32"/>
          <w:szCs w:val="32"/>
        </w:rPr>
        <w:t>2021年乡（镇）人力资源和社会保障服务所机构划转到乡（镇），人员整体划转到乡（镇），减少97</w:t>
      </w:r>
      <w:r>
        <w:rPr>
          <w:rFonts w:hint="eastAsia" w:ascii="仿宋_GB2312" w:hAnsi="微软雅黑" w:eastAsia="仿宋_GB2312" w:cs="宋体"/>
          <w:color w:val="333333"/>
          <w:kern w:val="0"/>
          <w:sz w:val="32"/>
          <w:szCs w:val="32"/>
          <w:lang w:eastAsia="zh-CN"/>
        </w:rPr>
        <w:t>的</w:t>
      </w:r>
      <w:r>
        <w:rPr>
          <w:rFonts w:hint="eastAsia" w:ascii="仿宋_GB2312" w:hAnsi="微软雅黑" w:eastAsia="仿宋_GB2312" w:cs="宋体"/>
          <w:color w:val="333333"/>
          <w:kern w:val="0"/>
          <w:sz w:val="32"/>
          <w:szCs w:val="32"/>
        </w:rPr>
        <w:t>人员经</w:t>
      </w:r>
      <w:r>
        <w:rPr>
          <w:rFonts w:hint="eastAsia" w:ascii="仿宋_GB2312" w:hAnsi="微软雅黑" w:eastAsia="仿宋_GB2312" w:cs="宋体"/>
          <w:color w:val="333333"/>
          <w:kern w:val="0"/>
          <w:sz w:val="32"/>
          <w:szCs w:val="32"/>
          <w:lang w:eastAsia="zh-CN"/>
        </w:rPr>
        <w:t>费</w:t>
      </w:r>
      <w:r>
        <w:rPr>
          <w:rFonts w:hint="eastAsia" w:ascii="仿宋_GB2312" w:hAnsi="微软雅黑" w:eastAsia="仿宋_GB2312" w:cs="宋体"/>
          <w:color w:val="333333"/>
          <w:kern w:val="0"/>
          <w:sz w:val="32"/>
          <w:szCs w:val="32"/>
        </w:rPr>
        <w:t>及人头工作经费预算</w:t>
      </w:r>
      <w:r>
        <w:rPr>
          <w:rFonts w:hint="eastAsia" w:ascii="仿宋_GB2312" w:hAnsi="微软雅黑" w:eastAsia="仿宋_GB2312" w:cs="宋体"/>
          <w:color w:val="333333"/>
          <w:kern w:val="0"/>
          <w:sz w:val="32"/>
          <w:szCs w:val="32"/>
          <w:lang w:eastAsia="zh-CN"/>
        </w:rPr>
        <w:t>；二是三支一扶人员减少。</w:t>
      </w:r>
    </w:p>
    <w:p>
      <w:pPr>
        <w:rPr>
          <w:rFonts w:hint="eastAsia"/>
        </w:rPr>
      </w:pPr>
    </w:p>
    <w:p>
      <w:pPr>
        <w:pStyle w:val="11"/>
        <w:ind w:left="840" w:hanging="420"/>
        <w:jc w:val="center"/>
        <w:rPr>
          <w:rFonts w:hint="eastAsia" w:eastAsia="宋体"/>
          <w:lang w:eastAsia="zh-CN"/>
        </w:rPr>
      </w:pPr>
      <w:r>
        <w:rPr>
          <w:rFonts w:hint="eastAsia" w:eastAsia="宋体"/>
          <w:lang w:eastAsia="zh-CN"/>
        </w:rPr>
        <w:drawing>
          <wp:inline distT="0" distB="0" distL="114300" distR="114300">
            <wp:extent cx="4590415" cy="2804160"/>
            <wp:effectExtent l="0" t="0" r="12065" b="0"/>
            <wp:docPr id="3" name="图片 3" descr="图片5-一般公共预算财政拨款支出决算变动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图片5-一般公共预算财政拨款支出决算变动图"/>
                    <pic:cNvPicPr>
                      <a:picLocks noChangeAspect="1"/>
                    </pic:cNvPicPr>
                  </pic:nvPicPr>
                  <pic:blipFill>
                    <a:blip r:embed="rId10"/>
                    <a:stretch>
                      <a:fillRect/>
                    </a:stretch>
                  </pic:blipFill>
                  <pic:spPr>
                    <a:xfrm>
                      <a:off x="0" y="0"/>
                      <a:ext cx="4590415" cy="2804160"/>
                    </a:xfrm>
                    <a:prstGeom prst="rect">
                      <a:avLst/>
                    </a:prstGeom>
                  </pic:spPr>
                </pic:pic>
              </a:graphicData>
            </a:graphic>
          </wp:inline>
        </w:drawing>
      </w:r>
    </w:p>
    <w:p>
      <w:pPr>
        <w:spacing w:line="600" w:lineRule="exact"/>
        <w:jc w:val="both"/>
        <w:rPr>
          <w:rFonts w:ascii="仿宋" w:hAnsi="仿宋" w:eastAsia="仿宋"/>
          <w:sz w:val="32"/>
          <w:szCs w:val="32"/>
        </w:rPr>
      </w:pPr>
      <w:r>
        <w:rPr>
          <w:rFonts w:hint="eastAsia" w:ascii="仿宋" w:hAnsi="仿宋" w:eastAsia="仿宋"/>
          <w:sz w:val="32"/>
          <w:szCs w:val="32"/>
        </w:rPr>
        <w:t>（图5：一般公共预算财政拨款支出决算变动情况）</w:t>
      </w:r>
    </w:p>
    <w:p>
      <w:pPr>
        <w:spacing w:line="600" w:lineRule="exact"/>
        <w:ind w:firstLine="643" w:firstLineChars="200"/>
        <w:outlineLvl w:val="2"/>
        <w:rPr>
          <w:rFonts w:ascii="仿宋" w:hAnsi="仿宋" w:eastAsia="仿宋"/>
          <w:b/>
          <w:sz w:val="32"/>
          <w:szCs w:val="32"/>
        </w:rPr>
      </w:pPr>
      <w:bookmarkStart w:id="38" w:name="_Toc15377211"/>
      <w:r>
        <w:rPr>
          <w:rFonts w:hint="eastAsia" w:ascii="仿宋" w:hAnsi="仿宋" w:eastAsia="仿宋"/>
          <w:b/>
          <w:sz w:val="32"/>
          <w:szCs w:val="32"/>
        </w:rPr>
        <w:t>（二）一般公共预算财政拨款支出决算结构情况</w:t>
      </w:r>
      <w:bookmarkEnd w:id="38"/>
    </w:p>
    <w:p>
      <w:pPr>
        <w:spacing w:line="600" w:lineRule="exact"/>
        <w:ind w:firstLine="640"/>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21年一般公共预算财政拨款支出1030.13万元，主要用于以下方面</w:t>
      </w:r>
      <w:r>
        <w:rPr>
          <w:rFonts w:ascii="仿宋" w:hAnsi="仿宋" w:eastAsia="仿宋"/>
          <w:sz w:val="32"/>
          <w:szCs w:val="32"/>
        </w:rPr>
        <w:t>:</w:t>
      </w:r>
      <w:r>
        <w:rPr>
          <w:rFonts w:hint="eastAsia" w:ascii="仿宋" w:hAnsi="仿宋" w:eastAsia="仿宋"/>
          <w:b/>
          <w:sz w:val="32"/>
          <w:szCs w:val="32"/>
        </w:rPr>
        <w:t>一般公共服务（类）</w:t>
      </w:r>
      <w:r>
        <w:rPr>
          <w:rFonts w:hint="eastAsia" w:ascii="仿宋" w:hAnsi="仿宋" w:eastAsia="仿宋"/>
          <w:sz w:val="32"/>
          <w:szCs w:val="32"/>
        </w:rPr>
        <w:t>支出88.90万元，占8.63</w:t>
      </w:r>
      <w:r>
        <w:rPr>
          <w:rFonts w:ascii="仿宋" w:hAnsi="仿宋" w:eastAsia="仿宋"/>
          <w:sz w:val="32"/>
          <w:szCs w:val="32"/>
        </w:rPr>
        <w:t>%</w:t>
      </w:r>
      <w:r>
        <w:rPr>
          <w:rFonts w:hint="eastAsia" w:ascii="仿宋" w:hAnsi="仿宋" w:eastAsia="仿宋"/>
          <w:sz w:val="32"/>
          <w:szCs w:val="32"/>
        </w:rPr>
        <w:t>；</w:t>
      </w:r>
      <w:r>
        <w:rPr>
          <w:rFonts w:hint="eastAsia" w:ascii="仿宋" w:hAnsi="仿宋" w:eastAsia="仿宋"/>
          <w:b/>
          <w:sz w:val="32"/>
          <w:szCs w:val="32"/>
        </w:rPr>
        <w:t>科学技术（类）</w:t>
      </w:r>
      <w:r>
        <w:rPr>
          <w:rFonts w:hint="eastAsia" w:ascii="仿宋" w:hAnsi="仿宋" w:eastAsia="仿宋"/>
          <w:sz w:val="32"/>
          <w:szCs w:val="32"/>
        </w:rPr>
        <w:t>支出45.67万元，占4.43</w:t>
      </w:r>
      <w:r>
        <w:rPr>
          <w:rFonts w:ascii="仿宋" w:hAnsi="仿宋" w:eastAsia="仿宋"/>
          <w:sz w:val="32"/>
          <w:szCs w:val="32"/>
        </w:rPr>
        <w:t>%</w:t>
      </w:r>
      <w:r>
        <w:rPr>
          <w:rFonts w:hint="eastAsia" w:ascii="仿宋" w:hAnsi="仿宋" w:eastAsia="仿宋"/>
          <w:sz w:val="32"/>
          <w:szCs w:val="32"/>
        </w:rPr>
        <w:t>；</w:t>
      </w:r>
      <w:r>
        <w:rPr>
          <w:rFonts w:hint="eastAsia" w:ascii="仿宋" w:hAnsi="仿宋" w:eastAsia="仿宋"/>
          <w:b/>
          <w:sz w:val="32"/>
          <w:szCs w:val="32"/>
        </w:rPr>
        <w:t>社会保障和就业（类）</w:t>
      </w:r>
      <w:r>
        <w:rPr>
          <w:rFonts w:hint="eastAsia" w:ascii="仿宋" w:hAnsi="仿宋" w:eastAsia="仿宋"/>
          <w:sz w:val="32"/>
          <w:szCs w:val="32"/>
        </w:rPr>
        <w:t>支出827.74万元，占80.35</w:t>
      </w:r>
      <w:r>
        <w:rPr>
          <w:rFonts w:ascii="仿宋" w:hAnsi="仿宋" w:eastAsia="仿宋"/>
          <w:sz w:val="32"/>
          <w:szCs w:val="32"/>
        </w:rPr>
        <w:t>%</w:t>
      </w:r>
      <w:r>
        <w:rPr>
          <w:rFonts w:hint="eastAsia" w:ascii="仿宋" w:hAnsi="仿宋" w:eastAsia="仿宋"/>
          <w:sz w:val="32"/>
          <w:szCs w:val="32"/>
        </w:rPr>
        <w:t>；</w:t>
      </w:r>
      <w:r>
        <w:rPr>
          <w:rFonts w:hint="eastAsia" w:ascii="仿宋" w:hAnsi="仿宋" w:eastAsia="仿宋"/>
          <w:b/>
          <w:bCs/>
          <w:sz w:val="32"/>
          <w:szCs w:val="32"/>
        </w:rPr>
        <w:t>卫生健康</w:t>
      </w:r>
      <w:r>
        <w:rPr>
          <w:rFonts w:hint="eastAsia" w:ascii="仿宋" w:hAnsi="仿宋" w:eastAsia="仿宋"/>
          <w:b/>
          <w:bCs/>
          <w:sz w:val="32"/>
          <w:szCs w:val="32"/>
          <w:lang w:eastAsia="zh-CN"/>
        </w:rPr>
        <w:t>（类）</w:t>
      </w:r>
      <w:r>
        <w:rPr>
          <w:rFonts w:hint="eastAsia" w:ascii="仿宋" w:hAnsi="仿宋" w:eastAsia="仿宋"/>
          <w:sz w:val="32"/>
          <w:szCs w:val="32"/>
        </w:rPr>
        <w:t>支出26.88万元，占2.61</w:t>
      </w:r>
      <w:r>
        <w:rPr>
          <w:rFonts w:ascii="仿宋" w:hAnsi="仿宋" w:eastAsia="仿宋"/>
          <w:sz w:val="32"/>
          <w:szCs w:val="32"/>
        </w:rPr>
        <w:t>%</w:t>
      </w:r>
      <w:r>
        <w:rPr>
          <w:rFonts w:hint="eastAsia" w:ascii="仿宋" w:hAnsi="仿宋" w:eastAsia="仿宋"/>
          <w:sz w:val="32"/>
          <w:szCs w:val="32"/>
        </w:rPr>
        <w:t>；</w:t>
      </w:r>
      <w:r>
        <w:rPr>
          <w:rFonts w:hint="eastAsia" w:ascii="仿宋" w:hAnsi="仿宋" w:eastAsia="仿宋"/>
          <w:b/>
          <w:bCs/>
          <w:sz w:val="32"/>
          <w:szCs w:val="32"/>
        </w:rPr>
        <w:t>住房保障</w:t>
      </w:r>
      <w:r>
        <w:rPr>
          <w:rFonts w:hint="eastAsia" w:ascii="仿宋" w:hAnsi="仿宋" w:eastAsia="仿宋"/>
          <w:b/>
          <w:bCs/>
          <w:sz w:val="32"/>
          <w:szCs w:val="32"/>
          <w:lang w:eastAsia="zh-CN"/>
        </w:rPr>
        <w:t>（类）</w:t>
      </w:r>
      <w:r>
        <w:rPr>
          <w:rFonts w:hint="eastAsia" w:ascii="仿宋" w:hAnsi="仿宋" w:eastAsia="仿宋"/>
          <w:sz w:val="32"/>
          <w:szCs w:val="32"/>
        </w:rPr>
        <w:t>支出40.94万元，占3.97</w:t>
      </w:r>
      <w:r>
        <w:rPr>
          <w:rFonts w:ascii="仿宋" w:hAnsi="仿宋" w:eastAsia="仿宋"/>
          <w:sz w:val="32"/>
          <w:szCs w:val="32"/>
        </w:rPr>
        <w:t>%</w:t>
      </w:r>
      <w:r>
        <w:rPr>
          <w:rFonts w:hint="eastAsia" w:ascii="仿宋" w:hAnsi="仿宋" w:eastAsia="仿宋"/>
          <w:sz w:val="32"/>
          <w:szCs w:val="32"/>
        </w:rPr>
        <w:t>。</w:t>
      </w:r>
    </w:p>
    <w:p>
      <w:pPr>
        <w:jc w:val="center"/>
        <w:rPr>
          <w:rFonts w:hint="eastAsia" w:ascii="仿宋" w:hAnsi="仿宋" w:eastAsia="仿宋"/>
          <w:sz w:val="32"/>
          <w:szCs w:val="32"/>
          <w:lang w:eastAsia="zh-CN"/>
        </w:rPr>
      </w:pPr>
      <w:r>
        <w:rPr>
          <w:rFonts w:hint="eastAsia" w:ascii="仿宋" w:hAnsi="仿宋" w:eastAsia="仿宋"/>
          <w:sz w:val="32"/>
          <w:szCs w:val="32"/>
          <w:lang w:eastAsia="zh-CN"/>
        </w:rPr>
        <w:drawing>
          <wp:inline distT="0" distB="0" distL="114300" distR="114300">
            <wp:extent cx="4590415" cy="2810510"/>
            <wp:effectExtent l="0" t="0" r="12065" b="8890"/>
            <wp:docPr id="5" name="图片 5" descr="图片6-一般公共预算财政拨款支出决算结构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图片6-一般公共预算财政拨款支出决算结构图"/>
                    <pic:cNvPicPr>
                      <a:picLocks noChangeAspect="1"/>
                    </pic:cNvPicPr>
                  </pic:nvPicPr>
                  <pic:blipFill>
                    <a:blip r:embed="rId11"/>
                    <a:stretch>
                      <a:fillRect/>
                    </a:stretch>
                  </pic:blipFill>
                  <pic:spPr>
                    <a:xfrm>
                      <a:off x="0" y="0"/>
                      <a:ext cx="4590415" cy="2810510"/>
                    </a:xfrm>
                    <a:prstGeom prst="rect">
                      <a:avLst/>
                    </a:prstGeom>
                  </pic:spPr>
                </pic:pic>
              </a:graphicData>
            </a:graphic>
          </wp:inline>
        </w:drawing>
      </w:r>
    </w:p>
    <w:p>
      <w:pPr>
        <w:spacing w:line="600" w:lineRule="exact"/>
        <w:jc w:val="center"/>
        <w:rPr>
          <w:rFonts w:ascii="仿宋" w:hAnsi="仿宋" w:eastAsia="仿宋"/>
          <w:sz w:val="32"/>
          <w:szCs w:val="32"/>
        </w:rPr>
      </w:pPr>
      <w:r>
        <w:rPr>
          <w:rFonts w:hint="eastAsia" w:ascii="仿宋" w:hAnsi="仿宋" w:eastAsia="仿宋"/>
          <w:sz w:val="32"/>
          <w:szCs w:val="32"/>
        </w:rPr>
        <w:t>（图6：一般公共预算财政拨款支出决算结构）</w:t>
      </w:r>
    </w:p>
    <w:p>
      <w:pPr>
        <w:spacing w:line="600" w:lineRule="exact"/>
        <w:ind w:firstLine="643" w:firstLineChars="200"/>
        <w:outlineLvl w:val="2"/>
        <w:rPr>
          <w:rFonts w:ascii="仿宋" w:hAnsi="仿宋" w:eastAsia="仿宋"/>
          <w:b/>
          <w:sz w:val="32"/>
          <w:szCs w:val="32"/>
        </w:rPr>
      </w:pPr>
      <w:bookmarkStart w:id="39" w:name="_Toc15377212"/>
      <w:r>
        <w:rPr>
          <w:rFonts w:hint="eastAsia" w:ascii="仿宋" w:hAnsi="仿宋" w:eastAsia="仿宋"/>
          <w:b/>
          <w:sz w:val="32"/>
          <w:szCs w:val="32"/>
        </w:rPr>
        <w:t>（三）一般公共预算财政拨款支出决算具体情况</w:t>
      </w:r>
      <w:bookmarkEnd w:id="39"/>
    </w:p>
    <w:p>
      <w:pPr>
        <w:spacing w:line="600" w:lineRule="exact"/>
        <w:ind w:firstLine="643" w:firstLineChars="200"/>
        <w:outlineLvl w:val="9"/>
        <w:rPr>
          <w:rFonts w:ascii="仿宋" w:hAnsi="仿宋" w:eastAsia="仿宋"/>
          <w:sz w:val="32"/>
          <w:szCs w:val="32"/>
        </w:rPr>
      </w:pPr>
      <w:bookmarkStart w:id="40" w:name="_Toc15378460"/>
      <w:bookmarkStart w:id="41" w:name="_Toc15377213"/>
      <w:bookmarkStart w:id="42" w:name="_Toc15377444"/>
      <w:r>
        <w:rPr>
          <w:rFonts w:hint="eastAsia" w:ascii="仿宋" w:hAnsi="仿宋" w:eastAsia="仿宋"/>
          <w:b/>
          <w:sz w:val="32"/>
          <w:szCs w:val="32"/>
        </w:rPr>
        <w:t>2021年一般公共预算支出决算数为1030.13万元</w:t>
      </w:r>
      <w:r>
        <w:rPr>
          <w:rFonts w:hint="eastAsia" w:ascii="仿宋" w:hAnsi="仿宋" w:eastAsia="仿宋"/>
          <w:sz w:val="32"/>
          <w:szCs w:val="32"/>
        </w:rPr>
        <w:t>，</w:t>
      </w:r>
      <w:r>
        <w:rPr>
          <w:rStyle w:val="16"/>
          <w:rFonts w:hint="eastAsia" w:ascii="仿宋" w:hAnsi="仿宋" w:eastAsia="仿宋"/>
          <w:bCs/>
          <w:sz w:val="32"/>
          <w:szCs w:val="32"/>
        </w:rPr>
        <w:t>完成预算98.38</w:t>
      </w:r>
      <w:r>
        <w:rPr>
          <w:rStyle w:val="16"/>
          <w:rFonts w:ascii="仿宋" w:hAnsi="仿宋" w:eastAsia="仿宋"/>
          <w:bCs/>
          <w:sz w:val="32"/>
          <w:szCs w:val="32"/>
        </w:rPr>
        <w:t>%</w:t>
      </w:r>
      <w:r>
        <w:rPr>
          <w:rStyle w:val="16"/>
          <w:rFonts w:hint="eastAsia" w:ascii="仿宋" w:hAnsi="仿宋" w:eastAsia="仿宋"/>
          <w:bCs/>
          <w:sz w:val="32"/>
          <w:szCs w:val="32"/>
        </w:rPr>
        <w:t>。其中：</w:t>
      </w:r>
      <w:bookmarkEnd w:id="40"/>
      <w:bookmarkEnd w:id="41"/>
      <w:bookmarkEnd w:id="42"/>
    </w:p>
    <w:p>
      <w:pPr>
        <w:spacing w:line="600" w:lineRule="exact"/>
        <w:ind w:firstLine="643" w:firstLineChars="200"/>
        <w:rPr>
          <w:rFonts w:ascii="仿宋" w:hAnsi="仿宋" w:eastAsia="仿宋"/>
          <w:b/>
          <w:sz w:val="32"/>
          <w:szCs w:val="32"/>
        </w:rPr>
      </w:pPr>
      <w:r>
        <w:rPr>
          <w:rStyle w:val="16"/>
          <w:rFonts w:ascii="仿宋" w:hAnsi="仿宋" w:eastAsia="仿宋"/>
          <w:bCs/>
          <w:sz w:val="32"/>
          <w:szCs w:val="32"/>
        </w:rPr>
        <w:t>1.</w:t>
      </w:r>
      <w:r>
        <w:rPr>
          <w:rStyle w:val="16"/>
          <w:rFonts w:hint="eastAsia" w:ascii="仿宋" w:hAnsi="仿宋" w:eastAsia="仿宋"/>
          <w:bCs/>
          <w:sz w:val="32"/>
          <w:szCs w:val="32"/>
        </w:rPr>
        <w:t>一般公共服务（类）组织事务（款）其他组织事务支出（项）</w:t>
      </w:r>
      <w:r>
        <w:rPr>
          <w:rStyle w:val="16"/>
          <w:rFonts w:ascii="仿宋" w:hAnsi="仿宋" w:eastAsia="仿宋"/>
          <w:bCs/>
          <w:sz w:val="32"/>
          <w:szCs w:val="32"/>
        </w:rPr>
        <w:t>:</w:t>
      </w:r>
      <w:r>
        <w:rPr>
          <w:rStyle w:val="16"/>
          <w:rFonts w:hint="eastAsia" w:ascii="仿宋" w:hAnsi="仿宋" w:eastAsia="仿宋"/>
          <w:b w:val="0"/>
          <w:bCs/>
          <w:sz w:val="32"/>
          <w:szCs w:val="32"/>
        </w:rPr>
        <w:t>支出决算为88.90万元，完成预算94.04</w:t>
      </w:r>
      <w:r>
        <w:rPr>
          <w:rStyle w:val="16"/>
          <w:rFonts w:ascii="仿宋" w:hAnsi="仿宋" w:eastAsia="仿宋"/>
          <w:b w:val="0"/>
          <w:bCs/>
          <w:sz w:val="32"/>
          <w:szCs w:val="32"/>
        </w:rPr>
        <w:t>%</w:t>
      </w:r>
      <w:r>
        <w:rPr>
          <w:rStyle w:val="16"/>
          <w:rFonts w:hint="eastAsia" w:ascii="仿宋" w:hAnsi="仿宋" w:eastAsia="仿宋"/>
          <w:b w:val="0"/>
          <w:bCs/>
          <w:sz w:val="32"/>
          <w:szCs w:val="32"/>
        </w:rPr>
        <w:t>，决算数小于预算数的主要原因是</w:t>
      </w:r>
      <w:r>
        <w:rPr>
          <w:rStyle w:val="16"/>
          <w:rFonts w:hint="eastAsia" w:ascii="仿宋" w:hAnsi="仿宋" w:eastAsia="仿宋"/>
          <w:b w:val="0"/>
          <w:bCs/>
          <w:sz w:val="32"/>
          <w:szCs w:val="32"/>
          <w:lang w:eastAsia="zh-CN"/>
        </w:rPr>
        <w:t>财政资金紧张，未审批计划，结转了三支一扶生活补助</w:t>
      </w:r>
      <w:r>
        <w:rPr>
          <w:rStyle w:val="16"/>
          <w:rFonts w:hint="eastAsia" w:ascii="仿宋" w:hAnsi="仿宋" w:eastAsia="仿宋"/>
          <w:b w:val="0"/>
          <w:bCs/>
          <w:sz w:val="32"/>
          <w:szCs w:val="32"/>
          <w:lang w:val="en-US" w:eastAsia="zh-CN"/>
        </w:rPr>
        <w:t>56329.15元</w:t>
      </w:r>
      <w:r>
        <w:rPr>
          <w:rStyle w:val="16"/>
          <w:rFonts w:hint="eastAsia" w:ascii="仿宋" w:hAnsi="仿宋" w:eastAsia="仿宋"/>
          <w:b w:val="0"/>
          <w:bCs/>
          <w:sz w:val="32"/>
          <w:szCs w:val="32"/>
        </w:rPr>
        <w:t>。</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rPr>
        <w:t>2</w:t>
      </w:r>
      <w:r>
        <w:rPr>
          <w:rStyle w:val="16"/>
          <w:rFonts w:ascii="仿宋" w:hAnsi="仿宋" w:eastAsia="仿宋"/>
          <w:bCs/>
          <w:sz w:val="32"/>
          <w:szCs w:val="32"/>
        </w:rPr>
        <w:t>.</w:t>
      </w:r>
      <w:r>
        <w:rPr>
          <w:rStyle w:val="16"/>
          <w:rFonts w:hint="eastAsia" w:ascii="仿宋" w:hAnsi="仿宋" w:eastAsia="仿宋"/>
          <w:bCs/>
          <w:sz w:val="32"/>
          <w:szCs w:val="32"/>
        </w:rPr>
        <w:t>科学技术（类）科技条件与服务（款）科技条件专项（项）</w:t>
      </w:r>
      <w:r>
        <w:rPr>
          <w:rStyle w:val="16"/>
          <w:rFonts w:ascii="仿宋" w:hAnsi="仿宋" w:eastAsia="仿宋"/>
          <w:bCs/>
          <w:sz w:val="32"/>
          <w:szCs w:val="32"/>
        </w:rPr>
        <w:t>:</w:t>
      </w:r>
      <w:r>
        <w:rPr>
          <w:rStyle w:val="16"/>
          <w:rFonts w:hint="eastAsia" w:ascii="仿宋" w:hAnsi="仿宋" w:eastAsia="仿宋"/>
          <w:b w:val="0"/>
          <w:bCs/>
          <w:sz w:val="32"/>
          <w:szCs w:val="32"/>
        </w:rPr>
        <w:t>支出决算为45.67万元，完成预算85.41</w:t>
      </w:r>
      <w:r>
        <w:rPr>
          <w:rStyle w:val="16"/>
          <w:rFonts w:ascii="仿宋" w:hAnsi="仿宋" w:eastAsia="仿宋"/>
          <w:b w:val="0"/>
          <w:bCs/>
          <w:sz w:val="32"/>
          <w:szCs w:val="32"/>
        </w:rPr>
        <w:t>%</w:t>
      </w:r>
      <w:r>
        <w:rPr>
          <w:rStyle w:val="16"/>
          <w:rFonts w:hint="eastAsia" w:ascii="仿宋" w:hAnsi="仿宋" w:eastAsia="仿宋"/>
          <w:b w:val="0"/>
          <w:bCs/>
          <w:sz w:val="32"/>
          <w:szCs w:val="32"/>
        </w:rPr>
        <w:t>，决算数小于预算数的主要原因是</w:t>
      </w:r>
      <w:r>
        <w:rPr>
          <w:rStyle w:val="16"/>
          <w:rFonts w:hint="eastAsia" w:ascii="仿宋" w:hAnsi="仿宋" w:eastAsia="仿宋"/>
          <w:b w:val="0"/>
          <w:bCs/>
          <w:sz w:val="32"/>
          <w:szCs w:val="32"/>
          <w:lang w:eastAsia="zh-CN"/>
        </w:rPr>
        <w:t>财政资金紧张，未审批计划，结转了</w:t>
      </w:r>
      <w:r>
        <w:rPr>
          <w:rStyle w:val="16"/>
          <w:rFonts w:hint="eastAsia" w:ascii="仿宋" w:hAnsi="仿宋" w:eastAsia="仿宋"/>
          <w:b w:val="0"/>
          <w:bCs/>
          <w:sz w:val="32"/>
          <w:szCs w:val="32"/>
          <w:lang w:val="en-US" w:eastAsia="zh-CN"/>
        </w:rPr>
        <w:t>2021年存量安排的金保网络租赁维护费</w:t>
      </w:r>
      <w:r>
        <w:rPr>
          <w:rStyle w:val="16"/>
          <w:rFonts w:hint="eastAsia" w:ascii="仿宋" w:hAnsi="仿宋" w:eastAsia="仿宋"/>
          <w:b w:val="0"/>
          <w:bCs/>
          <w:sz w:val="32"/>
          <w:szCs w:val="32"/>
        </w:rPr>
        <w:t>。</w:t>
      </w:r>
    </w:p>
    <w:p>
      <w:pPr>
        <w:spacing w:line="600" w:lineRule="exact"/>
        <w:ind w:firstLine="643" w:firstLineChars="200"/>
        <w:rPr>
          <w:rStyle w:val="16"/>
          <w:rFonts w:ascii="仿宋" w:hAnsi="仿宋" w:eastAsia="仿宋"/>
          <w:b w:val="0"/>
          <w:bCs/>
          <w:sz w:val="32"/>
          <w:szCs w:val="32"/>
        </w:rPr>
      </w:pPr>
      <w:r>
        <w:rPr>
          <w:rStyle w:val="16"/>
          <w:rFonts w:hint="eastAsia" w:ascii="仿宋" w:hAnsi="仿宋" w:eastAsia="仿宋"/>
          <w:bCs/>
          <w:sz w:val="32"/>
          <w:szCs w:val="32"/>
        </w:rPr>
        <w:t>3</w:t>
      </w:r>
      <w:r>
        <w:rPr>
          <w:rStyle w:val="16"/>
          <w:rFonts w:ascii="仿宋" w:hAnsi="仿宋" w:eastAsia="仿宋"/>
          <w:bCs/>
          <w:sz w:val="32"/>
          <w:szCs w:val="32"/>
        </w:rPr>
        <w:t>.</w:t>
      </w:r>
      <w:r>
        <w:rPr>
          <w:rStyle w:val="16"/>
          <w:rFonts w:hint="eastAsia" w:ascii="仿宋" w:hAnsi="仿宋" w:eastAsia="仿宋"/>
          <w:bCs/>
          <w:sz w:val="32"/>
          <w:szCs w:val="32"/>
        </w:rPr>
        <w:t>社会保障和就业（类）人力资源和社会保障管理事务（款）行政运行（项）</w:t>
      </w:r>
      <w:r>
        <w:rPr>
          <w:rStyle w:val="16"/>
          <w:rFonts w:ascii="仿宋" w:hAnsi="仿宋" w:eastAsia="仿宋"/>
          <w:bCs/>
          <w:sz w:val="32"/>
          <w:szCs w:val="32"/>
        </w:rPr>
        <w:t>:</w:t>
      </w:r>
      <w:r>
        <w:rPr>
          <w:rStyle w:val="16"/>
          <w:rFonts w:hint="eastAsia" w:ascii="仿宋" w:hAnsi="仿宋" w:eastAsia="仿宋"/>
          <w:b w:val="0"/>
          <w:bCs/>
          <w:sz w:val="32"/>
          <w:szCs w:val="32"/>
        </w:rPr>
        <w:t>支出决算为418.17万元，完成预算99.32</w:t>
      </w:r>
      <w:r>
        <w:rPr>
          <w:rStyle w:val="16"/>
          <w:rFonts w:ascii="仿宋" w:hAnsi="仿宋" w:eastAsia="仿宋"/>
          <w:b w:val="0"/>
          <w:bCs/>
          <w:sz w:val="32"/>
          <w:szCs w:val="32"/>
        </w:rPr>
        <w:t>%</w:t>
      </w:r>
      <w:r>
        <w:rPr>
          <w:rStyle w:val="16"/>
          <w:rFonts w:hint="eastAsia" w:ascii="仿宋" w:hAnsi="仿宋" w:eastAsia="仿宋"/>
          <w:b w:val="0"/>
          <w:bCs/>
          <w:sz w:val="32"/>
          <w:szCs w:val="32"/>
        </w:rPr>
        <w:t>，决算数小于预算数的主要原因是</w:t>
      </w:r>
      <w:r>
        <w:rPr>
          <w:rStyle w:val="16"/>
          <w:rFonts w:hint="eastAsia" w:ascii="仿宋" w:hAnsi="仿宋" w:eastAsia="仿宋"/>
          <w:b w:val="0"/>
          <w:bCs/>
          <w:sz w:val="32"/>
          <w:szCs w:val="32"/>
          <w:lang w:eastAsia="zh-CN"/>
        </w:rPr>
        <w:t>财政资金紧张，未审批计划，结转了办公费</w:t>
      </w:r>
      <w:r>
        <w:rPr>
          <w:rStyle w:val="16"/>
          <w:rFonts w:hint="eastAsia" w:ascii="仿宋" w:hAnsi="仿宋" w:eastAsia="仿宋"/>
          <w:b w:val="0"/>
          <w:bCs/>
          <w:sz w:val="32"/>
          <w:szCs w:val="32"/>
        </w:rPr>
        <w:t>。</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rPr>
        <w:t>4</w:t>
      </w:r>
      <w:r>
        <w:rPr>
          <w:rStyle w:val="16"/>
          <w:rFonts w:ascii="仿宋" w:hAnsi="仿宋" w:eastAsia="仿宋"/>
          <w:bCs/>
          <w:sz w:val="32"/>
          <w:szCs w:val="32"/>
        </w:rPr>
        <w:t>.</w:t>
      </w:r>
      <w:r>
        <w:rPr>
          <w:rStyle w:val="16"/>
          <w:rFonts w:hint="eastAsia" w:ascii="仿宋" w:hAnsi="仿宋" w:eastAsia="仿宋"/>
          <w:bCs/>
          <w:sz w:val="32"/>
          <w:szCs w:val="32"/>
        </w:rPr>
        <w:t>社会保障和就业（类）人力资源和社会保障管理事务（款）一般行政管理事务（项）</w:t>
      </w:r>
      <w:r>
        <w:rPr>
          <w:rStyle w:val="16"/>
          <w:rFonts w:ascii="仿宋" w:hAnsi="仿宋" w:eastAsia="仿宋"/>
          <w:bCs/>
          <w:sz w:val="32"/>
          <w:szCs w:val="32"/>
        </w:rPr>
        <w:t>:</w:t>
      </w:r>
      <w:r>
        <w:rPr>
          <w:rStyle w:val="16"/>
          <w:rFonts w:hint="eastAsia" w:ascii="仿宋" w:hAnsi="仿宋" w:eastAsia="仿宋"/>
          <w:b w:val="0"/>
          <w:bCs/>
          <w:sz w:val="32"/>
          <w:szCs w:val="32"/>
        </w:rPr>
        <w:t>支出决算为112.73万元，完成预算100</w:t>
      </w:r>
      <w:r>
        <w:rPr>
          <w:rStyle w:val="16"/>
          <w:rFonts w:ascii="仿宋" w:hAnsi="仿宋" w:eastAsia="仿宋"/>
          <w:b w:val="0"/>
          <w:bCs/>
          <w:sz w:val="32"/>
          <w:szCs w:val="32"/>
        </w:rPr>
        <w:t>%</w:t>
      </w:r>
      <w:r>
        <w:rPr>
          <w:rStyle w:val="16"/>
          <w:rFonts w:hint="eastAsia" w:ascii="仿宋" w:hAnsi="仿宋" w:eastAsia="仿宋"/>
          <w:b w:val="0"/>
          <w:bCs/>
          <w:sz w:val="32"/>
          <w:szCs w:val="32"/>
        </w:rPr>
        <w:t>，决算数等于预算数。</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rPr>
        <w:t>5</w:t>
      </w:r>
      <w:r>
        <w:rPr>
          <w:rStyle w:val="16"/>
          <w:rFonts w:ascii="仿宋" w:hAnsi="仿宋" w:eastAsia="仿宋"/>
          <w:bCs/>
          <w:sz w:val="32"/>
          <w:szCs w:val="32"/>
        </w:rPr>
        <w:t>.</w:t>
      </w:r>
      <w:r>
        <w:rPr>
          <w:rStyle w:val="16"/>
          <w:rFonts w:hint="eastAsia" w:ascii="仿宋" w:hAnsi="仿宋" w:eastAsia="仿宋"/>
          <w:bCs/>
          <w:sz w:val="32"/>
          <w:szCs w:val="32"/>
        </w:rPr>
        <w:t>社会保障和就业（类）人力资源和社会保障管理事务（款）综合业务管理（项）</w:t>
      </w:r>
      <w:r>
        <w:rPr>
          <w:rStyle w:val="16"/>
          <w:rFonts w:ascii="仿宋" w:hAnsi="仿宋" w:eastAsia="仿宋"/>
          <w:bCs/>
          <w:sz w:val="32"/>
          <w:szCs w:val="32"/>
        </w:rPr>
        <w:t>:</w:t>
      </w:r>
      <w:r>
        <w:rPr>
          <w:rStyle w:val="16"/>
          <w:rFonts w:hint="eastAsia" w:ascii="仿宋" w:hAnsi="仿宋" w:eastAsia="仿宋"/>
          <w:b w:val="0"/>
          <w:bCs/>
          <w:sz w:val="32"/>
          <w:szCs w:val="32"/>
        </w:rPr>
        <w:t>支出决算为30.04万元，完成预算100</w:t>
      </w:r>
      <w:r>
        <w:rPr>
          <w:rStyle w:val="16"/>
          <w:rFonts w:ascii="仿宋" w:hAnsi="仿宋" w:eastAsia="仿宋"/>
          <w:b w:val="0"/>
          <w:bCs/>
          <w:sz w:val="32"/>
          <w:szCs w:val="32"/>
        </w:rPr>
        <w:t>%</w:t>
      </w:r>
      <w:r>
        <w:rPr>
          <w:rStyle w:val="16"/>
          <w:rFonts w:hint="eastAsia" w:ascii="仿宋" w:hAnsi="仿宋" w:eastAsia="仿宋"/>
          <w:b w:val="0"/>
          <w:bCs/>
          <w:sz w:val="32"/>
          <w:szCs w:val="32"/>
        </w:rPr>
        <w:t>，决算数等于预算数。</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rPr>
        <w:t>6</w:t>
      </w:r>
      <w:r>
        <w:rPr>
          <w:rStyle w:val="16"/>
          <w:rFonts w:ascii="仿宋" w:hAnsi="仿宋" w:eastAsia="仿宋"/>
          <w:bCs/>
          <w:sz w:val="32"/>
          <w:szCs w:val="32"/>
        </w:rPr>
        <w:t>.</w:t>
      </w:r>
      <w:r>
        <w:rPr>
          <w:rStyle w:val="16"/>
          <w:rFonts w:hint="eastAsia" w:ascii="仿宋" w:hAnsi="仿宋" w:eastAsia="仿宋"/>
          <w:bCs/>
          <w:sz w:val="32"/>
          <w:szCs w:val="32"/>
        </w:rPr>
        <w:t>社会保障和就业（类）人力资源和社会保障管理事务（款）事业运行（项）</w:t>
      </w:r>
      <w:r>
        <w:rPr>
          <w:rStyle w:val="16"/>
          <w:rFonts w:ascii="仿宋" w:hAnsi="仿宋" w:eastAsia="仿宋"/>
          <w:bCs/>
          <w:sz w:val="32"/>
          <w:szCs w:val="32"/>
        </w:rPr>
        <w:t>:</w:t>
      </w:r>
      <w:r>
        <w:rPr>
          <w:rStyle w:val="16"/>
          <w:rFonts w:hint="eastAsia" w:ascii="仿宋" w:hAnsi="仿宋" w:eastAsia="仿宋"/>
          <w:b w:val="0"/>
          <w:bCs/>
          <w:sz w:val="32"/>
          <w:szCs w:val="32"/>
        </w:rPr>
        <w:t>支出决算为165.40万元，完成预算100</w:t>
      </w:r>
      <w:r>
        <w:rPr>
          <w:rStyle w:val="16"/>
          <w:rFonts w:ascii="仿宋" w:hAnsi="仿宋" w:eastAsia="仿宋"/>
          <w:b w:val="0"/>
          <w:bCs/>
          <w:sz w:val="32"/>
          <w:szCs w:val="32"/>
        </w:rPr>
        <w:t>%</w:t>
      </w:r>
      <w:r>
        <w:rPr>
          <w:rStyle w:val="16"/>
          <w:rFonts w:hint="eastAsia" w:ascii="仿宋" w:hAnsi="仿宋" w:eastAsia="仿宋"/>
          <w:b w:val="0"/>
          <w:bCs/>
          <w:sz w:val="32"/>
          <w:szCs w:val="32"/>
        </w:rPr>
        <w:t>，决算数等于预算数。</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rPr>
        <w:t>7</w:t>
      </w:r>
      <w:r>
        <w:rPr>
          <w:rStyle w:val="16"/>
          <w:rFonts w:ascii="仿宋" w:hAnsi="仿宋" w:eastAsia="仿宋"/>
          <w:bCs/>
          <w:sz w:val="32"/>
          <w:szCs w:val="32"/>
        </w:rPr>
        <w:t>.</w:t>
      </w:r>
      <w:r>
        <w:rPr>
          <w:rStyle w:val="16"/>
          <w:rFonts w:hint="eastAsia" w:ascii="仿宋" w:hAnsi="仿宋" w:eastAsia="仿宋"/>
          <w:bCs/>
          <w:sz w:val="32"/>
          <w:szCs w:val="32"/>
        </w:rPr>
        <w:t>社会保障和就业（类）人力资源和社会保障管理事务（款）其他人力资源和社会保障管理事务支出（项）</w:t>
      </w:r>
      <w:r>
        <w:rPr>
          <w:rStyle w:val="16"/>
          <w:rFonts w:ascii="仿宋" w:hAnsi="仿宋" w:eastAsia="仿宋"/>
          <w:bCs/>
          <w:sz w:val="32"/>
          <w:szCs w:val="32"/>
        </w:rPr>
        <w:t>:</w:t>
      </w:r>
      <w:r>
        <w:rPr>
          <w:rStyle w:val="16"/>
          <w:rFonts w:hint="eastAsia" w:ascii="仿宋" w:hAnsi="仿宋" w:eastAsia="仿宋"/>
          <w:b w:val="0"/>
          <w:bCs/>
          <w:sz w:val="32"/>
          <w:szCs w:val="32"/>
        </w:rPr>
        <w:t>支出决算为5.5万元，完成预算100</w:t>
      </w:r>
      <w:r>
        <w:rPr>
          <w:rStyle w:val="16"/>
          <w:rFonts w:ascii="仿宋" w:hAnsi="仿宋" w:eastAsia="仿宋"/>
          <w:b w:val="0"/>
          <w:bCs/>
          <w:sz w:val="32"/>
          <w:szCs w:val="32"/>
        </w:rPr>
        <w:t>%</w:t>
      </w:r>
      <w:r>
        <w:rPr>
          <w:rStyle w:val="16"/>
          <w:rFonts w:hint="eastAsia" w:ascii="仿宋" w:hAnsi="仿宋" w:eastAsia="仿宋"/>
          <w:b w:val="0"/>
          <w:bCs/>
          <w:sz w:val="32"/>
          <w:szCs w:val="32"/>
        </w:rPr>
        <w:t>，决算数等于预算数。</w:t>
      </w:r>
    </w:p>
    <w:p>
      <w:pPr>
        <w:spacing w:line="600" w:lineRule="exact"/>
        <w:ind w:firstLine="643" w:firstLineChars="200"/>
        <w:rPr>
          <w:rStyle w:val="16"/>
          <w:rFonts w:ascii="仿宋" w:hAnsi="仿宋" w:eastAsia="仿宋"/>
          <w:b w:val="0"/>
          <w:bCs/>
          <w:sz w:val="32"/>
          <w:szCs w:val="32"/>
        </w:rPr>
      </w:pPr>
      <w:r>
        <w:rPr>
          <w:rStyle w:val="16"/>
          <w:rFonts w:hint="eastAsia" w:ascii="仿宋" w:hAnsi="仿宋" w:eastAsia="仿宋"/>
          <w:bCs/>
          <w:sz w:val="32"/>
          <w:szCs w:val="32"/>
        </w:rPr>
        <w:t>8</w:t>
      </w:r>
      <w:r>
        <w:rPr>
          <w:rStyle w:val="16"/>
          <w:rFonts w:ascii="仿宋" w:hAnsi="仿宋" w:eastAsia="仿宋"/>
          <w:bCs/>
          <w:sz w:val="32"/>
          <w:szCs w:val="32"/>
        </w:rPr>
        <w:t>.</w:t>
      </w:r>
      <w:r>
        <w:rPr>
          <w:rStyle w:val="16"/>
          <w:rFonts w:hint="eastAsia" w:ascii="仿宋" w:hAnsi="仿宋" w:eastAsia="仿宋"/>
          <w:bCs/>
          <w:sz w:val="32"/>
          <w:szCs w:val="32"/>
        </w:rPr>
        <w:t>社会保障和就业（类）行政事业单位养老支出（款）机关事业单位基本养老保险缴费支出（项）</w:t>
      </w:r>
      <w:r>
        <w:rPr>
          <w:rStyle w:val="16"/>
          <w:rFonts w:ascii="仿宋" w:hAnsi="仿宋" w:eastAsia="仿宋"/>
          <w:bCs/>
          <w:sz w:val="32"/>
          <w:szCs w:val="32"/>
        </w:rPr>
        <w:t>:</w:t>
      </w:r>
      <w:r>
        <w:rPr>
          <w:rStyle w:val="16"/>
          <w:rFonts w:hint="eastAsia" w:ascii="仿宋" w:hAnsi="仿宋" w:eastAsia="仿宋"/>
          <w:b w:val="0"/>
          <w:bCs/>
          <w:sz w:val="32"/>
          <w:szCs w:val="32"/>
        </w:rPr>
        <w:t>支出决算为53.76万元，完成预算100</w:t>
      </w:r>
      <w:r>
        <w:rPr>
          <w:rStyle w:val="16"/>
          <w:rFonts w:ascii="仿宋" w:hAnsi="仿宋" w:eastAsia="仿宋"/>
          <w:b w:val="0"/>
          <w:bCs/>
          <w:sz w:val="32"/>
          <w:szCs w:val="32"/>
        </w:rPr>
        <w:t>%</w:t>
      </w:r>
      <w:r>
        <w:rPr>
          <w:rStyle w:val="16"/>
          <w:rFonts w:hint="eastAsia" w:ascii="仿宋" w:hAnsi="仿宋" w:eastAsia="仿宋"/>
          <w:b w:val="0"/>
          <w:bCs/>
          <w:sz w:val="32"/>
          <w:szCs w:val="32"/>
        </w:rPr>
        <w:t>，决算数等于预算数。</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rPr>
        <w:t>9</w:t>
      </w:r>
      <w:r>
        <w:rPr>
          <w:rStyle w:val="16"/>
          <w:rFonts w:ascii="仿宋" w:hAnsi="仿宋" w:eastAsia="仿宋"/>
          <w:bCs/>
          <w:sz w:val="32"/>
          <w:szCs w:val="32"/>
        </w:rPr>
        <w:t>.</w:t>
      </w:r>
      <w:r>
        <w:rPr>
          <w:rStyle w:val="16"/>
          <w:rFonts w:hint="eastAsia" w:ascii="仿宋" w:hAnsi="仿宋" w:eastAsia="仿宋"/>
          <w:bCs/>
          <w:sz w:val="32"/>
          <w:szCs w:val="32"/>
        </w:rPr>
        <w:t>社会保障和就业（类）抚恤（款）死亡抚恤（项）</w:t>
      </w:r>
      <w:r>
        <w:rPr>
          <w:rStyle w:val="16"/>
          <w:rFonts w:ascii="仿宋" w:hAnsi="仿宋" w:eastAsia="仿宋"/>
          <w:bCs/>
          <w:sz w:val="32"/>
          <w:szCs w:val="32"/>
        </w:rPr>
        <w:t>:</w:t>
      </w:r>
      <w:r>
        <w:rPr>
          <w:rStyle w:val="16"/>
          <w:rFonts w:hint="eastAsia" w:ascii="仿宋" w:hAnsi="仿宋" w:eastAsia="仿宋"/>
          <w:b w:val="0"/>
          <w:bCs/>
          <w:sz w:val="32"/>
          <w:szCs w:val="32"/>
        </w:rPr>
        <w:t>支出决算为17.65万元，完成预算100</w:t>
      </w:r>
      <w:r>
        <w:rPr>
          <w:rStyle w:val="16"/>
          <w:rFonts w:ascii="仿宋" w:hAnsi="仿宋" w:eastAsia="仿宋"/>
          <w:b w:val="0"/>
          <w:bCs/>
          <w:sz w:val="32"/>
          <w:szCs w:val="32"/>
        </w:rPr>
        <w:t>%</w:t>
      </w:r>
      <w:r>
        <w:rPr>
          <w:rStyle w:val="16"/>
          <w:rFonts w:hint="eastAsia" w:ascii="仿宋" w:hAnsi="仿宋" w:eastAsia="仿宋"/>
          <w:b w:val="0"/>
          <w:bCs/>
          <w:sz w:val="32"/>
          <w:szCs w:val="32"/>
        </w:rPr>
        <w:t>，决算数等于预算数。</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rPr>
        <w:t>10</w:t>
      </w:r>
      <w:r>
        <w:rPr>
          <w:rStyle w:val="16"/>
          <w:rFonts w:ascii="仿宋" w:hAnsi="仿宋" w:eastAsia="仿宋"/>
          <w:bCs/>
          <w:sz w:val="32"/>
          <w:szCs w:val="32"/>
        </w:rPr>
        <w:t>.</w:t>
      </w:r>
      <w:r>
        <w:rPr>
          <w:rStyle w:val="16"/>
          <w:rFonts w:hint="eastAsia" w:ascii="仿宋" w:hAnsi="仿宋" w:eastAsia="仿宋"/>
          <w:bCs/>
          <w:sz w:val="32"/>
          <w:szCs w:val="32"/>
        </w:rPr>
        <w:t>社会保障和就业（类）其他社会保障和就业支出（款）其他社会保障和就业支出（项）</w:t>
      </w:r>
      <w:r>
        <w:rPr>
          <w:rStyle w:val="16"/>
          <w:rFonts w:ascii="仿宋" w:hAnsi="仿宋" w:eastAsia="仿宋"/>
          <w:bCs/>
          <w:sz w:val="32"/>
          <w:szCs w:val="32"/>
        </w:rPr>
        <w:t>:</w:t>
      </w:r>
      <w:r>
        <w:rPr>
          <w:rStyle w:val="16"/>
          <w:rFonts w:hint="eastAsia" w:ascii="仿宋" w:hAnsi="仿宋" w:eastAsia="仿宋"/>
          <w:b w:val="0"/>
          <w:bCs/>
          <w:sz w:val="32"/>
          <w:szCs w:val="32"/>
        </w:rPr>
        <w:t>支出决算为24.47万元，完成预算</w:t>
      </w:r>
      <w:r>
        <w:rPr>
          <w:rStyle w:val="16"/>
          <w:rFonts w:hint="eastAsia" w:ascii="仿宋" w:hAnsi="仿宋" w:eastAsia="仿宋"/>
          <w:b w:val="0"/>
          <w:bCs/>
          <w:sz w:val="32"/>
          <w:szCs w:val="32"/>
          <w:lang w:val="en-US" w:eastAsia="zh-CN"/>
        </w:rPr>
        <w:t>97.49</w:t>
      </w:r>
      <w:r>
        <w:rPr>
          <w:rStyle w:val="16"/>
          <w:rFonts w:ascii="仿宋" w:hAnsi="仿宋" w:eastAsia="仿宋"/>
          <w:b w:val="0"/>
          <w:bCs/>
          <w:sz w:val="32"/>
          <w:szCs w:val="32"/>
        </w:rPr>
        <w:t>%</w:t>
      </w:r>
      <w:r>
        <w:rPr>
          <w:rStyle w:val="16"/>
          <w:rFonts w:hint="eastAsia" w:ascii="仿宋" w:hAnsi="仿宋" w:eastAsia="仿宋"/>
          <w:b w:val="0"/>
          <w:bCs/>
          <w:sz w:val="32"/>
          <w:szCs w:val="32"/>
        </w:rPr>
        <w:t>，决算数小于预算数的主要原因是</w:t>
      </w:r>
      <w:r>
        <w:rPr>
          <w:rStyle w:val="16"/>
          <w:rFonts w:hint="eastAsia" w:ascii="仿宋" w:hAnsi="仿宋" w:eastAsia="仿宋"/>
          <w:b w:val="0"/>
          <w:bCs/>
          <w:sz w:val="32"/>
          <w:szCs w:val="32"/>
          <w:lang w:eastAsia="zh-CN"/>
        </w:rPr>
        <w:t>结转了</w:t>
      </w:r>
      <w:r>
        <w:rPr>
          <w:rStyle w:val="16"/>
          <w:rFonts w:hint="eastAsia" w:ascii="仿宋" w:hAnsi="仿宋" w:eastAsia="仿宋"/>
          <w:b w:val="0"/>
          <w:bCs/>
          <w:sz w:val="32"/>
          <w:szCs w:val="32"/>
          <w:lang w:val="en-US" w:eastAsia="zh-CN"/>
        </w:rPr>
        <w:t>2021年省级财政社保公共服务能力建设资金6262.00元，根据合同要求，应在2022年支付</w:t>
      </w:r>
      <w:r>
        <w:rPr>
          <w:rStyle w:val="16"/>
          <w:rFonts w:hint="eastAsia" w:ascii="仿宋" w:hAnsi="仿宋" w:eastAsia="仿宋"/>
          <w:b w:val="0"/>
          <w:bCs/>
          <w:sz w:val="32"/>
          <w:szCs w:val="32"/>
        </w:rPr>
        <w:t>。</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rPr>
        <w:t>11</w:t>
      </w:r>
      <w:r>
        <w:rPr>
          <w:rStyle w:val="16"/>
          <w:rFonts w:ascii="仿宋" w:hAnsi="仿宋" w:eastAsia="仿宋"/>
          <w:bCs/>
          <w:sz w:val="32"/>
          <w:szCs w:val="32"/>
        </w:rPr>
        <w:t>.</w:t>
      </w:r>
      <w:r>
        <w:rPr>
          <w:rFonts w:hint="eastAsia" w:ascii="仿宋" w:hAnsi="仿宋" w:eastAsia="仿宋"/>
          <w:b/>
          <w:bCs/>
          <w:sz w:val="32"/>
          <w:szCs w:val="32"/>
        </w:rPr>
        <w:t>卫生健康</w:t>
      </w:r>
      <w:r>
        <w:rPr>
          <w:rStyle w:val="16"/>
          <w:rFonts w:hint="eastAsia" w:ascii="仿宋" w:hAnsi="仿宋" w:eastAsia="仿宋"/>
          <w:bCs/>
          <w:sz w:val="32"/>
          <w:szCs w:val="32"/>
        </w:rPr>
        <w:t>（类）行政事业单位医疗（款）行政单位医疗（项）</w:t>
      </w:r>
      <w:r>
        <w:rPr>
          <w:rStyle w:val="16"/>
          <w:rFonts w:ascii="仿宋" w:hAnsi="仿宋" w:eastAsia="仿宋"/>
          <w:bCs/>
          <w:sz w:val="32"/>
          <w:szCs w:val="32"/>
        </w:rPr>
        <w:t>:</w:t>
      </w:r>
      <w:r>
        <w:rPr>
          <w:rStyle w:val="16"/>
          <w:rFonts w:hint="eastAsia" w:ascii="仿宋" w:hAnsi="仿宋" w:eastAsia="仿宋"/>
          <w:b w:val="0"/>
          <w:bCs/>
          <w:sz w:val="32"/>
          <w:szCs w:val="32"/>
        </w:rPr>
        <w:t>支出决算为26.88万元，完成预算100</w:t>
      </w:r>
      <w:r>
        <w:rPr>
          <w:rStyle w:val="16"/>
          <w:rFonts w:ascii="仿宋" w:hAnsi="仿宋" w:eastAsia="仿宋"/>
          <w:b w:val="0"/>
          <w:bCs/>
          <w:sz w:val="32"/>
          <w:szCs w:val="32"/>
        </w:rPr>
        <w:t>%</w:t>
      </w:r>
      <w:r>
        <w:rPr>
          <w:rStyle w:val="16"/>
          <w:rFonts w:hint="eastAsia" w:ascii="仿宋" w:hAnsi="仿宋" w:eastAsia="仿宋"/>
          <w:b w:val="0"/>
          <w:bCs/>
          <w:sz w:val="32"/>
          <w:szCs w:val="32"/>
        </w:rPr>
        <w:t>，决算数等于预算数。</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rPr>
        <w:t>12</w:t>
      </w:r>
      <w:r>
        <w:rPr>
          <w:rStyle w:val="16"/>
          <w:rFonts w:ascii="仿宋" w:hAnsi="仿宋" w:eastAsia="仿宋"/>
          <w:bCs/>
          <w:sz w:val="32"/>
          <w:szCs w:val="32"/>
        </w:rPr>
        <w:t>.</w:t>
      </w:r>
      <w:r>
        <w:rPr>
          <w:rFonts w:hint="eastAsia" w:ascii="仿宋" w:hAnsi="仿宋" w:eastAsia="仿宋"/>
          <w:b/>
          <w:bCs/>
          <w:sz w:val="32"/>
          <w:szCs w:val="32"/>
        </w:rPr>
        <w:t>住房保障支出</w:t>
      </w:r>
      <w:r>
        <w:rPr>
          <w:rStyle w:val="16"/>
          <w:rFonts w:hint="eastAsia" w:ascii="仿宋" w:hAnsi="仿宋" w:eastAsia="仿宋"/>
          <w:bCs/>
          <w:sz w:val="32"/>
          <w:szCs w:val="32"/>
        </w:rPr>
        <w:t>（类）住房改革支出（款）住房公积金（项）</w:t>
      </w:r>
      <w:r>
        <w:rPr>
          <w:rStyle w:val="16"/>
          <w:rFonts w:ascii="仿宋" w:hAnsi="仿宋" w:eastAsia="仿宋"/>
          <w:bCs/>
          <w:sz w:val="32"/>
          <w:szCs w:val="32"/>
        </w:rPr>
        <w:t>:</w:t>
      </w:r>
      <w:r>
        <w:rPr>
          <w:rStyle w:val="16"/>
          <w:rFonts w:hint="eastAsia" w:ascii="仿宋" w:hAnsi="仿宋" w:eastAsia="仿宋"/>
          <w:b w:val="0"/>
          <w:bCs/>
          <w:sz w:val="32"/>
          <w:szCs w:val="32"/>
        </w:rPr>
        <w:t>支出决算为40.94万元，完成预算100</w:t>
      </w:r>
      <w:r>
        <w:rPr>
          <w:rStyle w:val="16"/>
          <w:rFonts w:ascii="仿宋" w:hAnsi="仿宋" w:eastAsia="仿宋"/>
          <w:b w:val="0"/>
          <w:bCs/>
          <w:sz w:val="32"/>
          <w:szCs w:val="32"/>
        </w:rPr>
        <w:t>%</w:t>
      </w:r>
      <w:r>
        <w:rPr>
          <w:rStyle w:val="16"/>
          <w:rFonts w:hint="eastAsia" w:ascii="仿宋" w:hAnsi="仿宋" w:eastAsia="仿宋"/>
          <w:b w:val="0"/>
          <w:bCs/>
          <w:sz w:val="32"/>
          <w:szCs w:val="32"/>
        </w:rPr>
        <w:t>，决算数等于预算数。</w:t>
      </w:r>
    </w:p>
    <w:p>
      <w:pPr>
        <w:tabs>
          <w:tab w:val="right" w:pos="8306"/>
        </w:tabs>
        <w:spacing w:line="600" w:lineRule="exact"/>
        <w:ind w:firstLine="640"/>
        <w:outlineLvl w:val="1"/>
        <w:rPr>
          <w:rStyle w:val="27"/>
        </w:rPr>
      </w:pPr>
      <w:bookmarkStart w:id="43" w:name="_Toc15377214"/>
      <w:bookmarkStart w:id="44" w:name="_Toc15396608"/>
      <w:bookmarkStart w:id="45" w:name="_Toc20835"/>
      <w:r>
        <w:rPr>
          <w:rFonts w:hint="eastAsia" w:ascii="黑体" w:eastAsia="黑体"/>
          <w:sz w:val="32"/>
          <w:szCs w:val="32"/>
        </w:rPr>
        <w:t>六</w:t>
      </w:r>
      <w:r>
        <w:rPr>
          <w:rFonts w:hint="eastAsia" w:ascii="黑体" w:eastAsia="黑体"/>
          <w:b/>
          <w:sz w:val="32"/>
          <w:szCs w:val="32"/>
        </w:rPr>
        <w:t>、</w:t>
      </w:r>
      <w:r>
        <w:rPr>
          <w:rFonts w:hint="eastAsia" w:ascii="黑体" w:hAnsi="黑体" w:eastAsia="黑体"/>
          <w:b/>
          <w:sz w:val="32"/>
          <w:szCs w:val="32"/>
        </w:rPr>
        <w:t>一</w:t>
      </w:r>
      <w:r>
        <w:rPr>
          <w:rStyle w:val="27"/>
          <w:rFonts w:hint="eastAsia" w:ascii="黑体" w:hAnsi="黑体" w:eastAsia="黑体"/>
          <w:b w:val="0"/>
        </w:rPr>
        <w:t>般公共预算财政拨款基本支出决算情况说明</w:t>
      </w:r>
      <w:bookmarkEnd w:id="43"/>
      <w:bookmarkEnd w:id="44"/>
      <w:bookmarkEnd w:id="45"/>
      <w:r>
        <w:rPr>
          <w:rStyle w:val="27"/>
          <w:rFonts w:ascii="黑体" w:hAnsi="黑体" w:eastAsia="黑体"/>
          <w:b w:val="0"/>
        </w:rPr>
        <w:tab/>
      </w:r>
    </w:p>
    <w:p>
      <w:pPr>
        <w:spacing w:line="600" w:lineRule="exact"/>
        <w:ind w:firstLine="645"/>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21年一般公共预算财政拨款基本支出705.16万元，其中：</w:t>
      </w:r>
    </w:p>
    <w:p>
      <w:pPr>
        <w:spacing w:line="600" w:lineRule="exact"/>
        <w:ind w:firstLine="645"/>
        <w:rPr>
          <w:rFonts w:ascii="仿宋" w:hAnsi="仿宋" w:eastAsia="仿宋"/>
          <w:b/>
          <w:sz w:val="32"/>
          <w:szCs w:val="32"/>
        </w:rPr>
      </w:pPr>
      <w:r>
        <w:rPr>
          <w:rFonts w:hint="eastAsia" w:ascii="仿宋" w:hAnsi="仿宋" w:eastAsia="仿宋"/>
          <w:sz w:val="32"/>
          <w:szCs w:val="32"/>
        </w:rPr>
        <w:t>人员经费628.72万元，主要包括：基本工资、津贴补贴、奖金、绩效工资、机关事业单位基本养老保险缴费、其他社会保障缴费、抚恤金、生活补助、奖励金、住房公积金、其他对个人和家庭的补助支出等。</w:t>
      </w:r>
      <w:r>
        <w:rPr>
          <w:rFonts w:ascii="仿宋" w:hAnsi="仿宋" w:eastAsia="仿宋"/>
          <w:sz w:val="32"/>
          <w:szCs w:val="32"/>
        </w:rPr>
        <w:br w:type="textWrapping"/>
      </w:r>
      <w:r>
        <w:rPr>
          <w:rFonts w:hint="eastAsia" w:ascii="仿宋" w:hAnsi="仿宋" w:eastAsia="仿宋"/>
          <w:sz w:val="32"/>
          <w:szCs w:val="32"/>
        </w:rPr>
        <w:t>　　公用经费76.44万元，主要包括：办公费、印刷费、水费、电费、邮电费、差旅费、公务接待费、劳务费、工会经费、福利费、其他交通费、税金及附加费用、其他商品和服务支出等。</w:t>
      </w:r>
    </w:p>
    <w:p>
      <w:pPr>
        <w:spacing w:line="600" w:lineRule="exact"/>
        <w:ind w:firstLine="640"/>
        <w:outlineLvl w:val="1"/>
        <w:rPr>
          <w:rStyle w:val="27"/>
          <w:rFonts w:ascii="黑体" w:hAnsi="黑体" w:eastAsia="黑体"/>
          <w:b w:val="0"/>
        </w:rPr>
      </w:pPr>
      <w:bookmarkStart w:id="46" w:name="_Toc14525"/>
      <w:bookmarkStart w:id="47" w:name="_Toc15396609"/>
      <w:bookmarkStart w:id="48" w:name="_Toc15377215"/>
      <w:r>
        <w:rPr>
          <w:rFonts w:hint="eastAsia" w:ascii="黑体" w:eastAsia="黑体"/>
          <w:sz w:val="32"/>
          <w:szCs w:val="32"/>
        </w:rPr>
        <w:t>七、</w:t>
      </w:r>
      <w:r>
        <w:rPr>
          <w:rStyle w:val="27"/>
          <w:rFonts w:hint="eastAsia" w:ascii="黑体" w:hAnsi="黑体" w:eastAsia="黑体"/>
        </w:rPr>
        <w:t>“</w:t>
      </w:r>
      <w:r>
        <w:rPr>
          <w:rStyle w:val="27"/>
          <w:rFonts w:hint="eastAsia" w:ascii="黑体" w:hAnsi="黑体" w:eastAsia="黑体"/>
          <w:b w:val="0"/>
        </w:rPr>
        <w:t>三公”经费财政拨款支出决算情况说明</w:t>
      </w:r>
      <w:bookmarkEnd w:id="46"/>
      <w:bookmarkEnd w:id="47"/>
      <w:bookmarkEnd w:id="48"/>
    </w:p>
    <w:p>
      <w:pPr>
        <w:spacing w:line="600" w:lineRule="exact"/>
        <w:ind w:firstLine="640"/>
        <w:outlineLvl w:val="2"/>
        <w:rPr>
          <w:rFonts w:ascii="仿宋" w:hAnsi="仿宋" w:eastAsia="仿宋"/>
          <w:b/>
          <w:sz w:val="32"/>
          <w:szCs w:val="32"/>
        </w:rPr>
      </w:pPr>
      <w:bookmarkStart w:id="49" w:name="_Toc15377216"/>
      <w:r>
        <w:rPr>
          <w:rFonts w:hint="eastAsia" w:ascii="仿宋" w:hAnsi="仿宋" w:eastAsia="仿宋"/>
          <w:b/>
          <w:sz w:val="32"/>
          <w:szCs w:val="32"/>
        </w:rPr>
        <w:t>（一）“三公”经费财政拨款支出决算总体情况说明</w:t>
      </w:r>
      <w:bookmarkEnd w:id="49"/>
    </w:p>
    <w:p>
      <w:pPr>
        <w:spacing w:line="600" w:lineRule="exact"/>
        <w:ind w:firstLine="640"/>
        <w:rPr>
          <w:rFonts w:hint="eastAsia"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21年“三公”经费财政拨款支出决算为8.72万元，完成预算90.83</w:t>
      </w:r>
      <w:r>
        <w:rPr>
          <w:rFonts w:ascii="仿宋" w:hAnsi="仿宋" w:eastAsia="仿宋"/>
          <w:sz w:val="32"/>
          <w:szCs w:val="32"/>
        </w:rPr>
        <w:t>%</w:t>
      </w:r>
      <w:r>
        <w:rPr>
          <w:rFonts w:hint="eastAsia" w:ascii="仿宋" w:hAnsi="仿宋" w:eastAsia="仿宋"/>
          <w:sz w:val="32"/>
          <w:szCs w:val="32"/>
        </w:rPr>
        <w:t>，决算数小于预算数的主要原因是厉行节约，反对铺张浪费，严格压缩三公经费的开支。</w:t>
      </w:r>
    </w:p>
    <w:p>
      <w:pPr>
        <w:spacing w:line="600" w:lineRule="exact"/>
        <w:ind w:firstLine="640"/>
        <w:outlineLvl w:val="2"/>
        <w:rPr>
          <w:rFonts w:ascii="仿宋" w:hAnsi="仿宋" w:eastAsia="仿宋"/>
          <w:b/>
          <w:sz w:val="32"/>
          <w:szCs w:val="32"/>
        </w:rPr>
      </w:pPr>
      <w:bookmarkStart w:id="50" w:name="_Toc15377217"/>
      <w:r>
        <w:rPr>
          <w:rFonts w:hint="eastAsia" w:ascii="仿宋" w:hAnsi="仿宋" w:eastAsia="仿宋"/>
          <w:b/>
          <w:sz w:val="32"/>
          <w:szCs w:val="32"/>
        </w:rPr>
        <w:t>（二）“三公”经费财政拨款支出决算具体情况说明</w:t>
      </w:r>
      <w:bookmarkEnd w:id="50"/>
    </w:p>
    <w:p>
      <w:pPr>
        <w:spacing w:line="600" w:lineRule="exact"/>
        <w:ind w:firstLine="640"/>
        <w:rPr>
          <w:rFonts w:hint="eastAsia"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21年“三公”经费财政拨款支出决算中，因公出国（境）费支出决算0万元，占0</w:t>
      </w:r>
      <w:r>
        <w:rPr>
          <w:rFonts w:ascii="仿宋" w:hAnsi="仿宋" w:eastAsia="仿宋"/>
          <w:sz w:val="32"/>
          <w:szCs w:val="32"/>
        </w:rPr>
        <w:t>%</w:t>
      </w:r>
      <w:r>
        <w:rPr>
          <w:rFonts w:hint="eastAsia" w:ascii="仿宋" w:hAnsi="仿宋" w:eastAsia="仿宋"/>
          <w:sz w:val="32"/>
          <w:szCs w:val="32"/>
        </w:rPr>
        <w:t>；公务用车购置及运行维护费支出决算0万元，占0</w:t>
      </w:r>
      <w:r>
        <w:rPr>
          <w:rFonts w:ascii="仿宋" w:hAnsi="仿宋" w:eastAsia="仿宋"/>
          <w:sz w:val="32"/>
          <w:szCs w:val="32"/>
        </w:rPr>
        <w:t>%</w:t>
      </w:r>
      <w:r>
        <w:rPr>
          <w:rFonts w:hint="eastAsia" w:ascii="仿宋" w:hAnsi="仿宋" w:eastAsia="仿宋"/>
          <w:sz w:val="32"/>
          <w:szCs w:val="32"/>
        </w:rPr>
        <w:t>；公务接待费支出决算8.72万元，占100</w:t>
      </w:r>
      <w:r>
        <w:rPr>
          <w:rFonts w:ascii="仿宋" w:hAnsi="仿宋" w:eastAsia="仿宋"/>
          <w:sz w:val="32"/>
          <w:szCs w:val="32"/>
        </w:rPr>
        <w:t>%</w:t>
      </w:r>
      <w:r>
        <w:rPr>
          <w:rFonts w:hint="eastAsia" w:ascii="仿宋" w:hAnsi="仿宋" w:eastAsia="仿宋"/>
          <w:sz w:val="32"/>
          <w:szCs w:val="32"/>
        </w:rPr>
        <w:t>。具体情况如下：</w:t>
      </w:r>
    </w:p>
    <w:p>
      <w:pPr>
        <w:pStyle w:val="11"/>
        <w:ind w:left="0" w:leftChars="0" w:firstLine="0" w:firstLineChars="0"/>
        <w:jc w:val="center"/>
        <w:rPr>
          <w:rFonts w:hint="eastAsia"/>
        </w:rPr>
      </w:pPr>
      <w:r>
        <w:rPr>
          <w:rFonts w:hint="eastAsia" w:ascii="仿宋" w:hAnsi="仿宋" w:eastAsia="仿宋"/>
          <w:sz w:val="32"/>
          <w:szCs w:val="32"/>
          <w:lang w:eastAsia="zh-CN"/>
        </w:rPr>
        <w:drawing>
          <wp:inline distT="0" distB="0" distL="114300" distR="114300">
            <wp:extent cx="4590415" cy="2804160"/>
            <wp:effectExtent l="0" t="0" r="12065" b="0"/>
            <wp:docPr id="7" name="图片 7" descr="图片7-“三公”经费财政拨款支出结构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图片7-“三公”经费财政拨款支出结构图"/>
                    <pic:cNvPicPr>
                      <a:picLocks noChangeAspect="1"/>
                    </pic:cNvPicPr>
                  </pic:nvPicPr>
                  <pic:blipFill>
                    <a:blip r:embed="rId12"/>
                    <a:stretch>
                      <a:fillRect/>
                    </a:stretch>
                  </pic:blipFill>
                  <pic:spPr>
                    <a:xfrm>
                      <a:off x="0" y="0"/>
                      <a:ext cx="4590415" cy="2804160"/>
                    </a:xfrm>
                    <a:prstGeom prst="rect">
                      <a:avLst/>
                    </a:prstGeom>
                  </pic:spPr>
                </pic:pic>
              </a:graphicData>
            </a:graphic>
          </wp:inline>
        </w:drawing>
      </w:r>
    </w:p>
    <w:p>
      <w:pPr>
        <w:spacing w:line="600" w:lineRule="exact"/>
        <w:jc w:val="center"/>
        <w:rPr>
          <w:rFonts w:ascii="仿宋" w:hAnsi="仿宋" w:eastAsia="仿宋"/>
          <w:sz w:val="32"/>
          <w:szCs w:val="32"/>
        </w:rPr>
      </w:pPr>
      <w:r>
        <w:rPr>
          <w:rFonts w:hint="eastAsia" w:ascii="仿宋" w:hAnsi="仿宋" w:eastAsia="仿宋"/>
          <w:sz w:val="32"/>
          <w:szCs w:val="32"/>
        </w:rPr>
        <w:t>（图7：“三公”经费财政拨款支出结构）</w:t>
      </w:r>
    </w:p>
    <w:p>
      <w:pPr>
        <w:spacing w:line="600" w:lineRule="exact"/>
        <w:ind w:firstLine="640"/>
        <w:rPr>
          <w:rFonts w:hint="eastAsia" w:ascii="仿宋_GB2312" w:eastAsia="仿宋_GB2312"/>
          <w:b/>
          <w:bCs w:val="0"/>
          <w:sz w:val="32"/>
          <w:szCs w:val="32"/>
        </w:rPr>
      </w:pPr>
      <w:r>
        <w:rPr>
          <w:rFonts w:ascii="仿宋_GB2312" w:eastAsia="仿宋_GB2312"/>
          <w:b/>
          <w:sz w:val="32"/>
          <w:szCs w:val="32"/>
        </w:rPr>
        <w:t>1.</w:t>
      </w:r>
      <w:r>
        <w:rPr>
          <w:rFonts w:hint="eastAsia" w:ascii="仿宋_GB2312" w:eastAsia="仿宋_GB2312"/>
          <w:b/>
          <w:sz w:val="32"/>
          <w:szCs w:val="32"/>
        </w:rPr>
        <w:t>因公出</w:t>
      </w:r>
      <w:r>
        <w:rPr>
          <w:rFonts w:hint="eastAsia" w:ascii="仿宋_GB2312" w:eastAsia="仿宋_GB2312"/>
          <w:b/>
          <w:bCs w:val="0"/>
          <w:sz w:val="32"/>
          <w:szCs w:val="32"/>
        </w:rPr>
        <w:t>国（境）经费支出0万元，年初未安排预算。</w:t>
      </w:r>
    </w:p>
    <w:p>
      <w:pPr>
        <w:spacing w:line="600" w:lineRule="exact"/>
        <w:ind w:firstLine="640"/>
        <w:rPr>
          <w:rFonts w:hint="eastAsia" w:ascii="仿宋_GB2312" w:eastAsia="仿宋_GB2312"/>
          <w:b/>
          <w:bCs w:val="0"/>
          <w:sz w:val="32"/>
          <w:szCs w:val="32"/>
        </w:rPr>
      </w:pPr>
      <w:r>
        <w:rPr>
          <w:rFonts w:hint="eastAsia" w:ascii="仿宋_GB2312" w:eastAsia="仿宋_GB2312"/>
          <w:b/>
          <w:bCs w:val="0"/>
          <w:sz w:val="32"/>
          <w:szCs w:val="32"/>
        </w:rPr>
        <w:t>2.公务用车购置及运行维护费支出0万元,年初未安排预算。</w:t>
      </w:r>
    </w:p>
    <w:p>
      <w:pPr>
        <w:spacing w:line="600" w:lineRule="exact"/>
        <w:ind w:firstLine="640" w:firstLineChars="200"/>
        <w:rPr>
          <w:rFonts w:ascii="仿宋_GB2312" w:eastAsia="仿宋_GB2312"/>
          <w:b/>
          <w:sz w:val="32"/>
          <w:szCs w:val="32"/>
        </w:rPr>
      </w:pPr>
      <w:r>
        <w:rPr>
          <w:rFonts w:hint="eastAsia" w:ascii="仿宋_GB2312" w:eastAsia="仿宋_GB2312"/>
          <w:sz w:val="32"/>
          <w:szCs w:val="32"/>
        </w:rPr>
        <w:t>其中：</w:t>
      </w:r>
      <w:r>
        <w:rPr>
          <w:rFonts w:hint="eastAsia" w:ascii="仿宋_GB2312" w:eastAsia="仿宋_GB2312"/>
          <w:b/>
          <w:sz w:val="32"/>
          <w:szCs w:val="32"/>
        </w:rPr>
        <w:t>公务用车购置支出</w:t>
      </w:r>
      <w:r>
        <w:rPr>
          <w:rFonts w:hint="eastAsia" w:ascii="仿宋_GB2312" w:eastAsia="仿宋_GB2312"/>
          <w:sz w:val="32"/>
          <w:szCs w:val="32"/>
        </w:rPr>
        <w:t>0万元。全年按规定更新购置公务用车0辆，其中：轿车0辆、金额0万元，越野车0辆、金额0万元，载客汽车0辆、金额0万元。截至</w:t>
      </w:r>
      <w:r>
        <w:rPr>
          <w:rFonts w:ascii="仿宋_GB2312" w:eastAsia="仿宋_GB2312"/>
          <w:sz w:val="32"/>
          <w:szCs w:val="32"/>
        </w:rPr>
        <w:t>20</w:t>
      </w:r>
      <w:r>
        <w:rPr>
          <w:rFonts w:hint="eastAsia" w:ascii="仿宋_GB2312" w:eastAsia="仿宋_GB2312"/>
          <w:sz w:val="32"/>
          <w:szCs w:val="32"/>
        </w:rPr>
        <w:t>21年</w:t>
      </w:r>
      <w:r>
        <w:rPr>
          <w:rFonts w:ascii="仿宋_GB2312" w:eastAsia="仿宋_GB2312"/>
          <w:sz w:val="32"/>
          <w:szCs w:val="32"/>
        </w:rPr>
        <w:t>12</w:t>
      </w:r>
      <w:r>
        <w:rPr>
          <w:rFonts w:hint="eastAsia" w:ascii="仿宋_GB2312" w:eastAsia="仿宋_GB2312"/>
          <w:sz w:val="32"/>
          <w:szCs w:val="32"/>
        </w:rPr>
        <w:t>月底，单位共有公务用车0辆，其中：轿车0辆、越野车0辆、载客汽车0辆。</w:t>
      </w:r>
    </w:p>
    <w:p>
      <w:pPr>
        <w:spacing w:line="600" w:lineRule="exact"/>
        <w:ind w:firstLine="640"/>
        <w:rPr>
          <w:rFonts w:ascii="仿宋_GB2312" w:eastAsia="仿宋_GB2312"/>
          <w:sz w:val="32"/>
          <w:szCs w:val="32"/>
        </w:rPr>
      </w:pPr>
      <w:r>
        <w:rPr>
          <w:rFonts w:hint="eastAsia" w:ascii="仿宋_GB2312" w:eastAsia="仿宋_GB2312"/>
          <w:b/>
          <w:sz w:val="32"/>
          <w:szCs w:val="32"/>
        </w:rPr>
        <w:t>公务用车运行维护费支出</w:t>
      </w:r>
      <w:r>
        <w:rPr>
          <w:rFonts w:hint="eastAsia" w:ascii="仿宋_GB2312" w:eastAsia="仿宋_GB2312"/>
          <w:sz w:val="32"/>
          <w:szCs w:val="32"/>
        </w:rPr>
        <w:t>0万元。</w:t>
      </w:r>
    </w:p>
    <w:p>
      <w:pPr>
        <w:spacing w:line="600" w:lineRule="exact"/>
        <w:ind w:firstLine="640"/>
        <w:rPr>
          <w:rFonts w:ascii="仿宋_GB2312" w:eastAsia="仿宋_GB2312"/>
          <w:sz w:val="32"/>
          <w:szCs w:val="32"/>
        </w:rPr>
      </w:pPr>
      <w:r>
        <w:rPr>
          <w:rFonts w:ascii="仿宋_GB2312" w:eastAsia="仿宋_GB2312"/>
          <w:b/>
          <w:sz w:val="32"/>
          <w:szCs w:val="32"/>
        </w:rPr>
        <w:t>3.</w:t>
      </w:r>
      <w:r>
        <w:rPr>
          <w:rFonts w:hint="eastAsia" w:ascii="仿宋_GB2312" w:eastAsia="仿宋_GB2312"/>
          <w:b/>
          <w:sz w:val="32"/>
          <w:szCs w:val="32"/>
        </w:rPr>
        <w:t>公务接待费支出</w:t>
      </w:r>
      <w:r>
        <w:rPr>
          <w:rFonts w:hint="eastAsia" w:ascii="仿宋_GB2312" w:eastAsia="仿宋_GB2312"/>
          <w:sz w:val="32"/>
          <w:szCs w:val="32"/>
        </w:rPr>
        <w:t>8.72万元，</w:t>
      </w:r>
      <w:r>
        <w:rPr>
          <w:rStyle w:val="16"/>
          <w:rFonts w:hint="eastAsia" w:ascii="仿宋" w:hAnsi="仿宋" w:eastAsia="仿宋"/>
          <w:b w:val="0"/>
          <w:bCs/>
          <w:sz w:val="32"/>
          <w:szCs w:val="32"/>
        </w:rPr>
        <w:t>完成预算90.83</w:t>
      </w:r>
      <w:r>
        <w:rPr>
          <w:rStyle w:val="16"/>
          <w:rFonts w:ascii="仿宋" w:hAnsi="仿宋" w:eastAsia="仿宋"/>
          <w:b w:val="0"/>
          <w:bCs/>
          <w:sz w:val="32"/>
          <w:szCs w:val="32"/>
        </w:rPr>
        <w:t>%</w:t>
      </w:r>
      <w:r>
        <w:rPr>
          <w:rStyle w:val="16"/>
          <w:rFonts w:hint="eastAsia" w:ascii="仿宋" w:hAnsi="仿宋" w:eastAsia="仿宋"/>
          <w:b w:val="0"/>
          <w:bCs/>
          <w:sz w:val="32"/>
          <w:szCs w:val="32"/>
        </w:rPr>
        <w:t>。</w:t>
      </w:r>
      <w:r>
        <w:rPr>
          <w:rFonts w:hint="eastAsia" w:ascii="仿宋_GB2312" w:eastAsia="仿宋_GB2312"/>
          <w:sz w:val="32"/>
          <w:szCs w:val="32"/>
        </w:rPr>
        <w:t>公务接待费支出决算比</w:t>
      </w:r>
      <w:r>
        <w:rPr>
          <w:rFonts w:ascii="仿宋_GB2312" w:eastAsia="仿宋_GB2312"/>
          <w:sz w:val="32"/>
          <w:szCs w:val="32"/>
        </w:rPr>
        <w:t>20</w:t>
      </w:r>
      <w:r>
        <w:rPr>
          <w:rFonts w:hint="eastAsia" w:ascii="仿宋_GB2312" w:eastAsia="仿宋_GB2312"/>
          <w:sz w:val="32"/>
          <w:szCs w:val="32"/>
        </w:rPr>
        <w:t>20年增加1.48万元，增长20.44</w:t>
      </w:r>
      <w:r>
        <w:rPr>
          <w:rFonts w:ascii="仿宋_GB2312" w:eastAsia="仿宋_GB2312"/>
          <w:sz w:val="32"/>
          <w:szCs w:val="32"/>
        </w:rPr>
        <w:t>%</w:t>
      </w:r>
      <w:r>
        <w:rPr>
          <w:rFonts w:hint="eastAsia" w:ascii="仿宋_GB2312" w:eastAsia="仿宋_GB2312"/>
          <w:sz w:val="32"/>
          <w:szCs w:val="32"/>
        </w:rPr>
        <w:t>。主要原因是</w:t>
      </w:r>
      <w:r>
        <w:rPr>
          <w:rFonts w:hint="eastAsia" w:ascii="仿宋_GB2312" w:eastAsia="仿宋_GB2312"/>
          <w:sz w:val="32"/>
          <w:szCs w:val="32"/>
          <w:lang w:eastAsia="zh-CN"/>
        </w:rPr>
        <w:t>上级部门来指导业务工作量增多</w:t>
      </w:r>
      <w:r>
        <w:rPr>
          <w:rFonts w:hint="eastAsia" w:ascii="仿宋_GB2312" w:eastAsia="仿宋_GB2312"/>
          <w:sz w:val="32"/>
          <w:szCs w:val="32"/>
        </w:rPr>
        <w:t>。其中：</w:t>
      </w:r>
    </w:p>
    <w:p>
      <w:pPr>
        <w:spacing w:line="600" w:lineRule="exact"/>
        <w:ind w:firstLine="640"/>
        <w:rPr>
          <w:rFonts w:ascii="仿宋_GB2312" w:eastAsia="仿宋_GB2312"/>
          <w:sz w:val="32"/>
          <w:szCs w:val="32"/>
        </w:rPr>
      </w:pPr>
      <w:r>
        <w:rPr>
          <w:rFonts w:hint="eastAsia" w:ascii="仿宋" w:hAnsi="仿宋" w:eastAsia="仿宋"/>
          <w:b/>
          <w:sz w:val="32"/>
          <w:szCs w:val="32"/>
        </w:rPr>
        <w:t>国内公务接待支出</w:t>
      </w:r>
      <w:r>
        <w:rPr>
          <w:rFonts w:hint="eastAsia" w:ascii="仿宋" w:hAnsi="仿宋" w:eastAsia="仿宋"/>
          <w:sz w:val="32"/>
          <w:szCs w:val="32"/>
        </w:rPr>
        <w:t>8.72</w:t>
      </w:r>
      <w:r>
        <w:rPr>
          <w:rFonts w:hint="eastAsia" w:ascii="仿宋_GB2312" w:eastAsia="仿宋_GB2312"/>
          <w:sz w:val="32"/>
          <w:szCs w:val="32"/>
        </w:rPr>
        <w:t>万元，主要用于</w:t>
      </w:r>
      <w:r>
        <w:rPr>
          <w:rFonts w:hint="eastAsia" w:ascii="仿宋_GB2312" w:eastAsia="仿宋_GB2312"/>
          <w:sz w:val="32"/>
          <w:szCs w:val="32"/>
          <w:lang w:eastAsia="zh-CN"/>
        </w:rPr>
        <w:t>上级部门来指导业务</w:t>
      </w:r>
      <w:r>
        <w:rPr>
          <w:rFonts w:hint="eastAsia" w:ascii="仿宋_GB2312" w:eastAsia="仿宋_GB2312"/>
          <w:sz w:val="32"/>
          <w:szCs w:val="32"/>
        </w:rPr>
        <w:t>开支的用餐费。国内公务接待72批次，884人次（不包括陪同人员），共计支出8.72万元，具体内容包括：接待省领导检查指导工</w:t>
      </w:r>
      <w:r>
        <w:rPr>
          <w:rFonts w:hint="eastAsia" w:ascii="仿宋_GB2312" w:eastAsia="仿宋_GB2312"/>
          <w:sz w:val="32"/>
          <w:szCs w:val="32"/>
          <w:lang w:eastAsia="zh-CN"/>
        </w:rPr>
        <w:t>作，</w:t>
      </w:r>
      <w:r>
        <w:rPr>
          <w:rFonts w:hint="eastAsia" w:ascii="仿宋_GB2312" w:eastAsia="仿宋_GB2312"/>
          <w:sz w:val="32"/>
          <w:szCs w:val="32"/>
        </w:rPr>
        <w:t>市</w:t>
      </w:r>
      <w:r>
        <w:rPr>
          <w:rFonts w:hint="eastAsia" w:ascii="仿宋_GB2312" w:eastAsia="仿宋_GB2312"/>
          <w:sz w:val="32"/>
          <w:szCs w:val="32"/>
          <w:lang w:eastAsia="zh-CN"/>
        </w:rPr>
        <w:t>人社局来指导和</w:t>
      </w:r>
      <w:r>
        <w:rPr>
          <w:rFonts w:hint="eastAsia" w:ascii="仿宋_GB2312" w:eastAsia="仿宋_GB2312"/>
          <w:sz w:val="32"/>
          <w:szCs w:val="32"/>
        </w:rPr>
        <w:t>检查</w:t>
      </w:r>
      <w:r>
        <w:rPr>
          <w:rFonts w:hint="eastAsia" w:ascii="仿宋_GB2312" w:eastAsia="仿宋_GB2312"/>
          <w:sz w:val="32"/>
          <w:szCs w:val="32"/>
          <w:lang w:eastAsia="zh-CN"/>
        </w:rPr>
        <w:t>人社领域</w:t>
      </w:r>
      <w:r>
        <w:rPr>
          <w:rFonts w:hint="eastAsia" w:ascii="仿宋_GB2312" w:eastAsia="仿宋_GB2312"/>
          <w:sz w:val="32"/>
          <w:szCs w:val="32"/>
        </w:rPr>
        <w:t>相关工作</w:t>
      </w:r>
      <w:r>
        <w:rPr>
          <w:rFonts w:hint="eastAsia" w:ascii="仿宋_GB2312" w:eastAsia="仿宋_GB2312"/>
          <w:sz w:val="32"/>
          <w:szCs w:val="32"/>
          <w:lang w:eastAsia="zh-CN"/>
        </w:rPr>
        <w:t>以及四县三区人社局来交流业务工作等。</w:t>
      </w:r>
    </w:p>
    <w:p>
      <w:pPr>
        <w:spacing w:line="600" w:lineRule="exact"/>
        <w:ind w:firstLine="643" w:firstLineChars="200"/>
        <w:rPr>
          <w:rFonts w:ascii="仿宋_GB2312" w:eastAsia="仿宋_GB2312"/>
          <w:sz w:val="32"/>
          <w:szCs w:val="32"/>
        </w:rPr>
      </w:pPr>
      <w:r>
        <w:rPr>
          <w:rFonts w:hint="eastAsia" w:ascii="仿宋" w:hAnsi="仿宋" w:eastAsia="仿宋"/>
          <w:b/>
          <w:sz w:val="32"/>
          <w:szCs w:val="32"/>
        </w:rPr>
        <w:t>外事接待支出</w:t>
      </w:r>
      <w:r>
        <w:rPr>
          <w:rFonts w:hint="eastAsia" w:ascii="仿宋" w:hAnsi="仿宋" w:eastAsia="仿宋"/>
          <w:sz w:val="32"/>
          <w:szCs w:val="32"/>
        </w:rPr>
        <w:t>0</w:t>
      </w:r>
      <w:r>
        <w:rPr>
          <w:rFonts w:hint="eastAsia" w:ascii="仿宋_GB2312" w:eastAsia="仿宋_GB2312"/>
          <w:sz w:val="32"/>
          <w:szCs w:val="32"/>
        </w:rPr>
        <w:t>万元，外事接待0批次，0人，共计支出0万元。</w:t>
      </w:r>
      <w:bookmarkStart w:id="51" w:name="_Toc15377218"/>
      <w:bookmarkStart w:id="52" w:name="_Toc15396610"/>
    </w:p>
    <w:p>
      <w:pPr>
        <w:spacing w:line="600" w:lineRule="exact"/>
        <w:ind w:firstLine="640"/>
        <w:outlineLvl w:val="1"/>
        <w:rPr>
          <w:rStyle w:val="27"/>
          <w:rFonts w:ascii="黑体" w:hAnsi="黑体" w:eastAsia="黑体"/>
        </w:rPr>
      </w:pPr>
      <w:bookmarkStart w:id="53" w:name="_Toc22862"/>
      <w:r>
        <w:rPr>
          <w:rFonts w:hint="eastAsia" w:ascii="黑体" w:eastAsia="黑体"/>
          <w:sz w:val="32"/>
          <w:szCs w:val="32"/>
        </w:rPr>
        <w:t>八、</w:t>
      </w:r>
      <w:r>
        <w:rPr>
          <w:rStyle w:val="27"/>
          <w:rFonts w:hint="eastAsia" w:ascii="黑体" w:hAnsi="黑体" w:eastAsia="黑体"/>
          <w:b w:val="0"/>
        </w:rPr>
        <w:t>政府性基金预算支出决算情况说明</w:t>
      </w:r>
      <w:bookmarkEnd w:id="51"/>
      <w:bookmarkEnd w:id="52"/>
      <w:bookmarkEnd w:id="53"/>
    </w:p>
    <w:p>
      <w:pPr>
        <w:spacing w:line="600" w:lineRule="exact"/>
        <w:ind w:firstLine="64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21年政府性基金预算财政拨款支出0万元。</w:t>
      </w:r>
    </w:p>
    <w:p>
      <w:pPr>
        <w:numPr>
          <w:ilvl w:val="0"/>
          <w:numId w:val="3"/>
        </w:numPr>
        <w:spacing w:line="600" w:lineRule="exact"/>
        <w:ind w:firstLine="640"/>
        <w:outlineLvl w:val="1"/>
        <w:rPr>
          <w:rStyle w:val="27"/>
          <w:rFonts w:ascii="黑体" w:hAnsi="黑体" w:eastAsia="黑体"/>
          <w:b w:val="0"/>
        </w:rPr>
      </w:pPr>
      <w:bookmarkStart w:id="54" w:name="_Toc15377219"/>
      <w:bookmarkStart w:id="55" w:name="_Toc15396611"/>
      <w:bookmarkStart w:id="56" w:name="_Toc28970"/>
      <w:r>
        <w:rPr>
          <w:rStyle w:val="27"/>
          <w:rFonts w:hint="eastAsia" w:ascii="黑体" w:hAnsi="黑体" w:eastAsia="黑体"/>
          <w:b w:val="0"/>
        </w:rPr>
        <w:t>国有资本经营预算支出决算情况说明</w:t>
      </w:r>
      <w:bookmarkEnd w:id="54"/>
      <w:bookmarkEnd w:id="55"/>
      <w:bookmarkEnd w:id="56"/>
    </w:p>
    <w:p>
      <w:pPr>
        <w:spacing w:line="600" w:lineRule="exact"/>
        <w:ind w:firstLine="640"/>
        <w:rPr>
          <w:rFonts w:ascii="方正小标宋简体" w:hAnsi="方正小标宋简体" w:eastAsia="方正小标宋简体" w:cs="方正小标宋简体"/>
          <w:sz w:val="44"/>
          <w:szCs w:val="44"/>
        </w:rPr>
      </w:pPr>
      <w:r>
        <w:rPr>
          <w:rFonts w:ascii="仿宋_GB2312" w:eastAsia="仿宋_GB2312"/>
          <w:sz w:val="32"/>
          <w:szCs w:val="32"/>
        </w:rPr>
        <w:t>20</w:t>
      </w:r>
      <w:r>
        <w:rPr>
          <w:rFonts w:hint="eastAsia" w:ascii="仿宋_GB2312" w:eastAsia="仿宋_GB2312"/>
          <w:sz w:val="32"/>
          <w:szCs w:val="32"/>
        </w:rPr>
        <w:t>21年国有资本经营预算财政拨款支出0万元。</w:t>
      </w:r>
    </w:p>
    <w:p>
      <w:pPr>
        <w:numPr>
          <w:ilvl w:val="0"/>
          <w:numId w:val="3"/>
        </w:numPr>
        <w:spacing w:line="600" w:lineRule="exact"/>
        <w:ind w:firstLine="640"/>
        <w:outlineLvl w:val="1"/>
        <w:rPr>
          <w:rStyle w:val="27"/>
          <w:rFonts w:ascii="黑体" w:hAnsi="黑体" w:eastAsia="黑体"/>
          <w:b w:val="0"/>
        </w:rPr>
      </w:pPr>
      <w:bookmarkStart w:id="57" w:name="_Toc1180"/>
      <w:bookmarkStart w:id="58" w:name="_Toc15396612"/>
      <w:bookmarkStart w:id="59" w:name="_Toc15377221"/>
      <w:r>
        <w:rPr>
          <w:rStyle w:val="27"/>
          <w:rFonts w:hint="eastAsia" w:ascii="黑体" w:hAnsi="黑体" w:eastAsia="黑体"/>
          <w:b w:val="0"/>
        </w:rPr>
        <w:t>预算绩效管理情况</w:t>
      </w:r>
      <w:bookmarkEnd w:id="57"/>
    </w:p>
    <w:p>
      <w:pPr>
        <w:spacing w:line="580" w:lineRule="exact"/>
        <w:ind w:firstLine="640" w:firstLineChars="200"/>
      </w:pPr>
      <w:r>
        <w:rPr>
          <w:rFonts w:hint="eastAsia" w:ascii="仿宋_GB2312" w:hAnsi="仿宋_GB2312" w:eastAsia="仿宋_GB2312" w:cs="仿宋_GB2312"/>
          <w:sz w:val="32"/>
          <w:szCs w:val="32"/>
        </w:rPr>
        <w:t>根据预算绩效管理要求，本单位在2021年度预算编制阶段，组织对</w:t>
      </w:r>
      <w:r>
        <w:rPr>
          <w:rFonts w:hint="eastAsia" w:ascii="仿宋_GB2312" w:hAnsi="仿宋_GB2312" w:eastAsia="仿宋_GB2312" w:cs="仿宋_GB2312"/>
          <w:sz w:val="32"/>
          <w:szCs w:val="32"/>
          <w:lang w:eastAsia="zh-CN"/>
        </w:rPr>
        <w:t>扫黑除恶工作经费</w:t>
      </w:r>
      <w:r>
        <w:rPr>
          <w:rFonts w:hint="eastAsia" w:ascii="仿宋_GB2312" w:hAnsi="仿宋_GB2312" w:eastAsia="仿宋_GB2312" w:cs="仿宋_GB2312"/>
          <w:sz w:val="32"/>
          <w:szCs w:val="32"/>
        </w:rPr>
        <w:t>项目</w:t>
      </w:r>
      <w:r>
        <w:rPr>
          <w:rFonts w:hint="eastAsia" w:ascii="仿宋_GB2312" w:hAnsi="仿宋_GB2312" w:eastAsia="仿宋_GB2312" w:cs="仿宋_GB2312"/>
          <w:sz w:val="32"/>
          <w:szCs w:val="32"/>
          <w:lang w:eastAsia="zh-CN"/>
        </w:rPr>
        <w:t>、党组织活动经费项目、政务大厅补助项目、金保网络租赁经费项目和广元市抗击新冠肺炎先进个人奖励项目等开展了预算事前绩效评估，对这</w:t>
      </w:r>
      <w:r>
        <w:rPr>
          <w:rFonts w:hint="eastAsia" w:ascii="仿宋_GB2312" w:hAnsi="仿宋_GB2312" w:eastAsia="仿宋_GB2312" w:cs="仿宋_GB2312"/>
          <w:sz w:val="32"/>
          <w:szCs w:val="32"/>
          <w:lang w:val="en-US" w:eastAsia="zh-CN"/>
        </w:rPr>
        <w:t>5个</w:t>
      </w:r>
      <w:r>
        <w:rPr>
          <w:rFonts w:hint="eastAsia" w:ascii="仿宋_GB2312" w:hAnsi="仿宋_GB2312" w:eastAsia="仿宋_GB2312" w:cs="仿宋_GB2312"/>
          <w:sz w:val="32"/>
          <w:szCs w:val="32"/>
          <w:lang w:eastAsia="zh-CN"/>
        </w:rPr>
        <w:t>项目编制了绩效目</w:t>
      </w:r>
      <w:r>
        <w:rPr>
          <w:rFonts w:hint="eastAsia" w:ascii="仿宋_GB2312" w:hAnsi="仿宋_GB2312" w:eastAsia="仿宋_GB2312" w:cs="仿宋_GB2312"/>
          <w:sz w:val="32"/>
          <w:szCs w:val="32"/>
        </w:rPr>
        <w:t>标，预算执行过程中，选取</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项目开展绩效监控，年终执行完毕后，对</w:t>
      </w:r>
      <w:r>
        <w:rPr>
          <w:rFonts w:hint="eastAsia" w:ascii="仿宋_GB2312" w:hAnsi="仿宋_GB2312" w:eastAsia="仿宋_GB2312" w:cs="仿宋_GB2312"/>
          <w:sz w:val="32"/>
          <w:szCs w:val="32"/>
          <w:lang w:eastAsia="zh-CN"/>
        </w:rPr>
        <w:t>上述</w:t>
      </w:r>
      <w:r>
        <w:rPr>
          <w:rFonts w:hint="eastAsia" w:ascii="仿宋_GB2312" w:hAnsi="仿宋_GB2312" w:eastAsia="仿宋_GB2312" w:cs="仿宋_GB2312"/>
          <w:sz w:val="32"/>
          <w:szCs w:val="32"/>
          <w:lang w:val="en-US" w:eastAsia="zh-CN"/>
        </w:rPr>
        <w:t>5个</w:t>
      </w:r>
      <w:r>
        <w:rPr>
          <w:rFonts w:hint="eastAsia" w:ascii="仿宋_GB2312" w:hAnsi="仿宋_GB2312" w:eastAsia="仿宋_GB2312" w:cs="仿宋_GB2312"/>
          <w:sz w:val="32"/>
          <w:szCs w:val="32"/>
        </w:rPr>
        <w:t>项目开展了绩效自评，2021年部门预算项目绩效目标自评表见附件（第四部分）。</w:t>
      </w:r>
    </w:p>
    <w:p>
      <w:pPr>
        <w:numPr>
          <w:ilvl w:val="0"/>
          <w:numId w:val="3"/>
        </w:numPr>
        <w:spacing w:line="600" w:lineRule="exact"/>
        <w:ind w:firstLine="640"/>
        <w:outlineLvl w:val="1"/>
        <w:rPr>
          <w:rStyle w:val="27"/>
          <w:rFonts w:ascii="黑体" w:hAnsi="黑体" w:eastAsia="黑体"/>
          <w:b w:val="0"/>
        </w:rPr>
      </w:pPr>
      <w:bookmarkStart w:id="60" w:name="_Toc8740"/>
      <w:r>
        <w:rPr>
          <w:rStyle w:val="27"/>
          <w:rFonts w:hint="eastAsia" w:ascii="黑体" w:hAnsi="黑体" w:eastAsia="黑体"/>
          <w:b w:val="0"/>
        </w:rPr>
        <w:t>其他重要事项的情况说明</w:t>
      </w:r>
      <w:bookmarkEnd w:id="58"/>
      <w:bookmarkEnd w:id="59"/>
      <w:bookmarkEnd w:id="60"/>
    </w:p>
    <w:p>
      <w:pPr>
        <w:spacing w:line="600" w:lineRule="exact"/>
        <w:ind w:firstLine="643" w:firstLineChars="200"/>
        <w:outlineLvl w:val="2"/>
        <w:rPr>
          <w:rFonts w:ascii="仿宋" w:hAnsi="仿宋" w:eastAsia="仿宋"/>
          <w:sz w:val="32"/>
          <w:szCs w:val="32"/>
        </w:rPr>
      </w:pPr>
      <w:bookmarkStart w:id="61" w:name="_Toc15377222"/>
      <w:r>
        <w:rPr>
          <w:rFonts w:hint="eastAsia" w:ascii="仿宋" w:hAnsi="仿宋" w:eastAsia="仿宋"/>
          <w:b/>
          <w:sz w:val="32"/>
          <w:szCs w:val="32"/>
        </w:rPr>
        <w:t>（一）机关运行经费支出情况</w:t>
      </w:r>
      <w:bookmarkEnd w:id="61"/>
    </w:p>
    <w:p>
      <w:pPr>
        <w:spacing w:line="600" w:lineRule="exact"/>
        <w:ind w:firstLine="640" w:firstLineChars="200"/>
        <w:rPr>
          <w:rFonts w:ascii="仿宋" w:hAnsi="仿宋" w:eastAsia="仿宋"/>
          <w:b/>
          <w:sz w:val="32"/>
          <w:szCs w:val="32"/>
        </w:rPr>
      </w:pPr>
      <w:r>
        <w:rPr>
          <w:rFonts w:ascii="仿宋_GB2312" w:eastAsia="仿宋_GB2312"/>
          <w:sz w:val="32"/>
          <w:szCs w:val="32"/>
        </w:rPr>
        <w:t>20</w:t>
      </w:r>
      <w:r>
        <w:rPr>
          <w:rFonts w:hint="eastAsia" w:ascii="仿宋_GB2312" w:eastAsia="仿宋_GB2312"/>
          <w:sz w:val="32"/>
          <w:szCs w:val="32"/>
        </w:rPr>
        <w:t>21年，行政单位机关运行经费支出76.44万元，比</w:t>
      </w:r>
      <w:r>
        <w:rPr>
          <w:rFonts w:ascii="仿宋_GB2312" w:eastAsia="仿宋_GB2312"/>
          <w:sz w:val="32"/>
          <w:szCs w:val="32"/>
        </w:rPr>
        <w:t>20</w:t>
      </w:r>
      <w:r>
        <w:rPr>
          <w:rFonts w:hint="eastAsia" w:ascii="仿宋_GB2312" w:eastAsia="仿宋_GB2312"/>
          <w:sz w:val="32"/>
          <w:szCs w:val="32"/>
        </w:rPr>
        <w:t>20年减少</w:t>
      </w:r>
      <w:r>
        <w:rPr>
          <w:rFonts w:hint="eastAsia" w:ascii="仿宋_GB2312" w:eastAsia="仿宋_GB2312"/>
          <w:sz w:val="32"/>
          <w:szCs w:val="32"/>
          <w:lang w:val="en-US" w:eastAsia="zh-CN"/>
        </w:rPr>
        <w:t>70.25</w:t>
      </w:r>
      <w:r>
        <w:rPr>
          <w:rFonts w:hint="eastAsia" w:ascii="仿宋_GB2312" w:eastAsia="仿宋_GB2312"/>
          <w:sz w:val="32"/>
          <w:szCs w:val="32"/>
        </w:rPr>
        <w:t>万元，下降</w:t>
      </w:r>
      <w:r>
        <w:rPr>
          <w:rFonts w:hint="eastAsia" w:ascii="仿宋_GB2312" w:eastAsia="仿宋_GB2312"/>
          <w:sz w:val="32"/>
          <w:szCs w:val="32"/>
          <w:lang w:val="en-US" w:eastAsia="zh-CN"/>
        </w:rPr>
        <w:t>47.89</w:t>
      </w:r>
      <w:r>
        <w:rPr>
          <w:rFonts w:ascii="仿宋_GB2312" w:eastAsia="仿宋_GB2312"/>
          <w:sz w:val="32"/>
          <w:szCs w:val="32"/>
        </w:rPr>
        <w:t>%</w:t>
      </w:r>
      <w:r>
        <w:rPr>
          <w:rFonts w:hint="eastAsia" w:ascii="仿宋_GB2312" w:eastAsia="仿宋_GB2312"/>
          <w:sz w:val="32"/>
          <w:szCs w:val="32"/>
        </w:rPr>
        <w:t>。主要原因是</w:t>
      </w:r>
      <w:r>
        <w:rPr>
          <w:rFonts w:hint="eastAsia" w:ascii="仿宋_GB2312" w:hAnsi="微软雅黑" w:eastAsia="仿宋_GB2312" w:cs="宋体"/>
          <w:color w:val="333333"/>
          <w:kern w:val="0"/>
          <w:sz w:val="32"/>
          <w:szCs w:val="32"/>
          <w:lang w:eastAsia="zh-CN"/>
        </w:rPr>
        <w:t>一是</w:t>
      </w:r>
      <w:r>
        <w:rPr>
          <w:rFonts w:hint="eastAsia" w:ascii="仿宋_GB2312" w:hAnsi="微软雅黑" w:eastAsia="仿宋_GB2312" w:cs="宋体"/>
          <w:color w:val="333333"/>
          <w:kern w:val="0"/>
          <w:sz w:val="32"/>
          <w:szCs w:val="32"/>
        </w:rPr>
        <w:t>2021年乡（镇）人力资源和社会保障服务所机构划转到乡（镇），人员整体划转到乡（镇），减少97</w:t>
      </w:r>
      <w:r>
        <w:rPr>
          <w:rFonts w:hint="eastAsia" w:ascii="仿宋_GB2312" w:hAnsi="微软雅黑" w:eastAsia="仿宋_GB2312" w:cs="宋体"/>
          <w:color w:val="333333"/>
          <w:kern w:val="0"/>
          <w:sz w:val="32"/>
          <w:szCs w:val="32"/>
          <w:lang w:eastAsia="zh-CN"/>
        </w:rPr>
        <w:t>的</w:t>
      </w:r>
      <w:r>
        <w:rPr>
          <w:rFonts w:hint="eastAsia" w:ascii="仿宋_GB2312" w:hAnsi="微软雅黑" w:eastAsia="仿宋_GB2312" w:cs="宋体"/>
          <w:color w:val="333333"/>
          <w:kern w:val="0"/>
          <w:sz w:val="32"/>
          <w:szCs w:val="32"/>
        </w:rPr>
        <w:t>人员经</w:t>
      </w:r>
      <w:r>
        <w:rPr>
          <w:rFonts w:hint="eastAsia" w:ascii="仿宋_GB2312" w:hAnsi="微软雅黑" w:eastAsia="仿宋_GB2312" w:cs="宋体"/>
          <w:color w:val="333333"/>
          <w:kern w:val="0"/>
          <w:sz w:val="32"/>
          <w:szCs w:val="32"/>
          <w:lang w:eastAsia="zh-CN"/>
        </w:rPr>
        <w:t>费</w:t>
      </w:r>
      <w:r>
        <w:rPr>
          <w:rFonts w:hint="eastAsia" w:ascii="仿宋_GB2312" w:hAnsi="微软雅黑" w:eastAsia="仿宋_GB2312" w:cs="宋体"/>
          <w:color w:val="333333"/>
          <w:kern w:val="0"/>
          <w:sz w:val="32"/>
          <w:szCs w:val="32"/>
        </w:rPr>
        <w:t>及人头工作经费预算</w:t>
      </w:r>
      <w:r>
        <w:rPr>
          <w:rFonts w:hint="eastAsia" w:ascii="仿宋_GB2312" w:hAnsi="微软雅黑" w:eastAsia="仿宋_GB2312" w:cs="宋体"/>
          <w:color w:val="333333"/>
          <w:kern w:val="0"/>
          <w:sz w:val="32"/>
          <w:szCs w:val="32"/>
          <w:lang w:eastAsia="zh-CN"/>
        </w:rPr>
        <w:t>；二是三支一扶人员减少。</w:t>
      </w:r>
    </w:p>
    <w:p>
      <w:pPr>
        <w:autoSpaceDE w:val="0"/>
        <w:autoSpaceDN w:val="0"/>
        <w:adjustRightInd w:val="0"/>
        <w:spacing w:line="600" w:lineRule="exact"/>
        <w:ind w:firstLine="643" w:firstLineChars="200"/>
        <w:jc w:val="left"/>
        <w:outlineLvl w:val="2"/>
        <w:rPr>
          <w:rFonts w:ascii="仿宋" w:hAnsi="仿宋" w:eastAsia="仿宋"/>
          <w:b/>
          <w:sz w:val="32"/>
          <w:szCs w:val="32"/>
        </w:rPr>
      </w:pPr>
      <w:bookmarkStart w:id="62" w:name="_Toc15377223"/>
      <w:r>
        <w:rPr>
          <w:rFonts w:hint="eastAsia" w:ascii="仿宋" w:hAnsi="仿宋" w:eastAsia="仿宋"/>
          <w:b/>
          <w:sz w:val="32"/>
          <w:szCs w:val="32"/>
        </w:rPr>
        <w:t>（二）政府采购支出情况</w:t>
      </w:r>
      <w:bookmarkEnd w:id="62"/>
    </w:p>
    <w:p>
      <w:pPr>
        <w:spacing w:line="600" w:lineRule="exact"/>
        <w:ind w:firstLine="640" w:firstLineChars="20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21年，旺苍县人力资源和社会保障局机关政府采购支出总额64.99万元，其中：政府采购货物支出64.99万元、政府采购工程支出0万元、政府采购服务支出0万元。主要用于</w:t>
      </w:r>
      <w:r>
        <w:rPr>
          <w:rFonts w:hint="eastAsia" w:ascii="仿宋_GB2312" w:eastAsia="仿宋_GB2312"/>
          <w:sz w:val="32"/>
          <w:szCs w:val="32"/>
          <w:lang w:eastAsia="zh-CN"/>
        </w:rPr>
        <w:t>远程监控及决策指挥终端设备</w:t>
      </w:r>
      <w:r>
        <w:rPr>
          <w:rFonts w:hint="eastAsia" w:ascii="仿宋_GB2312" w:eastAsia="仿宋_GB2312"/>
          <w:sz w:val="32"/>
          <w:szCs w:val="32"/>
        </w:rPr>
        <w:t>。授予中小企业合同金额</w:t>
      </w:r>
      <w:r>
        <w:rPr>
          <w:rFonts w:hint="eastAsia" w:ascii="仿宋_GB2312" w:eastAsia="仿宋_GB2312"/>
          <w:sz w:val="32"/>
          <w:szCs w:val="32"/>
          <w:lang w:val="en-US" w:eastAsia="zh-CN"/>
        </w:rPr>
        <w:t>64.99</w:t>
      </w:r>
      <w:r>
        <w:rPr>
          <w:rFonts w:hint="eastAsia" w:ascii="仿宋_GB2312" w:eastAsia="仿宋_GB2312"/>
          <w:sz w:val="32"/>
          <w:szCs w:val="32"/>
        </w:rPr>
        <w:t>万元，占政府采购支出总额的</w:t>
      </w:r>
      <w:r>
        <w:rPr>
          <w:rFonts w:hint="eastAsia" w:ascii="仿宋_GB2312" w:eastAsia="仿宋_GB2312"/>
          <w:sz w:val="32"/>
          <w:szCs w:val="32"/>
          <w:lang w:val="en-US" w:eastAsia="zh-CN"/>
        </w:rPr>
        <w:t>100</w:t>
      </w:r>
      <w:r>
        <w:rPr>
          <w:rFonts w:ascii="仿宋_GB2312" w:eastAsia="仿宋_GB2312"/>
          <w:sz w:val="32"/>
          <w:szCs w:val="32"/>
        </w:rPr>
        <w:t>%</w:t>
      </w:r>
      <w:r>
        <w:rPr>
          <w:rFonts w:hint="eastAsia" w:ascii="仿宋_GB2312" w:eastAsia="仿宋_GB2312"/>
          <w:sz w:val="32"/>
          <w:szCs w:val="32"/>
        </w:rPr>
        <w:t>，其中：授予小微企业合同金额</w:t>
      </w:r>
      <w:r>
        <w:rPr>
          <w:rFonts w:hint="eastAsia" w:ascii="仿宋_GB2312" w:eastAsia="仿宋_GB2312"/>
          <w:sz w:val="32"/>
          <w:szCs w:val="32"/>
          <w:lang w:val="en-US" w:eastAsia="zh-CN"/>
        </w:rPr>
        <w:t>64.99</w:t>
      </w:r>
      <w:r>
        <w:rPr>
          <w:rFonts w:hint="eastAsia" w:ascii="仿宋_GB2312" w:eastAsia="仿宋_GB2312"/>
          <w:sz w:val="32"/>
          <w:szCs w:val="32"/>
        </w:rPr>
        <w:t>万元，占政府采购支出总额的</w:t>
      </w:r>
      <w:r>
        <w:rPr>
          <w:rFonts w:hint="eastAsia" w:ascii="仿宋_GB2312" w:eastAsia="仿宋_GB2312"/>
          <w:sz w:val="32"/>
          <w:szCs w:val="32"/>
          <w:lang w:val="en-US" w:eastAsia="zh-CN"/>
        </w:rPr>
        <w:t>100</w:t>
      </w:r>
      <w:r>
        <w:rPr>
          <w:rFonts w:ascii="仿宋_GB2312" w:eastAsia="仿宋_GB2312"/>
          <w:sz w:val="32"/>
          <w:szCs w:val="32"/>
        </w:rPr>
        <w:t>%</w:t>
      </w:r>
      <w:r>
        <w:rPr>
          <w:rFonts w:hint="eastAsia" w:ascii="仿宋_GB2312" w:eastAsia="仿宋_GB2312"/>
          <w:sz w:val="32"/>
          <w:szCs w:val="32"/>
        </w:rPr>
        <w:t>。</w:t>
      </w:r>
    </w:p>
    <w:p>
      <w:pPr>
        <w:autoSpaceDE w:val="0"/>
        <w:autoSpaceDN w:val="0"/>
        <w:adjustRightInd w:val="0"/>
        <w:spacing w:line="600" w:lineRule="exact"/>
        <w:ind w:firstLine="643" w:firstLineChars="200"/>
        <w:jc w:val="left"/>
        <w:outlineLvl w:val="2"/>
        <w:rPr>
          <w:rFonts w:ascii="仿宋" w:hAnsi="仿宋" w:eastAsia="仿宋"/>
          <w:b/>
          <w:sz w:val="32"/>
          <w:szCs w:val="32"/>
        </w:rPr>
      </w:pPr>
      <w:bookmarkStart w:id="63" w:name="_Toc15377224"/>
      <w:r>
        <w:rPr>
          <w:rFonts w:hint="eastAsia" w:ascii="仿宋" w:hAnsi="仿宋" w:eastAsia="仿宋"/>
          <w:b/>
          <w:sz w:val="32"/>
          <w:szCs w:val="32"/>
        </w:rPr>
        <w:t>（三）国有资产占有使用情况</w:t>
      </w:r>
      <w:bookmarkEnd w:id="63"/>
    </w:p>
    <w:p>
      <w:pPr>
        <w:autoSpaceDE w:val="0"/>
        <w:autoSpaceDN w:val="0"/>
        <w:adjustRightInd w:val="0"/>
        <w:spacing w:line="600" w:lineRule="exact"/>
        <w:ind w:firstLine="640" w:firstLineChars="200"/>
        <w:jc w:val="left"/>
        <w:rPr>
          <w:rFonts w:ascii="仿宋_GB2312" w:eastAsia="仿宋_GB2312"/>
          <w:sz w:val="32"/>
          <w:szCs w:val="32"/>
        </w:rPr>
      </w:pPr>
      <w:r>
        <w:rPr>
          <w:rFonts w:hint="eastAsia" w:ascii="仿宋_GB2312" w:eastAsia="仿宋_GB2312"/>
          <w:sz w:val="32"/>
          <w:szCs w:val="32"/>
        </w:rPr>
        <w:t>截至</w:t>
      </w:r>
      <w:r>
        <w:rPr>
          <w:rFonts w:ascii="仿宋_GB2312" w:eastAsia="仿宋_GB2312"/>
          <w:sz w:val="32"/>
          <w:szCs w:val="32"/>
        </w:rPr>
        <w:t>20</w:t>
      </w:r>
      <w:r>
        <w:rPr>
          <w:rFonts w:hint="eastAsia" w:ascii="仿宋_GB2312" w:eastAsia="仿宋_GB2312"/>
          <w:sz w:val="32"/>
          <w:szCs w:val="32"/>
        </w:rPr>
        <w:t>21年</w:t>
      </w:r>
      <w:r>
        <w:rPr>
          <w:rFonts w:ascii="仿宋_GB2312" w:eastAsia="仿宋_GB2312"/>
          <w:sz w:val="32"/>
          <w:szCs w:val="32"/>
        </w:rPr>
        <w:t>12</w:t>
      </w:r>
      <w:r>
        <w:rPr>
          <w:rFonts w:hint="eastAsia" w:ascii="仿宋_GB2312" w:eastAsia="仿宋_GB2312"/>
          <w:sz w:val="32"/>
          <w:szCs w:val="32"/>
        </w:rPr>
        <w:t>月</w:t>
      </w:r>
      <w:r>
        <w:rPr>
          <w:rFonts w:ascii="仿宋_GB2312" w:eastAsia="仿宋_GB2312"/>
          <w:sz w:val="32"/>
          <w:szCs w:val="32"/>
        </w:rPr>
        <w:t>31</w:t>
      </w:r>
      <w:r>
        <w:rPr>
          <w:rFonts w:hint="eastAsia" w:ascii="仿宋_GB2312" w:eastAsia="仿宋_GB2312"/>
          <w:sz w:val="32"/>
          <w:szCs w:val="32"/>
        </w:rPr>
        <w:t>日，旺苍县人力资源和社会保障局机关共有车辆0辆，其中：主要领导干部用车0辆、机要通信用车0辆、应急保障用车0辆、其他用车0辆，单价</w:t>
      </w:r>
      <w:r>
        <w:rPr>
          <w:rFonts w:ascii="仿宋_GB2312" w:eastAsia="仿宋_GB2312"/>
          <w:sz w:val="32"/>
          <w:szCs w:val="32"/>
        </w:rPr>
        <w:t>50</w:t>
      </w:r>
      <w:r>
        <w:rPr>
          <w:rFonts w:hint="eastAsia" w:ascii="仿宋_GB2312" w:eastAsia="仿宋_GB2312"/>
          <w:sz w:val="32"/>
          <w:szCs w:val="32"/>
        </w:rPr>
        <w:t>万元以上通用设备0台（套），单价</w:t>
      </w:r>
      <w:r>
        <w:rPr>
          <w:rFonts w:ascii="仿宋_GB2312" w:eastAsia="仿宋_GB2312"/>
          <w:sz w:val="32"/>
          <w:szCs w:val="32"/>
        </w:rPr>
        <w:t>100</w:t>
      </w:r>
      <w:r>
        <w:rPr>
          <w:rFonts w:hint="eastAsia" w:ascii="仿宋_GB2312" w:eastAsia="仿宋_GB2312"/>
          <w:sz w:val="32"/>
          <w:szCs w:val="32"/>
        </w:rPr>
        <w:t>万元以上专用设备0台（套）。</w:t>
      </w:r>
    </w:p>
    <w:p>
      <w:pPr>
        <w:pStyle w:val="6"/>
        <w:spacing w:before="93"/>
        <w:rPr>
          <w:highlight w:val="yellow"/>
        </w:rPr>
      </w:pPr>
    </w:p>
    <w:p>
      <w:pPr>
        <w:widowControl/>
        <w:jc w:val="left"/>
        <w:rPr>
          <w:rFonts w:ascii="仿宋_GB2312" w:eastAsia="仿宋_GB2312"/>
          <w:b/>
          <w:sz w:val="32"/>
          <w:szCs w:val="32"/>
        </w:rPr>
      </w:pPr>
      <w:r>
        <w:rPr>
          <w:rFonts w:ascii="仿宋_GB2312" w:eastAsia="仿宋_GB2312"/>
          <w:b/>
          <w:sz w:val="32"/>
          <w:szCs w:val="32"/>
        </w:rPr>
        <w:br w:type="page"/>
      </w:r>
    </w:p>
    <w:p>
      <w:pPr>
        <w:numPr>
          <w:ilvl w:val="0"/>
          <w:numId w:val="4"/>
        </w:numPr>
        <w:spacing w:line="600" w:lineRule="exact"/>
        <w:ind w:firstLine="660" w:firstLineChars="150"/>
        <w:jc w:val="center"/>
        <w:outlineLvl w:val="0"/>
        <w:rPr>
          <w:rStyle w:val="26"/>
          <w:rFonts w:ascii="黑体" w:hAnsi="黑体" w:eastAsia="黑体"/>
          <w:b w:val="0"/>
        </w:rPr>
      </w:pPr>
      <w:bookmarkStart w:id="64" w:name="_Toc15377225"/>
      <w:bookmarkStart w:id="65" w:name="_Toc18205"/>
      <w:bookmarkStart w:id="66" w:name="_Toc15396613"/>
      <w:r>
        <w:rPr>
          <w:rFonts w:hint="eastAsia" w:ascii="黑体" w:hAnsi="黑体" w:eastAsia="黑体"/>
          <w:sz w:val="44"/>
          <w:szCs w:val="44"/>
        </w:rPr>
        <w:t>名</w:t>
      </w:r>
      <w:r>
        <w:rPr>
          <w:rStyle w:val="26"/>
          <w:rFonts w:hint="eastAsia" w:ascii="黑体" w:hAnsi="黑体" w:eastAsia="黑体"/>
          <w:b w:val="0"/>
        </w:rPr>
        <w:t>词解释</w:t>
      </w:r>
      <w:bookmarkEnd w:id="64"/>
      <w:bookmarkEnd w:id="65"/>
      <w:bookmarkEnd w:id="66"/>
    </w:p>
    <w:p>
      <w:pPr>
        <w:spacing w:line="600" w:lineRule="exact"/>
        <w:jc w:val="left"/>
        <w:rPr>
          <w:rFonts w:ascii="宋体"/>
          <w:b/>
          <w:sz w:val="44"/>
          <w:szCs w:val="44"/>
        </w:rPr>
      </w:pPr>
    </w:p>
    <w:p>
      <w:pPr>
        <w:pStyle w:val="24"/>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1.财政拨款收入：指单位从同级财政部门取得的财政预算资金。</w:t>
      </w:r>
    </w:p>
    <w:p>
      <w:pPr>
        <w:pStyle w:val="24"/>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2</w:t>
      </w:r>
      <w:r>
        <w:rPr>
          <w:rFonts w:ascii="仿宋_GB2312" w:eastAsia="仿宋_GB2312"/>
          <w:color w:val="auto"/>
          <w:sz w:val="32"/>
          <w:szCs w:val="32"/>
        </w:rPr>
        <w:t>.</w:t>
      </w:r>
      <w:r>
        <w:rPr>
          <w:rFonts w:hint="eastAsia" w:ascii="仿宋_GB2312" w:eastAsia="仿宋_GB2312"/>
          <w:color w:val="auto"/>
          <w:sz w:val="32"/>
          <w:szCs w:val="32"/>
        </w:rPr>
        <w:t>事业收入：指事业单位开展专业业务活动及辅助活动取得的收入。</w:t>
      </w:r>
    </w:p>
    <w:p>
      <w:pPr>
        <w:pStyle w:val="24"/>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3.</w:t>
      </w:r>
      <w:r>
        <w:rPr>
          <w:rFonts w:hint="eastAsia" w:ascii="仿宋_GB2312" w:eastAsia="仿宋_GB2312"/>
          <w:color w:val="auto"/>
          <w:sz w:val="32"/>
          <w:szCs w:val="32"/>
        </w:rPr>
        <w:t>经营收入：指事业单位在专业业务活动及其辅助活动之外开展非独立核算经营活动取得的收入。</w:t>
      </w:r>
    </w:p>
    <w:p>
      <w:pPr>
        <w:pStyle w:val="24"/>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4.</w:t>
      </w:r>
      <w:r>
        <w:rPr>
          <w:rFonts w:hint="eastAsia" w:ascii="仿宋_GB2312" w:eastAsia="仿宋_GB2312"/>
          <w:color w:val="auto"/>
          <w:sz w:val="32"/>
          <w:szCs w:val="32"/>
        </w:rPr>
        <w:t>其他收入：指单位取得的除上述收入以外的各项收入。</w:t>
      </w:r>
    </w:p>
    <w:p>
      <w:pPr>
        <w:pStyle w:val="24"/>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5.</w:t>
      </w:r>
      <w:r>
        <w:rPr>
          <w:rFonts w:hint="eastAsia" w:ascii="仿宋_GB2312" w:eastAsia="仿宋_GB2312"/>
          <w:color w:val="auto"/>
          <w:sz w:val="32"/>
          <w:szCs w:val="32"/>
        </w:rPr>
        <w:t>使用非财政拨款结余：指事业单位使用以前年度积累的非财政拨款结余弥补当年收支差额的金额。</w:t>
      </w:r>
    </w:p>
    <w:p>
      <w:pPr>
        <w:pStyle w:val="24"/>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6.</w:t>
      </w:r>
      <w:r>
        <w:rPr>
          <w:rFonts w:hint="eastAsia" w:ascii="仿宋_GB2312" w:eastAsia="仿宋_GB2312"/>
          <w:color w:val="auto"/>
          <w:sz w:val="32"/>
          <w:szCs w:val="32"/>
        </w:rPr>
        <w:t>年初结转和结余：指以前年度尚未完成、结转到本年按有关规定继续使用的资金。</w:t>
      </w:r>
    </w:p>
    <w:p>
      <w:pPr>
        <w:pStyle w:val="24"/>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7.</w:t>
      </w:r>
      <w:r>
        <w:rPr>
          <w:rFonts w:hint="eastAsia" w:ascii="仿宋_GB2312" w:eastAsia="仿宋_GB2312"/>
          <w:color w:val="auto"/>
          <w:sz w:val="32"/>
          <w:szCs w:val="32"/>
        </w:rPr>
        <w:t>结余分配：指事业单位按照会计制度规定缴纳的所得税、提取的专用结余以及转入非财政拨款结余的金额等。</w:t>
      </w:r>
    </w:p>
    <w:p>
      <w:pPr>
        <w:pStyle w:val="24"/>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8</w:t>
      </w:r>
      <w:r>
        <w:rPr>
          <w:rFonts w:hint="eastAsia" w:ascii="仿宋_GB2312" w:eastAsia="仿宋_GB2312"/>
          <w:color w:val="auto"/>
          <w:sz w:val="32"/>
          <w:szCs w:val="32"/>
        </w:rPr>
        <w:t>、年末结转和结余：指单位按有关规定结转到下年或以后年度继续使用的资金。</w:t>
      </w:r>
    </w:p>
    <w:p>
      <w:pPr>
        <w:ind w:firstLine="640" w:firstLineChars="200"/>
      </w:pPr>
      <w:r>
        <w:rPr>
          <w:rFonts w:ascii="仿宋_GB2312" w:eastAsia="仿宋_GB2312"/>
          <w:sz w:val="32"/>
          <w:szCs w:val="32"/>
        </w:rPr>
        <w:t>9.</w:t>
      </w:r>
      <w:r>
        <w:rPr>
          <w:rFonts w:hint="eastAsia" w:ascii="仿宋_GB2312" w:eastAsia="仿宋_GB2312"/>
          <w:sz w:val="32"/>
          <w:szCs w:val="32"/>
        </w:rPr>
        <w:t>一般公共服务（类）组织事务（款）其他组织事务（项）：指</w:t>
      </w:r>
      <w:r>
        <w:rPr>
          <w:rFonts w:hint="eastAsia" w:ascii="仿宋_GB2312" w:eastAsia="仿宋_GB2312"/>
          <w:sz w:val="32"/>
          <w:szCs w:val="32"/>
          <w:lang w:eastAsia="zh-CN"/>
        </w:rPr>
        <w:t>其他用于中国共产党组织部门的事务支出</w:t>
      </w:r>
      <w:r>
        <w:rPr>
          <w:rFonts w:hint="eastAsia" w:ascii="仿宋_GB2312" w:eastAsia="仿宋_GB2312"/>
          <w:sz w:val="32"/>
          <w:szCs w:val="32"/>
        </w:rPr>
        <w:t>。</w:t>
      </w:r>
    </w:p>
    <w:p>
      <w:pPr>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0</w:t>
      </w:r>
      <w:r>
        <w:rPr>
          <w:rFonts w:ascii="仿宋_GB2312" w:eastAsia="仿宋_GB2312"/>
          <w:sz w:val="32"/>
          <w:szCs w:val="32"/>
        </w:rPr>
        <w:t>.</w:t>
      </w:r>
      <w:r>
        <w:rPr>
          <w:rFonts w:hint="eastAsia" w:ascii="仿宋_GB2312" w:eastAsia="仿宋_GB2312"/>
          <w:sz w:val="32"/>
          <w:szCs w:val="32"/>
        </w:rPr>
        <w:t>科学技术（类）科技条件与服务（款）科技条件专项（项）：指</w:t>
      </w:r>
      <w:r>
        <w:rPr>
          <w:rFonts w:hint="eastAsia" w:ascii="仿宋_GB2312" w:eastAsia="仿宋_GB2312"/>
          <w:sz w:val="32"/>
          <w:szCs w:val="32"/>
          <w:lang w:eastAsia="zh-CN"/>
        </w:rPr>
        <w:t>国家用于完善科技条件的支出，包括科技文献信息、网络环境支撑等科技条件专项支出等</w:t>
      </w:r>
      <w:r>
        <w:rPr>
          <w:rFonts w:hint="eastAsia" w:ascii="仿宋_GB2312" w:eastAsia="仿宋_GB2312"/>
          <w:sz w:val="32"/>
          <w:szCs w:val="32"/>
        </w:rPr>
        <w:t>。</w:t>
      </w:r>
    </w:p>
    <w:p>
      <w:pPr>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1</w:t>
      </w:r>
      <w:r>
        <w:rPr>
          <w:rFonts w:ascii="仿宋_GB2312" w:eastAsia="仿宋_GB2312"/>
          <w:sz w:val="32"/>
          <w:szCs w:val="32"/>
        </w:rPr>
        <w:t>.</w:t>
      </w:r>
      <w:r>
        <w:rPr>
          <w:rFonts w:hint="eastAsia" w:ascii="仿宋_GB2312" w:eastAsia="仿宋_GB2312"/>
          <w:sz w:val="32"/>
          <w:szCs w:val="32"/>
        </w:rPr>
        <w:t>社会保障和就业（类）人力资源和社会保障管理事务（款）行政运行（项）：指</w:t>
      </w:r>
      <w:r>
        <w:rPr>
          <w:rFonts w:hint="eastAsia" w:ascii="仿宋_GB2312" w:eastAsia="仿宋_GB2312"/>
          <w:sz w:val="32"/>
          <w:szCs w:val="32"/>
          <w:lang w:eastAsia="zh-CN"/>
        </w:rPr>
        <w:t>行政单位（包括实行公务员管理的事业单位）的基本支出</w:t>
      </w:r>
      <w:r>
        <w:rPr>
          <w:rFonts w:hint="eastAsia" w:ascii="仿宋_GB2312" w:eastAsia="仿宋_GB2312"/>
          <w:sz w:val="32"/>
          <w:szCs w:val="32"/>
        </w:rPr>
        <w:t>。</w:t>
      </w:r>
    </w:p>
    <w:p>
      <w:pPr>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2</w:t>
      </w:r>
      <w:r>
        <w:rPr>
          <w:rFonts w:ascii="仿宋_GB2312" w:eastAsia="仿宋_GB2312"/>
          <w:sz w:val="32"/>
          <w:szCs w:val="32"/>
        </w:rPr>
        <w:t>.</w:t>
      </w:r>
      <w:r>
        <w:rPr>
          <w:rFonts w:hint="eastAsia" w:ascii="仿宋_GB2312" w:eastAsia="仿宋_GB2312"/>
          <w:sz w:val="32"/>
          <w:szCs w:val="32"/>
        </w:rPr>
        <w:t>社会保障和就业（类）人力资源和社会保障管理事务（款）一般行政管理（项）：指</w:t>
      </w:r>
      <w:r>
        <w:rPr>
          <w:rFonts w:hint="eastAsia" w:ascii="仿宋_GB2312" w:eastAsia="仿宋_GB2312"/>
          <w:sz w:val="32"/>
          <w:szCs w:val="32"/>
          <w:lang w:eastAsia="zh-CN"/>
        </w:rPr>
        <w:t>行政单位（包括实行公务员管理的事业单位）未单独设置项级科目的其他项目支出</w:t>
      </w:r>
      <w:r>
        <w:rPr>
          <w:rFonts w:hint="eastAsia" w:ascii="仿宋_GB2312" w:eastAsia="仿宋_GB2312"/>
          <w:sz w:val="32"/>
          <w:szCs w:val="32"/>
        </w:rPr>
        <w:t>。</w:t>
      </w:r>
    </w:p>
    <w:p>
      <w:pPr>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3</w:t>
      </w:r>
      <w:r>
        <w:rPr>
          <w:rFonts w:ascii="仿宋_GB2312" w:eastAsia="仿宋_GB2312"/>
          <w:sz w:val="32"/>
          <w:szCs w:val="32"/>
        </w:rPr>
        <w:t>.</w:t>
      </w:r>
      <w:r>
        <w:rPr>
          <w:rFonts w:hint="eastAsia" w:ascii="仿宋_GB2312" w:eastAsia="仿宋_GB2312"/>
          <w:sz w:val="32"/>
          <w:szCs w:val="32"/>
        </w:rPr>
        <w:t>社会保障和就业（类）人力资源和社会保障管理事务（款）综合业务管理（项）：指</w:t>
      </w:r>
      <w:r>
        <w:rPr>
          <w:rFonts w:hint="eastAsia" w:ascii="仿宋_GB2312" w:eastAsia="仿宋_GB2312"/>
          <w:sz w:val="32"/>
          <w:szCs w:val="32"/>
          <w:lang w:eastAsia="zh-CN"/>
        </w:rPr>
        <w:t>人力资源和社会保障管理方面综合性管理事务支出</w:t>
      </w:r>
      <w:r>
        <w:rPr>
          <w:rFonts w:hint="eastAsia" w:ascii="仿宋_GB2312" w:eastAsia="仿宋_GB2312"/>
          <w:sz w:val="32"/>
          <w:szCs w:val="32"/>
        </w:rPr>
        <w:t>。</w:t>
      </w:r>
    </w:p>
    <w:p>
      <w:pPr>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4</w:t>
      </w:r>
      <w:r>
        <w:rPr>
          <w:rFonts w:ascii="仿宋_GB2312" w:eastAsia="仿宋_GB2312"/>
          <w:sz w:val="32"/>
          <w:szCs w:val="32"/>
        </w:rPr>
        <w:t>.</w:t>
      </w:r>
      <w:r>
        <w:rPr>
          <w:rFonts w:hint="eastAsia" w:ascii="仿宋_GB2312" w:eastAsia="仿宋_GB2312"/>
          <w:sz w:val="32"/>
          <w:szCs w:val="32"/>
        </w:rPr>
        <w:t>社会保障和就业（类）人力资源和社会保障管理事务（款）事业运行（项）：指</w:t>
      </w:r>
      <w:r>
        <w:rPr>
          <w:rFonts w:hint="eastAsia" w:ascii="仿宋_GB2312" w:eastAsia="仿宋_GB2312"/>
          <w:sz w:val="32"/>
          <w:szCs w:val="32"/>
          <w:lang w:eastAsia="zh-CN"/>
        </w:rPr>
        <w:t>事业单位的基本支出</w:t>
      </w:r>
      <w:r>
        <w:rPr>
          <w:rFonts w:hint="eastAsia" w:ascii="仿宋_GB2312" w:eastAsia="仿宋_GB2312"/>
          <w:sz w:val="32"/>
          <w:szCs w:val="32"/>
        </w:rPr>
        <w:t>。</w:t>
      </w:r>
    </w:p>
    <w:p>
      <w:pPr>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5</w:t>
      </w:r>
      <w:r>
        <w:rPr>
          <w:rFonts w:ascii="仿宋_GB2312" w:eastAsia="仿宋_GB2312"/>
          <w:sz w:val="32"/>
          <w:szCs w:val="32"/>
        </w:rPr>
        <w:t>.</w:t>
      </w:r>
      <w:r>
        <w:rPr>
          <w:rFonts w:hint="eastAsia" w:ascii="仿宋_GB2312" w:eastAsia="仿宋_GB2312"/>
          <w:sz w:val="32"/>
          <w:szCs w:val="32"/>
        </w:rPr>
        <w:t>社会保障和就业（类）人力资源和社会保障管理事务（款）其他人力资源和社会保障管理事务（项）：指</w:t>
      </w:r>
      <w:r>
        <w:rPr>
          <w:rFonts w:hint="eastAsia" w:ascii="仿宋_GB2312" w:eastAsia="仿宋_GB2312"/>
          <w:sz w:val="32"/>
          <w:szCs w:val="32"/>
          <w:lang w:eastAsia="zh-CN"/>
        </w:rPr>
        <w:t>其他用于人力资源和社会保障管理事务支出</w:t>
      </w:r>
      <w:r>
        <w:rPr>
          <w:rFonts w:hint="eastAsia" w:ascii="仿宋_GB2312" w:eastAsia="仿宋_GB2312"/>
          <w:sz w:val="32"/>
          <w:szCs w:val="32"/>
        </w:rPr>
        <w:t>。</w:t>
      </w:r>
    </w:p>
    <w:p>
      <w:pPr>
        <w:pStyle w:val="6"/>
        <w:spacing w:before="93"/>
        <w:ind w:firstLine="640" w:firstLineChars="200"/>
        <w:rPr>
          <w:sz w:val="32"/>
          <w:szCs w:val="32"/>
        </w:rPr>
      </w:pPr>
      <w:r>
        <w:rPr>
          <w:sz w:val="32"/>
          <w:szCs w:val="32"/>
        </w:rPr>
        <w:t>1</w:t>
      </w:r>
      <w:r>
        <w:rPr>
          <w:rFonts w:hint="eastAsia"/>
          <w:sz w:val="32"/>
          <w:szCs w:val="32"/>
        </w:rPr>
        <w:t>6</w:t>
      </w:r>
      <w:r>
        <w:rPr>
          <w:sz w:val="32"/>
          <w:szCs w:val="32"/>
        </w:rPr>
        <w:t>.</w:t>
      </w:r>
      <w:r>
        <w:rPr>
          <w:rFonts w:hint="eastAsia"/>
          <w:sz w:val="32"/>
          <w:szCs w:val="32"/>
        </w:rPr>
        <w:t>社会保障和就业（类）行政事业单位养老（款）机关事业单位基本养老保险缴费（项）：</w:t>
      </w:r>
      <w:r>
        <w:rPr>
          <w:rFonts w:hint="eastAsia" w:hAnsi="仿宋_GB2312" w:cs="仿宋_GB2312"/>
          <w:sz w:val="32"/>
          <w:szCs w:val="32"/>
        </w:rPr>
        <w:t>指机关事业单位实施养老保险制度由单位缴纳的基本养老保险支出</w:t>
      </w:r>
      <w:r>
        <w:rPr>
          <w:rFonts w:hint="eastAsia"/>
          <w:sz w:val="32"/>
          <w:szCs w:val="32"/>
        </w:rPr>
        <w:t>。</w:t>
      </w:r>
    </w:p>
    <w:p>
      <w:pPr>
        <w:pStyle w:val="6"/>
        <w:spacing w:before="93"/>
        <w:ind w:firstLine="640" w:firstLineChars="200"/>
        <w:rPr>
          <w:sz w:val="32"/>
          <w:szCs w:val="32"/>
        </w:rPr>
      </w:pPr>
      <w:r>
        <w:rPr>
          <w:sz w:val="32"/>
          <w:szCs w:val="32"/>
        </w:rPr>
        <w:t>1</w:t>
      </w:r>
      <w:r>
        <w:rPr>
          <w:rFonts w:hint="eastAsia"/>
          <w:sz w:val="32"/>
          <w:szCs w:val="32"/>
        </w:rPr>
        <w:t>7</w:t>
      </w:r>
      <w:r>
        <w:rPr>
          <w:sz w:val="32"/>
          <w:szCs w:val="32"/>
        </w:rPr>
        <w:t>.</w:t>
      </w:r>
      <w:r>
        <w:rPr>
          <w:rFonts w:hint="eastAsia"/>
          <w:sz w:val="32"/>
          <w:szCs w:val="32"/>
        </w:rPr>
        <w:t>社会保障和就业（类）抚恤（款）死亡抚恤（项）：指</w:t>
      </w:r>
      <w:r>
        <w:rPr>
          <w:rFonts w:hint="eastAsia" w:hAnsi="仿宋_GB2312" w:cs="仿宋_GB2312"/>
          <w:sz w:val="32"/>
          <w:szCs w:val="32"/>
        </w:rPr>
        <w:t>按规定用于烈士和牺牲、病故人员家属的一次性和定期抚恤金以及丧葬补助费。</w:t>
      </w:r>
    </w:p>
    <w:p>
      <w:pPr>
        <w:pStyle w:val="6"/>
        <w:spacing w:before="93"/>
        <w:ind w:firstLine="640" w:firstLineChars="200"/>
        <w:rPr>
          <w:sz w:val="32"/>
          <w:szCs w:val="32"/>
        </w:rPr>
      </w:pPr>
      <w:r>
        <w:rPr>
          <w:sz w:val="32"/>
          <w:szCs w:val="32"/>
        </w:rPr>
        <w:t>1</w:t>
      </w:r>
      <w:r>
        <w:rPr>
          <w:rFonts w:hint="eastAsia"/>
          <w:sz w:val="32"/>
          <w:szCs w:val="32"/>
        </w:rPr>
        <w:t>8</w:t>
      </w:r>
      <w:r>
        <w:rPr>
          <w:sz w:val="32"/>
          <w:szCs w:val="32"/>
        </w:rPr>
        <w:t>.</w:t>
      </w:r>
      <w:r>
        <w:rPr>
          <w:rFonts w:hint="eastAsia"/>
          <w:sz w:val="32"/>
          <w:szCs w:val="32"/>
        </w:rPr>
        <w:t>社会保障和就业（类）其他社会保障和就业（款）其他社会保障和就业务（项）：指</w:t>
      </w:r>
      <w:r>
        <w:rPr>
          <w:rFonts w:hint="eastAsia"/>
          <w:sz w:val="32"/>
          <w:szCs w:val="32"/>
          <w:lang w:eastAsia="zh-CN"/>
        </w:rPr>
        <w:t>其他用于社会保障和就业方面的支出</w:t>
      </w:r>
      <w:r>
        <w:rPr>
          <w:rFonts w:hint="eastAsia"/>
          <w:sz w:val="32"/>
          <w:szCs w:val="32"/>
        </w:rPr>
        <w:t>。</w:t>
      </w:r>
    </w:p>
    <w:p>
      <w:pPr>
        <w:spacing w:line="576"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9</w:t>
      </w:r>
      <w:r>
        <w:rPr>
          <w:rFonts w:ascii="仿宋_GB2312" w:eastAsia="仿宋_GB2312"/>
          <w:sz w:val="32"/>
          <w:szCs w:val="32"/>
        </w:rPr>
        <w:t>.</w:t>
      </w:r>
      <w:r>
        <w:rPr>
          <w:rFonts w:hint="eastAsia" w:ascii="仿宋_GB2312" w:eastAsia="仿宋_GB2312"/>
          <w:sz w:val="32"/>
          <w:szCs w:val="32"/>
        </w:rPr>
        <w:t>卫生健康（类）行政事业单位医疗（款）行政单位医疗（项）：指</w:t>
      </w:r>
      <w:r>
        <w:rPr>
          <w:rFonts w:hint="eastAsia" w:ascii="仿宋_GB2312" w:hAnsi="仿宋_GB2312" w:eastAsia="仿宋_GB2312" w:cs="仿宋_GB2312"/>
          <w:sz w:val="32"/>
          <w:szCs w:val="32"/>
        </w:rPr>
        <w:t>指财政部门集中安排的行政单位基本医疗保险缴费经费，未参加医疗保险的行政单位的公费医疗经费，按国家规定享受离休人员、红军老战士待遇人员的医疗经费。</w:t>
      </w:r>
    </w:p>
    <w:p>
      <w:pPr>
        <w:ind w:firstLine="640" w:firstLineChars="200"/>
        <w:rPr>
          <w:rFonts w:ascii="仿宋_GB2312" w:eastAsia="仿宋_GB2312"/>
          <w:sz w:val="32"/>
          <w:szCs w:val="32"/>
        </w:rPr>
      </w:pPr>
      <w:r>
        <w:rPr>
          <w:rFonts w:hint="eastAsia" w:ascii="仿宋_GB2312" w:eastAsia="仿宋_GB2312"/>
          <w:sz w:val="32"/>
          <w:szCs w:val="32"/>
        </w:rPr>
        <w:t>20</w:t>
      </w:r>
      <w:r>
        <w:rPr>
          <w:rFonts w:ascii="仿宋_GB2312" w:eastAsia="仿宋_GB2312"/>
          <w:sz w:val="32"/>
          <w:szCs w:val="32"/>
        </w:rPr>
        <w:t>.</w:t>
      </w:r>
      <w:r>
        <w:rPr>
          <w:rFonts w:hint="eastAsia" w:ascii="仿宋_GB2312" w:eastAsia="仿宋_GB2312"/>
          <w:sz w:val="32"/>
          <w:szCs w:val="32"/>
        </w:rPr>
        <w:t>住房保障（类）住房改革（款）住房公积金（项）：指</w:t>
      </w:r>
      <w:r>
        <w:rPr>
          <w:rFonts w:hint="eastAsia" w:ascii="仿宋_GB2312" w:hAnsi="仿宋_GB2312" w:eastAsia="仿宋_GB2312" w:cs="仿宋_GB2312"/>
          <w:sz w:val="32"/>
          <w:szCs w:val="32"/>
        </w:rPr>
        <w:t>行政事业单位按人力资源和社会保障部、财政部规定的基本工资和津贴补贴以及规定比例为职工缴纳的住房公积金</w:t>
      </w:r>
      <w:r>
        <w:rPr>
          <w:rFonts w:hint="eastAsia" w:ascii="仿宋_GB2312" w:eastAsia="仿宋_GB2312"/>
          <w:sz w:val="32"/>
          <w:szCs w:val="32"/>
        </w:rPr>
        <w:t>。</w:t>
      </w:r>
    </w:p>
    <w:p>
      <w:pPr>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1</w:t>
      </w:r>
      <w:r>
        <w:rPr>
          <w:rFonts w:ascii="仿宋_GB2312" w:eastAsia="仿宋_GB2312"/>
          <w:sz w:val="32"/>
          <w:szCs w:val="32"/>
        </w:rPr>
        <w:t>.</w:t>
      </w:r>
      <w:r>
        <w:rPr>
          <w:rFonts w:hint="eastAsia" w:ascii="仿宋_GB2312" w:eastAsia="仿宋_GB2312"/>
          <w:sz w:val="32"/>
          <w:szCs w:val="32"/>
        </w:rPr>
        <w:t>基本支出：指为保障机构正常运转、完成日常工作任务而发生的人员支出和公用支出。</w:t>
      </w:r>
    </w:p>
    <w:p>
      <w:pPr>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2</w:t>
      </w:r>
      <w:r>
        <w:rPr>
          <w:rFonts w:ascii="仿宋_GB2312" w:eastAsia="仿宋_GB2312"/>
          <w:sz w:val="32"/>
          <w:szCs w:val="32"/>
        </w:rPr>
        <w:t>.</w:t>
      </w:r>
      <w:r>
        <w:rPr>
          <w:rFonts w:hint="eastAsia" w:ascii="仿宋_GB2312" w:eastAsia="仿宋_GB2312"/>
          <w:sz w:val="32"/>
          <w:szCs w:val="32"/>
        </w:rPr>
        <w:t>项目支出：指在基本支出之外为完成特定行政任务和事业发展目标所发生的支出。</w:t>
      </w:r>
    </w:p>
    <w:p>
      <w:pPr>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3</w:t>
      </w:r>
      <w:r>
        <w:rPr>
          <w:rFonts w:ascii="仿宋_GB2312" w:eastAsia="仿宋_GB2312"/>
          <w:sz w:val="32"/>
          <w:szCs w:val="32"/>
        </w:rPr>
        <w:t>.</w:t>
      </w:r>
      <w:r>
        <w:rPr>
          <w:rFonts w:hint="eastAsia" w:ascii="仿宋_GB2312" w:eastAsia="仿宋_GB2312"/>
          <w:sz w:val="32"/>
          <w:szCs w:val="32"/>
        </w:rPr>
        <w:t>经营支出：指事业单位在专业业务活动及其辅助活动之外开展非独立核算经营活动发生的支出。</w:t>
      </w:r>
    </w:p>
    <w:p>
      <w:pPr>
        <w:pStyle w:val="24"/>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24</w:t>
      </w:r>
      <w:r>
        <w:rPr>
          <w:rFonts w:ascii="仿宋_GB2312" w:eastAsia="仿宋_GB2312"/>
          <w:color w:val="auto"/>
          <w:sz w:val="32"/>
          <w:szCs w:val="32"/>
        </w:rPr>
        <w:t>.</w:t>
      </w:r>
      <w:r>
        <w:rPr>
          <w:rFonts w:hint="eastAsia" w:ascii="仿宋_GB2312" w:eastAsia="仿宋_GB2312"/>
          <w:color w:val="auto"/>
          <w:sz w:val="32"/>
          <w:szCs w:val="32"/>
        </w:rPr>
        <w:t>“三公”经费：指单位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4"/>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25</w:t>
      </w:r>
      <w:r>
        <w:rPr>
          <w:rFonts w:ascii="仿宋_GB2312" w:eastAsia="仿宋_GB2312"/>
          <w:color w:val="auto"/>
          <w:sz w:val="32"/>
          <w:szCs w:val="32"/>
        </w:rPr>
        <w:t>.</w:t>
      </w:r>
      <w:r>
        <w:rPr>
          <w:rFonts w:hint="eastAsia" w:ascii="仿宋_GB2312" w:eastAsia="仿宋_GB2312"/>
          <w:color w:val="auto"/>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24"/>
        <w:spacing w:line="560" w:lineRule="exact"/>
        <w:ind w:firstLine="640" w:firstLineChars="200"/>
        <w:rPr>
          <w:rFonts w:ascii="仿宋_GB2312" w:eastAsia="仿宋_GB2312" w:cs="黑体"/>
          <w:color w:val="auto"/>
          <w:sz w:val="32"/>
          <w:szCs w:val="32"/>
        </w:rPr>
      </w:pPr>
    </w:p>
    <w:p>
      <w:pPr>
        <w:spacing w:line="600" w:lineRule="exact"/>
        <w:jc w:val="center"/>
        <w:outlineLvl w:val="0"/>
        <w:rPr>
          <w:rStyle w:val="26"/>
          <w:rFonts w:ascii="黑体" w:hAnsi="黑体" w:eastAsia="黑体"/>
          <w:b w:val="0"/>
        </w:rPr>
      </w:pPr>
      <w:bookmarkStart w:id="67" w:name="_Toc15377226"/>
      <w:r>
        <w:rPr>
          <w:rFonts w:ascii="宋体"/>
          <w:b/>
          <w:sz w:val="44"/>
          <w:szCs w:val="44"/>
        </w:rPr>
        <w:br w:type="page"/>
      </w:r>
      <w:bookmarkStart w:id="68" w:name="_Toc4078"/>
      <w:bookmarkStart w:id="69" w:name="_Toc15396614"/>
      <w:r>
        <w:rPr>
          <w:rFonts w:hint="eastAsia" w:ascii="黑体" w:hAnsi="黑体" w:eastAsia="黑体"/>
          <w:sz w:val="44"/>
          <w:szCs w:val="44"/>
        </w:rPr>
        <w:t>第</w:t>
      </w:r>
      <w:r>
        <w:rPr>
          <w:rStyle w:val="26"/>
          <w:rFonts w:hint="eastAsia" w:ascii="黑体" w:hAnsi="黑体" w:eastAsia="黑体"/>
          <w:b w:val="0"/>
        </w:rPr>
        <w:t>四部分 附件</w:t>
      </w:r>
      <w:bookmarkEnd w:id="68"/>
      <w:bookmarkEnd w:id="69"/>
    </w:p>
    <w:p>
      <w:pPr>
        <w:spacing w:line="572" w:lineRule="exact"/>
        <w:jc w:val="left"/>
        <w:outlineLvl w:val="1"/>
        <w:rPr>
          <w:rFonts w:hint="eastAsia" w:ascii="仿宋_GB2312" w:hAnsi="仿宋_GB2312" w:eastAsia="黑体" w:cs="仿宋_GB2312"/>
          <w:sz w:val="32"/>
          <w:szCs w:val="32"/>
          <w:lang w:val="en-US" w:eastAsia="zh-CN"/>
        </w:rPr>
      </w:pPr>
      <w:bookmarkStart w:id="70" w:name="_Toc15608"/>
      <w:r>
        <w:rPr>
          <w:rFonts w:hint="eastAsia" w:ascii="黑体" w:hAnsi="黑体" w:eastAsia="黑体" w:cs="黑体"/>
          <w:sz w:val="32"/>
          <w:szCs w:val="32"/>
        </w:rPr>
        <w:t>附件</w:t>
      </w:r>
      <w:r>
        <w:rPr>
          <w:rFonts w:hint="eastAsia" w:ascii="黑体" w:hAnsi="黑体" w:eastAsia="黑体" w:cs="黑体"/>
          <w:sz w:val="32"/>
          <w:szCs w:val="32"/>
          <w:lang w:val="en-US" w:eastAsia="zh-CN"/>
        </w:rPr>
        <w:t>1</w:t>
      </w:r>
      <w:bookmarkEnd w:id="70"/>
    </w:p>
    <w:tbl>
      <w:tblPr>
        <w:tblStyle w:val="14"/>
        <w:tblpPr w:leftFromText="180" w:rightFromText="180" w:vertAnchor="text" w:horzAnchor="page" w:tblpX="1281" w:tblpY="660"/>
        <w:tblOverlap w:val="never"/>
        <w:tblW w:w="9811" w:type="dxa"/>
        <w:tblInd w:w="0" w:type="dxa"/>
        <w:tblLayout w:type="fixed"/>
        <w:tblCellMar>
          <w:top w:w="0" w:type="dxa"/>
          <w:left w:w="108" w:type="dxa"/>
          <w:bottom w:w="0" w:type="dxa"/>
          <w:right w:w="108" w:type="dxa"/>
        </w:tblCellMar>
      </w:tblPr>
      <w:tblGrid>
        <w:gridCol w:w="1976"/>
        <w:gridCol w:w="1142"/>
        <w:gridCol w:w="1635"/>
        <w:gridCol w:w="1189"/>
        <w:gridCol w:w="1224"/>
        <w:gridCol w:w="2409"/>
        <w:gridCol w:w="236"/>
      </w:tblGrid>
      <w:tr>
        <w:tblPrEx>
          <w:tblCellMar>
            <w:top w:w="0" w:type="dxa"/>
            <w:left w:w="108" w:type="dxa"/>
            <w:bottom w:w="0" w:type="dxa"/>
            <w:right w:w="108" w:type="dxa"/>
          </w:tblCellMar>
        </w:tblPrEx>
        <w:trPr>
          <w:trHeight w:val="675" w:hRule="atLeast"/>
        </w:trPr>
        <w:tc>
          <w:tcPr>
            <w:tcW w:w="9575" w:type="dxa"/>
            <w:gridSpan w:val="6"/>
            <w:tcBorders>
              <w:top w:val="nil"/>
              <w:left w:val="nil"/>
              <w:bottom w:val="nil"/>
              <w:right w:val="nil"/>
            </w:tcBorders>
            <w:shd w:val="clear" w:color="auto" w:fill="auto"/>
            <w:vAlign w:val="center"/>
          </w:tcPr>
          <w:p>
            <w:pPr>
              <w:widowControl/>
              <w:jc w:val="center"/>
              <w:textAlignment w:val="center"/>
              <w:rPr>
                <w:rFonts w:hint="eastAsia" w:ascii="宋体" w:hAnsi="宋体" w:eastAsia="宋体" w:cs="宋体"/>
                <w:b/>
                <w:sz w:val="32"/>
                <w:szCs w:val="32"/>
                <w:lang w:eastAsia="zh-CN"/>
              </w:rPr>
            </w:pPr>
            <w:bookmarkStart w:id="71" w:name="_Toc15396618"/>
            <w:r>
              <w:rPr>
                <w:rFonts w:hint="eastAsia" w:ascii="宋体" w:hAnsi="宋体" w:cs="宋体"/>
                <w:b/>
                <w:sz w:val="32"/>
                <w:szCs w:val="32"/>
                <w:highlight w:val="none"/>
              </w:rPr>
              <w:t>2021年</w:t>
            </w:r>
            <w:r>
              <w:rPr>
                <w:rFonts w:hint="eastAsia" w:ascii="宋体" w:hAnsi="宋体" w:cs="宋体"/>
                <w:b/>
                <w:sz w:val="32"/>
                <w:szCs w:val="32"/>
                <w:highlight w:val="none"/>
                <w:lang w:eastAsia="zh-CN"/>
              </w:rPr>
              <w:t>扫黑除恶工作经费</w:t>
            </w:r>
            <w:r>
              <w:rPr>
                <w:rFonts w:hint="eastAsia" w:ascii="宋体" w:hAnsi="宋体" w:cs="宋体"/>
                <w:b/>
                <w:sz w:val="32"/>
                <w:szCs w:val="32"/>
                <w:highlight w:val="none"/>
              </w:rPr>
              <w:t>项目绩效目标自评</w:t>
            </w:r>
          </w:p>
        </w:tc>
        <w:tc>
          <w:tcPr>
            <w:tcW w:w="236" w:type="dxa"/>
            <w:tcBorders>
              <w:top w:val="nil"/>
              <w:left w:val="nil"/>
              <w:bottom w:val="nil"/>
              <w:right w:val="nil"/>
            </w:tcBorders>
            <w:shd w:val="clear" w:color="auto" w:fill="auto"/>
            <w:vAlign w:val="center"/>
          </w:tcPr>
          <w:p>
            <w:pPr>
              <w:widowControl/>
              <w:jc w:val="center"/>
              <w:textAlignment w:val="center"/>
              <w:rPr>
                <w:rFonts w:ascii="宋体" w:hAnsi="宋体" w:cs="宋体"/>
                <w:b/>
                <w:kern w:val="0"/>
                <w:sz w:val="32"/>
                <w:szCs w:val="32"/>
              </w:rPr>
            </w:pPr>
          </w:p>
        </w:tc>
      </w:tr>
      <w:tr>
        <w:tblPrEx>
          <w:tblCellMar>
            <w:top w:w="0" w:type="dxa"/>
            <w:left w:w="108" w:type="dxa"/>
            <w:bottom w:w="0" w:type="dxa"/>
            <w:right w:w="108" w:type="dxa"/>
          </w:tblCellMar>
        </w:tblPrEx>
        <w:trPr>
          <w:gridAfter w:val="1"/>
          <w:wAfter w:w="236" w:type="dxa"/>
          <w:trHeight w:val="254" w:hRule="atLeast"/>
        </w:trPr>
        <w:tc>
          <w:tcPr>
            <w:tcW w:w="311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主管部门及代码</w:t>
            </w:r>
          </w:p>
        </w:tc>
        <w:tc>
          <w:tcPr>
            <w:tcW w:w="28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hint="eastAsia" w:ascii="宋体" w:hAnsi="宋体" w:eastAsia="宋体" w:cs="宋体"/>
                <w:sz w:val="24"/>
                <w:lang w:eastAsia="zh-CN"/>
              </w:rPr>
            </w:pPr>
            <w:r>
              <w:rPr>
                <w:rFonts w:hint="eastAsia" w:ascii="宋体" w:hAnsi="宋体" w:cs="宋体"/>
                <w:sz w:val="24"/>
                <w:lang w:val="en-US" w:eastAsia="zh-CN"/>
              </w:rPr>
              <w:t>303</w:t>
            </w:r>
            <w:r>
              <w:rPr>
                <w:rFonts w:hint="eastAsia" w:ascii="宋体" w:hAnsi="宋体" w:cs="宋体"/>
                <w:sz w:val="24"/>
                <w:lang w:eastAsia="zh-CN"/>
              </w:rPr>
              <w:t>旺苍县人力资源和社会保障局</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实施单位</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lang w:eastAsia="zh-CN"/>
              </w:rPr>
              <w:t>旺苍县人力资源和社会保障局机关</w:t>
            </w:r>
          </w:p>
        </w:tc>
      </w:tr>
      <w:tr>
        <w:trPr>
          <w:gridAfter w:val="1"/>
          <w:wAfter w:w="236" w:type="dxa"/>
          <w:trHeight w:val="341" w:hRule="atLeast"/>
        </w:trPr>
        <w:tc>
          <w:tcPr>
            <w:tcW w:w="311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项目预算</w:t>
            </w:r>
            <w:r>
              <w:rPr>
                <w:rFonts w:hint="eastAsia" w:ascii="宋体" w:hAnsi="宋体" w:cs="宋体"/>
                <w:kern w:val="0"/>
                <w:sz w:val="24"/>
              </w:rPr>
              <w:br w:type="textWrapping"/>
            </w:r>
            <w:r>
              <w:rPr>
                <w:rFonts w:hint="eastAsia" w:ascii="宋体" w:hAnsi="宋体" w:cs="宋体"/>
                <w:kern w:val="0"/>
                <w:sz w:val="24"/>
              </w:rPr>
              <w:t>执行情况</w:t>
            </w:r>
            <w:r>
              <w:rPr>
                <w:rFonts w:hint="eastAsia" w:ascii="宋体" w:hAnsi="宋体" w:cs="宋体"/>
                <w:kern w:val="0"/>
                <w:sz w:val="24"/>
              </w:rPr>
              <w:br w:type="textWrapping"/>
            </w:r>
            <w:r>
              <w:rPr>
                <w:rFonts w:hint="eastAsia" w:ascii="宋体" w:hAnsi="宋体" w:cs="宋体"/>
                <w:kern w:val="0"/>
                <w:sz w:val="24"/>
              </w:rPr>
              <w:t>（万元）</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 xml:space="preserve"> 预算数：</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default" w:ascii="宋体" w:hAnsi="宋体" w:eastAsia="宋体" w:cs="宋体"/>
                <w:sz w:val="24"/>
                <w:lang w:val="en-US" w:eastAsia="zh-CN"/>
              </w:rPr>
            </w:pPr>
            <w:r>
              <w:rPr>
                <w:rFonts w:hint="eastAsia" w:ascii="宋体" w:hAnsi="宋体" w:cs="宋体"/>
                <w:sz w:val="24"/>
                <w:lang w:val="en-US" w:eastAsia="zh-CN"/>
              </w:rPr>
              <w:t>1.00</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 xml:space="preserve"> 执行数：</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default" w:ascii="宋体" w:hAnsi="宋体" w:eastAsia="宋体" w:cs="宋体"/>
                <w:sz w:val="24"/>
                <w:lang w:val="en-US" w:eastAsia="zh-CN"/>
              </w:rPr>
            </w:pPr>
            <w:r>
              <w:rPr>
                <w:rFonts w:hint="eastAsia" w:ascii="宋体" w:hAnsi="宋体" w:cs="宋体"/>
                <w:sz w:val="24"/>
                <w:lang w:val="en-US" w:eastAsia="zh-CN"/>
              </w:rPr>
              <w:t>1.00</w:t>
            </w:r>
          </w:p>
        </w:tc>
      </w:tr>
      <w:tr>
        <w:tblPrEx>
          <w:tblCellMar>
            <w:top w:w="0" w:type="dxa"/>
            <w:left w:w="108" w:type="dxa"/>
            <w:bottom w:w="0" w:type="dxa"/>
            <w:right w:w="108" w:type="dxa"/>
          </w:tblCellMar>
        </w:tblPrEx>
        <w:trPr>
          <w:gridAfter w:val="1"/>
          <w:wAfter w:w="236" w:type="dxa"/>
          <w:trHeight w:val="555" w:hRule="atLeast"/>
        </w:trPr>
        <w:tc>
          <w:tcPr>
            <w:tcW w:w="311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rPr>
            </w:pPr>
            <w:r>
              <w:rPr>
                <w:rFonts w:hint="eastAsia" w:ascii="宋体" w:hAnsi="宋体" w:cs="宋体"/>
                <w:kern w:val="0"/>
                <w:sz w:val="24"/>
              </w:rPr>
              <w:t>其中：</w:t>
            </w:r>
          </w:p>
          <w:p>
            <w:pPr>
              <w:widowControl/>
              <w:spacing w:line="320" w:lineRule="exact"/>
              <w:jc w:val="left"/>
              <w:textAlignment w:val="center"/>
              <w:rPr>
                <w:rFonts w:ascii="宋体" w:hAnsi="宋体" w:cs="宋体"/>
                <w:sz w:val="24"/>
              </w:rPr>
            </w:pPr>
            <w:r>
              <w:rPr>
                <w:rFonts w:hint="eastAsia" w:ascii="宋体" w:hAnsi="宋体" w:cs="宋体"/>
                <w:kern w:val="0"/>
                <w:sz w:val="24"/>
              </w:rPr>
              <w:t>财政拨款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default" w:ascii="宋体" w:hAnsi="宋体" w:eastAsia="宋体" w:cs="宋体"/>
                <w:sz w:val="24"/>
                <w:lang w:val="en-US" w:eastAsia="zh-CN"/>
              </w:rPr>
            </w:pPr>
            <w:r>
              <w:rPr>
                <w:rFonts w:hint="eastAsia" w:ascii="宋体" w:hAnsi="宋体" w:cs="宋体"/>
                <w:sz w:val="24"/>
                <w:lang w:val="en-US" w:eastAsia="zh-CN"/>
              </w:rPr>
              <w:t>1.00</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rPr>
            </w:pPr>
            <w:r>
              <w:rPr>
                <w:rFonts w:hint="eastAsia" w:ascii="宋体" w:hAnsi="宋体" w:cs="宋体"/>
                <w:kern w:val="0"/>
                <w:sz w:val="24"/>
              </w:rPr>
              <w:t>其中：</w:t>
            </w:r>
          </w:p>
          <w:p>
            <w:pPr>
              <w:widowControl/>
              <w:spacing w:line="320" w:lineRule="exact"/>
              <w:jc w:val="left"/>
              <w:textAlignment w:val="center"/>
              <w:rPr>
                <w:rFonts w:ascii="宋体" w:hAnsi="宋体" w:cs="宋体"/>
                <w:sz w:val="24"/>
              </w:rPr>
            </w:pPr>
            <w:r>
              <w:rPr>
                <w:rFonts w:hint="eastAsia" w:ascii="宋体" w:hAnsi="宋体" w:cs="宋体"/>
                <w:kern w:val="0"/>
                <w:sz w:val="24"/>
              </w:rPr>
              <w:t>财政拨款</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default" w:ascii="宋体" w:hAnsi="宋体" w:eastAsia="宋体" w:cs="宋体"/>
                <w:sz w:val="24"/>
                <w:lang w:val="en-US" w:eastAsia="zh-CN"/>
              </w:rPr>
            </w:pPr>
            <w:r>
              <w:rPr>
                <w:rFonts w:hint="eastAsia" w:ascii="宋体" w:hAnsi="宋体" w:cs="宋体"/>
                <w:sz w:val="24"/>
                <w:lang w:val="en-US" w:eastAsia="zh-CN"/>
              </w:rPr>
              <w:t>1.00</w:t>
            </w:r>
          </w:p>
        </w:tc>
      </w:tr>
      <w:tr>
        <w:tblPrEx>
          <w:tblCellMar>
            <w:top w:w="0" w:type="dxa"/>
            <w:left w:w="108" w:type="dxa"/>
            <w:bottom w:w="0" w:type="dxa"/>
            <w:right w:w="108" w:type="dxa"/>
          </w:tblCellMar>
        </w:tblPrEx>
        <w:trPr>
          <w:gridAfter w:val="1"/>
          <w:wAfter w:w="236" w:type="dxa"/>
          <w:trHeight w:val="341" w:hRule="atLeast"/>
        </w:trPr>
        <w:tc>
          <w:tcPr>
            <w:tcW w:w="311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其他资金</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rPr>
              <w:t>其他资金</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p>
        </w:tc>
      </w:tr>
      <w:tr>
        <w:tblPrEx>
          <w:tblCellMar>
            <w:top w:w="0" w:type="dxa"/>
            <w:left w:w="108" w:type="dxa"/>
            <w:bottom w:w="0" w:type="dxa"/>
            <w:right w:w="108" w:type="dxa"/>
          </w:tblCellMar>
        </w:tblPrEx>
        <w:trPr>
          <w:gridAfter w:val="1"/>
          <w:wAfter w:w="236" w:type="dxa"/>
          <w:trHeight w:val="217" w:hRule="atLeast"/>
        </w:trPr>
        <w:tc>
          <w:tcPr>
            <w:tcW w:w="19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kern w:val="0"/>
                <w:sz w:val="24"/>
              </w:rPr>
            </w:pPr>
            <w:r>
              <w:rPr>
                <w:rFonts w:hint="eastAsia" w:ascii="宋体" w:hAnsi="宋体" w:cs="宋体"/>
                <w:kern w:val="0"/>
                <w:sz w:val="24"/>
              </w:rPr>
              <w:t>年度总体目标</w:t>
            </w:r>
          </w:p>
          <w:p>
            <w:pPr>
              <w:widowControl/>
              <w:spacing w:line="320" w:lineRule="exact"/>
              <w:jc w:val="center"/>
              <w:textAlignment w:val="center"/>
              <w:rPr>
                <w:rFonts w:ascii="宋体" w:hAnsi="宋体" w:cs="宋体"/>
                <w:sz w:val="24"/>
              </w:rPr>
            </w:pPr>
            <w:r>
              <w:rPr>
                <w:rFonts w:hint="eastAsia" w:ascii="宋体" w:hAnsi="宋体" w:cs="宋体"/>
                <w:kern w:val="0"/>
                <w:sz w:val="24"/>
              </w:rPr>
              <w:t>完成情况</w:t>
            </w: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预期目标</w:t>
            </w:r>
          </w:p>
        </w:tc>
        <w:tc>
          <w:tcPr>
            <w:tcW w:w="36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rPr>
              <w:t>目标实际完成情况</w:t>
            </w:r>
          </w:p>
        </w:tc>
      </w:tr>
      <w:tr>
        <w:tblPrEx>
          <w:tblCellMar>
            <w:top w:w="0" w:type="dxa"/>
            <w:left w:w="108" w:type="dxa"/>
            <w:bottom w:w="0" w:type="dxa"/>
            <w:right w:w="108" w:type="dxa"/>
          </w:tblCellMar>
        </w:tblPrEx>
        <w:trPr>
          <w:gridAfter w:val="1"/>
          <w:wAfter w:w="236" w:type="dxa"/>
          <w:trHeight w:val="797" w:hRule="atLeast"/>
        </w:trPr>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hAnsi="宋体" w:cs="宋体"/>
                <w:sz w:val="24"/>
              </w:rPr>
            </w:pPr>
            <w:r>
              <w:rPr>
                <w:rFonts w:hint="eastAsia" w:ascii="宋体" w:hAnsi="宋体" w:cs="宋体"/>
                <w:sz w:val="24"/>
              </w:rPr>
              <w:t>在全局范围内开展扫黑除恶专项活动，全面遏制涉黑涉恶问题，保障全局生活安全，全面提升人民群众安全感和满意度；加强基层组织建设的环境明显优化；基层社会治理能力明显提升；扫黑除恶工作法治化、规范化、专业化水平进一步提高。</w:t>
            </w:r>
          </w:p>
        </w:tc>
        <w:tc>
          <w:tcPr>
            <w:tcW w:w="3633" w:type="dxa"/>
            <w:gridSpan w:val="2"/>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hint="eastAsia" w:ascii="宋体" w:hAnsi="宋体" w:cs="宋体"/>
                <w:sz w:val="24"/>
              </w:rPr>
            </w:pPr>
          </w:p>
          <w:p>
            <w:pPr>
              <w:widowControl/>
              <w:spacing w:line="320" w:lineRule="exact"/>
              <w:jc w:val="left"/>
              <w:textAlignment w:val="top"/>
              <w:rPr>
                <w:rFonts w:hint="eastAsia" w:ascii="宋体" w:hAnsi="宋体" w:cs="宋体"/>
                <w:sz w:val="24"/>
              </w:rPr>
            </w:pPr>
          </w:p>
          <w:p>
            <w:pPr>
              <w:widowControl/>
              <w:spacing w:line="320" w:lineRule="exact"/>
              <w:jc w:val="left"/>
              <w:textAlignment w:val="top"/>
              <w:rPr>
                <w:rFonts w:ascii="宋体" w:hAnsi="宋体" w:cs="宋体"/>
                <w:sz w:val="24"/>
              </w:rPr>
            </w:pPr>
            <w:r>
              <w:rPr>
                <w:rFonts w:hint="eastAsia" w:ascii="宋体" w:hAnsi="宋体" w:cs="宋体"/>
                <w:sz w:val="24"/>
              </w:rPr>
              <w:t>截止2021年底我局已开展扫黑除恶相关政策宣传活动12次；观看警示教育片4次。</w:t>
            </w:r>
          </w:p>
        </w:tc>
      </w:tr>
      <w:tr>
        <w:tblPrEx>
          <w:tblCellMar>
            <w:top w:w="0" w:type="dxa"/>
            <w:left w:w="108" w:type="dxa"/>
            <w:bottom w:w="0" w:type="dxa"/>
            <w:right w:w="108" w:type="dxa"/>
          </w:tblCellMar>
        </w:tblPrEx>
        <w:trPr>
          <w:gridAfter w:val="1"/>
          <w:wAfter w:w="236" w:type="dxa"/>
          <w:trHeight w:val="693" w:hRule="atLeast"/>
        </w:trPr>
        <w:tc>
          <w:tcPr>
            <w:tcW w:w="1976" w:type="dxa"/>
            <w:vMerge w:val="restart"/>
            <w:tcBorders>
              <w:top w:val="single" w:color="000000" w:sz="4" w:space="0"/>
              <w:left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年度绩效指标完成情况</w:t>
            </w:r>
          </w:p>
        </w:tc>
        <w:tc>
          <w:tcPr>
            <w:tcW w:w="1142" w:type="dxa"/>
            <w:tcBorders>
              <w:top w:val="single" w:color="000000" w:sz="4" w:space="0"/>
              <w:left w:val="nil"/>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一级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二级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三级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预期指标值</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实际完成指标值</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完成</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数量指标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宣传栏</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2期</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4"/>
                <w:szCs w:val="24"/>
                <w:lang w:eastAsia="zh-CN"/>
              </w:rPr>
              <w:t>每月一次宣传活动</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质量指标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知晓率</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100%</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100%</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时效指标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完成时间</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2021年12月底前</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2021年12月底前</w:t>
            </w:r>
          </w:p>
        </w:tc>
      </w:tr>
      <w:tr>
        <w:tblPrEx>
          <w:tblCellMar>
            <w:top w:w="0" w:type="dxa"/>
            <w:left w:w="108" w:type="dxa"/>
            <w:bottom w:w="0" w:type="dxa"/>
            <w:right w:w="108" w:type="dxa"/>
          </w:tblCellMar>
        </w:tblPrEx>
        <w:trPr>
          <w:gridAfter w:val="1"/>
          <w:wAfter w:w="236" w:type="dxa"/>
          <w:trHeight w:val="48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成本指标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宣传费</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4"/>
                <w:szCs w:val="24"/>
                <w:lang w:val="en-US" w:eastAsia="zh-CN"/>
              </w:rPr>
              <w:t>1.00万元</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1.00万元</w:t>
            </w:r>
          </w:p>
        </w:tc>
      </w:tr>
      <w:tr>
        <w:tblPrEx>
          <w:tblCellMar>
            <w:top w:w="0" w:type="dxa"/>
            <w:left w:w="108" w:type="dxa"/>
            <w:bottom w:w="0" w:type="dxa"/>
            <w:right w:w="108" w:type="dxa"/>
          </w:tblCellMar>
        </w:tblPrEx>
        <w:trPr>
          <w:gridAfter w:val="1"/>
          <w:wAfter w:w="236" w:type="dxa"/>
          <w:trHeight w:val="70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效益</w:t>
            </w:r>
            <w:r>
              <w:rPr>
                <w:rFonts w:hint="eastAsia" w:ascii="仿宋_GB2312" w:hAnsi="仿宋_GB2312" w:eastAsia="仿宋_GB2312" w:cs="仿宋_GB2312"/>
                <w:kern w:val="0"/>
                <w:sz w:val="28"/>
                <w:szCs w:val="28"/>
              </w:rPr>
              <w:br w:type="textWrapping"/>
            </w:r>
            <w:r>
              <w:rPr>
                <w:rFonts w:hint="eastAsia" w:ascii="仿宋_GB2312" w:hAnsi="仿宋_GB2312" w:eastAsia="仿宋_GB2312" w:cs="仿宋_GB2312"/>
                <w:kern w:val="0"/>
                <w:sz w:val="28"/>
                <w:szCs w:val="28"/>
              </w:rPr>
              <w:t>指标</w:t>
            </w:r>
          </w:p>
        </w:tc>
        <w:tc>
          <w:tcPr>
            <w:tcW w:w="1635" w:type="dxa"/>
            <w:tcBorders>
              <w:top w:val="single" w:color="000000" w:sz="4" w:space="0"/>
              <w:left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社会效益  指标</w:t>
            </w:r>
          </w:p>
        </w:tc>
        <w:tc>
          <w:tcPr>
            <w:tcW w:w="1189" w:type="dxa"/>
            <w:tcBorders>
              <w:top w:val="single" w:color="000000" w:sz="4" w:space="0"/>
              <w:left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社会环境</w:t>
            </w:r>
          </w:p>
        </w:tc>
        <w:tc>
          <w:tcPr>
            <w:tcW w:w="1224" w:type="dxa"/>
            <w:tcBorders>
              <w:top w:val="single" w:color="000000" w:sz="4" w:space="0"/>
              <w:left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优</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优</w:t>
            </w:r>
          </w:p>
        </w:tc>
      </w:tr>
      <w:tr>
        <w:tblPrEx>
          <w:tblCellMar>
            <w:top w:w="0" w:type="dxa"/>
            <w:left w:w="108" w:type="dxa"/>
            <w:bottom w:w="0" w:type="dxa"/>
            <w:right w:w="108" w:type="dxa"/>
          </w:tblCellMar>
        </w:tblPrEx>
        <w:trPr>
          <w:gridAfter w:val="1"/>
          <w:wAfter w:w="236" w:type="dxa"/>
          <w:trHeight w:val="619"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right w:val="single" w:color="000000" w:sz="4" w:space="0"/>
            </w:tcBorders>
            <w:shd w:val="clear" w:color="auto" w:fill="auto"/>
            <w:vAlign w:val="bottom"/>
          </w:tcPr>
          <w:p>
            <w:pPr>
              <w:widowControl/>
              <w:spacing w:line="320" w:lineRule="exact"/>
              <w:ind w:left="463" w:leftChars="87" w:hanging="280" w:hangingChars="100"/>
              <w:jc w:val="left"/>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生态效益  指标</w:t>
            </w:r>
          </w:p>
        </w:tc>
        <w:tc>
          <w:tcPr>
            <w:tcW w:w="1189" w:type="dxa"/>
            <w:tcBorders>
              <w:top w:val="single" w:color="000000" w:sz="4" w:space="0"/>
              <w:left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社会稳定发展</w:t>
            </w:r>
          </w:p>
        </w:tc>
        <w:tc>
          <w:tcPr>
            <w:tcW w:w="1224" w:type="dxa"/>
            <w:tcBorders>
              <w:top w:val="single" w:color="000000" w:sz="4" w:space="0"/>
              <w:left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优</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优</w:t>
            </w:r>
          </w:p>
        </w:tc>
      </w:tr>
      <w:tr>
        <w:tblPrEx>
          <w:tblCellMar>
            <w:top w:w="0" w:type="dxa"/>
            <w:left w:w="108" w:type="dxa"/>
            <w:bottom w:w="0" w:type="dxa"/>
            <w:right w:w="108" w:type="dxa"/>
          </w:tblCellMar>
        </w:tblPrEx>
        <w:trPr>
          <w:gridAfter w:val="1"/>
          <w:wAfter w:w="236" w:type="dxa"/>
          <w:trHeight w:val="530" w:hRule="atLeast"/>
        </w:trPr>
        <w:tc>
          <w:tcPr>
            <w:tcW w:w="1976" w:type="dxa"/>
            <w:vMerge w:val="continue"/>
            <w:tcBorders>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满意</w:t>
            </w:r>
            <w:r>
              <w:rPr>
                <w:rFonts w:hint="eastAsia" w:ascii="仿宋_GB2312" w:hAnsi="仿宋_GB2312" w:eastAsia="仿宋_GB2312" w:cs="仿宋_GB2312"/>
                <w:kern w:val="0"/>
                <w:sz w:val="28"/>
                <w:szCs w:val="28"/>
              </w:rPr>
              <w:br w:type="textWrapping"/>
            </w:r>
            <w:r>
              <w:rPr>
                <w:rFonts w:hint="eastAsia" w:ascii="仿宋_GB2312" w:hAnsi="仿宋_GB2312" w:eastAsia="仿宋_GB2312" w:cs="仿宋_GB2312"/>
                <w:kern w:val="0"/>
                <w:sz w:val="28"/>
                <w:szCs w:val="28"/>
              </w:rPr>
              <w:t>度指标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满意度</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群众满意度</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default" w:ascii="仿宋_GB2312" w:hAnsi="仿宋_GB2312" w:eastAsia="仿宋_GB2312" w:cs="仿宋_GB2312"/>
                <w:sz w:val="28"/>
                <w:szCs w:val="28"/>
                <w:lang w:val="en-US" w:eastAsia="zh-CN"/>
              </w:rPr>
            </w:pPr>
            <w:r>
              <w:rPr>
                <w:rFonts w:hint="default" w:ascii="仿宋_GB2312" w:hAnsi="仿宋_GB2312" w:eastAsia="仿宋_GB2312" w:cs="仿宋_GB2312"/>
                <w:sz w:val="28"/>
                <w:szCs w:val="28"/>
                <w:lang w:val="en-US" w:eastAsia="zh-CN"/>
              </w:rPr>
              <w:t>≥99%</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sz w:val="28"/>
                <w:szCs w:val="28"/>
              </w:rPr>
              <w:t>≥99%</w:t>
            </w:r>
          </w:p>
        </w:tc>
      </w:tr>
    </w:tbl>
    <w:p>
      <w:pPr>
        <w:spacing w:line="600" w:lineRule="exact"/>
        <w:jc w:val="center"/>
        <w:outlineLvl w:val="9"/>
        <w:rPr>
          <w:rFonts w:ascii="黑体" w:hAnsi="黑体" w:eastAsia="黑体"/>
          <w:sz w:val="44"/>
          <w:szCs w:val="44"/>
        </w:rPr>
      </w:pPr>
    </w:p>
    <w:p>
      <w:pPr>
        <w:spacing w:line="600" w:lineRule="exact"/>
        <w:jc w:val="center"/>
        <w:outlineLvl w:val="9"/>
        <w:rPr>
          <w:rFonts w:ascii="黑体" w:hAnsi="黑体" w:eastAsia="黑体"/>
          <w:sz w:val="44"/>
          <w:szCs w:val="44"/>
        </w:rPr>
      </w:pPr>
    </w:p>
    <w:p>
      <w:pPr>
        <w:spacing w:line="600" w:lineRule="exact"/>
        <w:jc w:val="center"/>
        <w:outlineLvl w:val="9"/>
        <w:rPr>
          <w:rFonts w:ascii="黑体" w:hAnsi="黑体" w:eastAsia="黑体"/>
          <w:sz w:val="44"/>
          <w:szCs w:val="44"/>
        </w:rPr>
      </w:pPr>
    </w:p>
    <w:p>
      <w:pPr>
        <w:spacing w:line="600" w:lineRule="exact"/>
        <w:jc w:val="both"/>
        <w:outlineLvl w:val="0"/>
        <w:rPr>
          <w:rFonts w:hint="eastAsia" w:ascii="黑体" w:hAnsi="黑体" w:eastAsia="黑体"/>
          <w:sz w:val="44"/>
          <w:szCs w:val="44"/>
        </w:rPr>
      </w:pPr>
    </w:p>
    <w:tbl>
      <w:tblPr>
        <w:tblStyle w:val="14"/>
        <w:tblpPr w:leftFromText="180" w:rightFromText="180" w:vertAnchor="text" w:horzAnchor="page" w:tblpX="1281" w:tblpY="660"/>
        <w:tblOverlap w:val="never"/>
        <w:tblW w:w="957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470"/>
        <w:gridCol w:w="1050"/>
        <w:gridCol w:w="599"/>
        <w:gridCol w:w="1115"/>
        <w:gridCol w:w="520"/>
        <w:gridCol w:w="1189"/>
        <w:gridCol w:w="649"/>
        <w:gridCol w:w="575"/>
        <w:gridCol w:w="732"/>
        <w:gridCol w:w="167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9577" w:type="dxa"/>
            <w:gridSpan w:val="10"/>
            <w:tcBorders>
              <w:top w:val="nil"/>
              <w:left w:val="nil"/>
              <w:bottom w:val="nil"/>
              <w:right w:val="nil"/>
            </w:tcBorders>
            <w:shd w:val="clear" w:color="auto" w:fill="auto"/>
            <w:vAlign w:val="center"/>
          </w:tcPr>
          <w:p>
            <w:pPr>
              <w:keepNext w:val="0"/>
              <w:keepLines w:val="0"/>
              <w:widowControl/>
              <w:suppressLineNumbers w:val="0"/>
              <w:spacing w:beforeAutospacing="0"/>
              <w:jc w:val="center"/>
              <w:textAlignment w:val="center"/>
              <w:rPr>
                <w:rFonts w:hint="eastAsia" w:ascii="宋体" w:hAnsi="宋体" w:eastAsia="宋体" w:cs="宋体"/>
                <w:b/>
                <w:i w:val="0"/>
                <w:color w:val="auto"/>
                <w:sz w:val="32"/>
                <w:szCs w:val="32"/>
                <w:highlight w:val="none"/>
                <w:u w:val="none"/>
              </w:rPr>
            </w:pPr>
            <w:r>
              <w:rPr>
                <w:rFonts w:hint="eastAsia" w:ascii="宋体" w:hAnsi="宋体" w:eastAsia="宋体" w:cs="宋体"/>
                <w:b/>
                <w:i w:val="0"/>
                <w:color w:val="auto"/>
                <w:sz w:val="32"/>
                <w:szCs w:val="32"/>
                <w:highlight w:val="none"/>
                <w:u w:val="none"/>
                <w:lang w:val="en-US" w:eastAsia="zh-CN"/>
              </w:rPr>
              <w:t>2021年党组织活动经费项目绩效目标自评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4" w:hRule="atLeast"/>
        </w:trPr>
        <w:tc>
          <w:tcPr>
            <w:tcW w:w="31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主管部门及代码</w:t>
            </w:r>
          </w:p>
        </w:tc>
        <w:tc>
          <w:tcPr>
            <w:tcW w:w="28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宋体" w:hAnsi="宋体" w:eastAsia="宋体" w:cs="宋体"/>
                <w:i w:val="0"/>
                <w:color w:val="auto"/>
                <w:sz w:val="24"/>
                <w:szCs w:val="24"/>
                <w:highlight w:val="none"/>
                <w:u w:val="none"/>
              </w:rPr>
            </w:pPr>
            <w:r>
              <w:rPr>
                <w:rFonts w:hint="eastAsia" w:ascii="宋体" w:hAnsi="宋体" w:cs="宋体"/>
                <w:sz w:val="24"/>
                <w:lang w:val="en-US" w:eastAsia="zh-CN"/>
              </w:rPr>
              <w:t>303</w:t>
            </w:r>
            <w:r>
              <w:rPr>
                <w:rFonts w:hint="eastAsia" w:ascii="宋体" w:hAnsi="宋体" w:cs="宋体"/>
                <w:sz w:val="24"/>
                <w:lang w:eastAsia="zh-CN"/>
              </w:rPr>
              <w:t>旺苍县人力资源和社会保障局</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实施单位</w:t>
            </w:r>
          </w:p>
        </w:tc>
        <w:tc>
          <w:tcPr>
            <w:tcW w:w="24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eastAsia" w:ascii="宋体" w:hAnsi="宋体" w:eastAsia="宋体" w:cs="宋体"/>
                <w:kern w:val="2"/>
                <w:sz w:val="24"/>
                <w:szCs w:val="24"/>
                <w:lang w:val="en-US" w:eastAsia="zh-CN" w:bidi="ar-SA"/>
              </w:rPr>
            </w:pPr>
            <w:r>
              <w:rPr>
                <w:rFonts w:hint="eastAsia" w:ascii="宋体" w:hAnsi="宋体" w:cs="宋体"/>
                <w:sz w:val="24"/>
                <w:lang w:eastAsia="zh-CN"/>
              </w:rPr>
              <w:t>旺苍县人力资源和社会保障局机关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119"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项目预算</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执行情况</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（万元）</w:t>
            </w:r>
          </w:p>
        </w:tc>
        <w:tc>
          <w:tcPr>
            <w:tcW w:w="16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 xml:space="preserve"> 预算数：</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sz w:val="24"/>
                <w:szCs w:val="24"/>
                <w:highlight w:val="none"/>
                <w:u w:val="none"/>
                <w:lang w:val="en-US" w:eastAsia="zh-CN"/>
              </w:rPr>
              <w:t>8.9</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 xml:space="preserve"> 执行数：</w:t>
            </w:r>
          </w:p>
        </w:tc>
        <w:tc>
          <w:tcPr>
            <w:tcW w:w="24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sz w:val="24"/>
                <w:szCs w:val="24"/>
                <w:highlight w:val="none"/>
                <w:u w:val="none"/>
                <w:lang w:val="en-US" w:eastAsia="zh-CN"/>
              </w:rPr>
              <w:t>8.9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311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highlight w:val="none"/>
                <w:u w:val="none"/>
              </w:rPr>
            </w:pPr>
          </w:p>
        </w:tc>
        <w:tc>
          <w:tcPr>
            <w:tcW w:w="16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其中：</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财政拨款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sz w:val="24"/>
                <w:szCs w:val="24"/>
                <w:highlight w:val="none"/>
                <w:u w:val="none"/>
                <w:lang w:val="en-US" w:eastAsia="zh-CN"/>
              </w:rPr>
              <w:t>8.9</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其中：</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财政拨款</w:t>
            </w:r>
          </w:p>
        </w:tc>
        <w:tc>
          <w:tcPr>
            <w:tcW w:w="24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sz w:val="24"/>
                <w:szCs w:val="24"/>
                <w:highlight w:val="none"/>
                <w:u w:val="none"/>
                <w:lang w:val="en-US" w:eastAsia="zh-CN"/>
              </w:rPr>
              <w:t>8.9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11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highlight w:val="none"/>
                <w:u w:val="none"/>
              </w:rPr>
            </w:pPr>
          </w:p>
        </w:tc>
        <w:tc>
          <w:tcPr>
            <w:tcW w:w="16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其他资金</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其他资金</w:t>
            </w:r>
          </w:p>
        </w:tc>
        <w:tc>
          <w:tcPr>
            <w:tcW w:w="24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7" w:hRule="atLeast"/>
        </w:trPr>
        <w:tc>
          <w:tcPr>
            <w:tcW w:w="14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年度总体目标</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完成情况</w:t>
            </w:r>
          </w:p>
        </w:tc>
        <w:tc>
          <w:tcPr>
            <w:tcW w:w="447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预期目标</w:t>
            </w:r>
          </w:p>
        </w:tc>
        <w:tc>
          <w:tcPr>
            <w:tcW w:w="363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7" w:hRule="atLeast"/>
        </w:trPr>
        <w:tc>
          <w:tcPr>
            <w:tcW w:w="14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highlight w:val="none"/>
                <w:u w:val="none"/>
              </w:rPr>
            </w:pPr>
          </w:p>
        </w:tc>
        <w:tc>
          <w:tcPr>
            <w:tcW w:w="4473"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top"/>
              <w:rPr>
                <w:rFonts w:hint="eastAsia" w:ascii="宋体" w:hAnsi="宋体" w:eastAsia="宋体" w:cs="宋体"/>
                <w:i w:val="0"/>
                <w:color w:val="auto"/>
                <w:sz w:val="24"/>
                <w:szCs w:val="24"/>
                <w:highlight w:val="none"/>
                <w:u w:val="none"/>
              </w:rPr>
            </w:pPr>
            <w:r>
              <w:rPr>
                <w:rFonts w:hint="eastAsia" w:ascii="宋体" w:hAnsi="宋体" w:eastAsia="宋体" w:cs="宋体"/>
                <w:i w:val="0"/>
                <w:color w:val="auto"/>
                <w:sz w:val="24"/>
                <w:szCs w:val="24"/>
                <w:highlight w:val="none"/>
                <w:u w:val="none"/>
              </w:rPr>
              <w:t>开展三会一课大比武活动</w:t>
            </w:r>
            <w:r>
              <w:rPr>
                <w:rFonts w:hint="eastAsia" w:ascii="宋体" w:hAnsi="宋体" w:eastAsia="宋体" w:cs="宋体"/>
                <w:i w:val="0"/>
                <w:color w:val="auto"/>
                <w:sz w:val="24"/>
                <w:szCs w:val="24"/>
                <w:highlight w:val="none"/>
                <w:u w:val="none"/>
                <w:lang w:val="en-US" w:eastAsia="zh-CN"/>
              </w:rPr>
              <w:t>1</w:t>
            </w:r>
            <w:r>
              <w:rPr>
                <w:rFonts w:hint="eastAsia" w:ascii="宋体" w:hAnsi="宋体" w:eastAsia="宋体" w:cs="宋体"/>
                <w:i w:val="0"/>
                <w:color w:val="auto"/>
                <w:sz w:val="24"/>
                <w:szCs w:val="24"/>
                <w:highlight w:val="none"/>
                <w:u w:val="none"/>
              </w:rPr>
              <w:t>次，组织党员教育培训</w:t>
            </w:r>
            <w:r>
              <w:rPr>
                <w:rFonts w:hint="eastAsia" w:ascii="宋体" w:hAnsi="宋体" w:eastAsia="宋体" w:cs="宋体"/>
                <w:i w:val="0"/>
                <w:color w:val="auto"/>
                <w:sz w:val="24"/>
                <w:szCs w:val="24"/>
                <w:highlight w:val="none"/>
                <w:u w:val="none"/>
                <w:lang w:val="en-US" w:eastAsia="zh-CN"/>
              </w:rPr>
              <w:t>2</w:t>
            </w:r>
            <w:r>
              <w:rPr>
                <w:rFonts w:hint="eastAsia" w:ascii="宋体" w:hAnsi="宋体" w:eastAsia="宋体" w:cs="宋体"/>
                <w:i w:val="0"/>
                <w:color w:val="auto"/>
                <w:sz w:val="24"/>
                <w:szCs w:val="24"/>
                <w:highlight w:val="none"/>
                <w:u w:val="none"/>
              </w:rPr>
              <w:t>次，组织开展主题党日活动</w:t>
            </w:r>
            <w:r>
              <w:rPr>
                <w:rFonts w:hint="eastAsia" w:ascii="宋体" w:hAnsi="宋体" w:eastAsia="宋体" w:cs="宋体"/>
                <w:i w:val="0"/>
                <w:color w:val="auto"/>
                <w:sz w:val="24"/>
                <w:szCs w:val="24"/>
                <w:highlight w:val="none"/>
                <w:u w:val="none"/>
                <w:lang w:val="en-US" w:eastAsia="zh-CN"/>
              </w:rPr>
              <w:t>1</w:t>
            </w:r>
            <w:r>
              <w:rPr>
                <w:rFonts w:hint="eastAsia" w:ascii="宋体" w:hAnsi="宋体" w:eastAsia="宋体" w:cs="宋体"/>
                <w:i w:val="0"/>
                <w:color w:val="auto"/>
                <w:sz w:val="24"/>
                <w:szCs w:val="24"/>
                <w:highlight w:val="none"/>
                <w:u w:val="none"/>
              </w:rPr>
              <w:t>次，组织党员学习调研</w:t>
            </w:r>
            <w:r>
              <w:rPr>
                <w:rFonts w:hint="eastAsia" w:ascii="宋体" w:hAnsi="宋体" w:eastAsia="宋体" w:cs="宋体"/>
                <w:i w:val="0"/>
                <w:color w:val="auto"/>
                <w:sz w:val="24"/>
                <w:szCs w:val="24"/>
                <w:highlight w:val="none"/>
                <w:u w:val="none"/>
                <w:lang w:val="en-US" w:eastAsia="zh-CN"/>
              </w:rPr>
              <w:t>2</w:t>
            </w:r>
            <w:r>
              <w:rPr>
                <w:rFonts w:hint="eastAsia" w:ascii="宋体" w:hAnsi="宋体" w:eastAsia="宋体" w:cs="宋体"/>
                <w:i w:val="0"/>
                <w:color w:val="auto"/>
                <w:sz w:val="24"/>
                <w:szCs w:val="24"/>
                <w:highlight w:val="none"/>
                <w:u w:val="none"/>
              </w:rPr>
              <w:t>次，全面完成全年党建工作任务。</w:t>
            </w:r>
          </w:p>
        </w:tc>
        <w:tc>
          <w:tcPr>
            <w:tcW w:w="3634"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top"/>
              <w:rPr>
                <w:rFonts w:hint="eastAsia" w:ascii="宋体" w:hAnsi="宋体" w:eastAsia="宋体" w:cs="宋体"/>
                <w:i w:val="0"/>
                <w:color w:val="auto"/>
                <w:kern w:val="2"/>
                <w:sz w:val="24"/>
                <w:szCs w:val="24"/>
                <w:highlight w:val="none"/>
                <w:u w:val="none"/>
                <w:lang w:val="en-US" w:eastAsia="zh-CN" w:bidi="ar-SA"/>
              </w:rPr>
            </w:pPr>
            <w:r>
              <w:rPr>
                <w:rFonts w:hint="eastAsia" w:ascii="宋体" w:hAnsi="宋体" w:eastAsia="宋体" w:cs="宋体"/>
                <w:i w:val="0"/>
                <w:color w:val="auto"/>
                <w:sz w:val="24"/>
                <w:szCs w:val="24"/>
                <w:highlight w:val="none"/>
                <w:u w:val="none"/>
              </w:rPr>
              <w:t>开展三会一课大比武活动</w:t>
            </w:r>
            <w:r>
              <w:rPr>
                <w:rFonts w:hint="eastAsia" w:ascii="宋体" w:hAnsi="宋体" w:eastAsia="宋体" w:cs="宋体"/>
                <w:i w:val="0"/>
                <w:color w:val="auto"/>
                <w:sz w:val="24"/>
                <w:szCs w:val="24"/>
                <w:highlight w:val="none"/>
                <w:u w:val="none"/>
                <w:lang w:val="en-US" w:eastAsia="zh-CN"/>
              </w:rPr>
              <w:t>1</w:t>
            </w:r>
            <w:r>
              <w:rPr>
                <w:rFonts w:hint="eastAsia" w:ascii="宋体" w:hAnsi="宋体" w:eastAsia="宋体" w:cs="宋体"/>
                <w:i w:val="0"/>
                <w:color w:val="auto"/>
                <w:sz w:val="24"/>
                <w:szCs w:val="24"/>
                <w:highlight w:val="none"/>
                <w:u w:val="none"/>
              </w:rPr>
              <w:t>次，组织党员教育培训</w:t>
            </w:r>
            <w:r>
              <w:rPr>
                <w:rFonts w:hint="eastAsia" w:ascii="宋体" w:hAnsi="宋体" w:eastAsia="宋体" w:cs="宋体"/>
                <w:i w:val="0"/>
                <w:color w:val="auto"/>
                <w:sz w:val="24"/>
                <w:szCs w:val="24"/>
                <w:highlight w:val="none"/>
                <w:u w:val="none"/>
                <w:lang w:val="en-US" w:eastAsia="zh-CN"/>
              </w:rPr>
              <w:t>2</w:t>
            </w:r>
            <w:r>
              <w:rPr>
                <w:rFonts w:hint="eastAsia" w:ascii="宋体" w:hAnsi="宋体" w:eastAsia="宋体" w:cs="宋体"/>
                <w:i w:val="0"/>
                <w:color w:val="auto"/>
                <w:sz w:val="24"/>
                <w:szCs w:val="24"/>
                <w:highlight w:val="none"/>
                <w:u w:val="none"/>
              </w:rPr>
              <w:t>次，组织开展主题党日活动</w:t>
            </w:r>
            <w:r>
              <w:rPr>
                <w:rFonts w:hint="eastAsia" w:ascii="宋体" w:hAnsi="宋体" w:eastAsia="宋体" w:cs="宋体"/>
                <w:i w:val="0"/>
                <w:color w:val="auto"/>
                <w:sz w:val="24"/>
                <w:szCs w:val="24"/>
                <w:highlight w:val="none"/>
                <w:u w:val="none"/>
                <w:lang w:val="en-US" w:eastAsia="zh-CN"/>
              </w:rPr>
              <w:t>1</w:t>
            </w:r>
            <w:r>
              <w:rPr>
                <w:rFonts w:hint="eastAsia" w:ascii="宋体" w:hAnsi="宋体" w:eastAsia="宋体" w:cs="宋体"/>
                <w:i w:val="0"/>
                <w:color w:val="auto"/>
                <w:sz w:val="24"/>
                <w:szCs w:val="24"/>
                <w:highlight w:val="none"/>
                <w:u w:val="none"/>
              </w:rPr>
              <w:t>次，组织党员学习调研</w:t>
            </w:r>
            <w:r>
              <w:rPr>
                <w:rFonts w:hint="eastAsia" w:ascii="宋体" w:hAnsi="宋体" w:eastAsia="宋体" w:cs="宋体"/>
                <w:i w:val="0"/>
                <w:color w:val="auto"/>
                <w:sz w:val="24"/>
                <w:szCs w:val="24"/>
                <w:highlight w:val="none"/>
                <w:u w:val="none"/>
                <w:lang w:val="en-US" w:eastAsia="zh-CN"/>
              </w:rPr>
              <w:t>2</w:t>
            </w:r>
            <w:r>
              <w:rPr>
                <w:rFonts w:hint="eastAsia" w:ascii="宋体" w:hAnsi="宋体" w:eastAsia="宋体" w:cs="宋体"/>
                <w:i w:val="0"/>
                <w:color w:val="auto"/>
                <w:sz w:val="24"/>
                <w:szCs w:val="24"/>
                <w:highlight w:val="none"/>
                <w:u w:val="none"/>
              </w:rPr>
              <w:t>次，全面完成全年党建工作任务。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1470"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年度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绩效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指标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完成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情况</w:t>
            </w:r>
          </w:p>
        </w:tc>
        <w:tc>
          <w:tcPr>
            <w:tcW w:w="1050"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18"/>
                <w:szCs w:val="18"/>
                <w:u w:val="none"/>
                <w:lang w:val="en-US" w:eastAsia="zh-CN" w:bidi="ar"/>
              </w:rPr>
              <w:t>一级指标</w:t>
            </w: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4"/>
                <w:szCs w:val="24"/>
                <w:u w:val="none"/>
                <w:lang w:val="en-US" w:eastAsia="zh-CN" w:bidi="ar"/>
              </w:rPr>
              <w:t>二级指标</w:t>
            </w:r>
          </w:p>
        </w:tc>
        <w:tc>
          <w:tcPr>
            <w:tcW w:w="235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4"/>
                <w:szCs w:val="24"/>
                <w:u w:val="none"/>
                <w:lang w:val="en-US" w:eastAsia="zh-CN" w:bidi="ar"/>
              </w:rPr>
              <w:t>三级指标</w:t>
            </w:r>
          </w:p>
        </w:tc>
        <w:tc>
          <w:tcPr>
            <w:tcW w:w="13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4"/>
                <w:szCs w:val="24"/>
                <w:u w:val="none"/>
                <w:lang w:val="en-US" w:eastAsia="zh-CN" w:bidi="ar"/>
              </w:rPr>
              <w:t>预期指标值（包含数字及文字描述）</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4"/>
                <w:szCs w:val="24"/>
                <w:u w:val="none"/>
                <w:lang w:val="en-US" w:eastAsia="zh-CN" w:bidi="ar"/>
              </w:rPr>
              <w:t>实际完成指标值（包含数字及文字描述）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1470" w:type="dxa"/>
            <w:vMerge w:val="continue"/>
            <w:tcBorders>
              <w:left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18"/>
                <w:szCs w:val="18"/>
                <w:u w:val="none"/>
                <w:lang w:val="en-US" w:eastAsia="zh-CN" w:bidi="ar"/>
              </w:rPr>
              <w:t>项目完成指标</w:t>
            </w: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数量指标</w:t>
            </w:r>
          </w:p>
        </w:tc>
        <w:tc>
          <w:tcPr>
            <w:tcW w:w="235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开展党员教育培训（含外出开展活动)</w:t>
            </w:r>
          </w:p>
        </w:tc>
        <w:tc>
          <w:tcPr>
            <w:tcW w:w="13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2次</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2次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1470" w:type="dxa"/>
            <w:vMerge w:val="continue"/>
            <w:tcBorders>
              <w:left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数量指标</w:t>
            </w:r>
          </w:p>
        </w:tc>
        <w:tc>
          <w:tcPr>
            <w:tcW w:w="235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主题党日活动（外出开展活动）</w:t>
            </w:r>
          </w:p>
        </w:tc>
        <w:tc>
          <w:tcPr>
            <w:tcW w:w="13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1次</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1次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1470" w:type="dxa"/>
            <w:vMerge w:val="continue"/>
            <w:tcBorders>
              <w:left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数量指标</w:t>
            </w:r>
          </w:p>
        </w:tc>
        <w:tc>
          <w:tcPr>
            <w:tcW w:w="235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订阅购买党建资料（含党报党刊）</w:t>
            </w:r>
          </w:p>
        </w:tc>
        <w:tc>
          <w:tcPr>
            <w:tcW w:w="13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380份</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380份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470" w:type="dxa"/>
            <w:vMerge w:val="continue"/>
            <w:tcBorders>
              <w:left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质量指标</w:t>
            </w:r>
          </w:p>
        </w:tc>
        <w:tc>
          <w:tcPr>
            <w:tcW w:w="235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党员干部积极参与率</w:t>
            </w:r>
          </w:p>
        </w:tc>
        <w:tc>
          <w:tcPr>
            <w:tcW w:w="13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≥98%</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470" w:type="dxa"/>
            <w:vMerge w:val="continue"/>
            <w:tcBorders>
              <w:left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时效指标</w:t>
            </w:r>
          </w:p>
        </w:tc>
        <w:tc>
          <w:tcPr>
            <w:tcW w:w="235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完成时间</w:t>
            </w:r>
          </w:p>
        </w:tc>
        <w:tc>
          <w:tcPr>
            <w:tcW w:w="13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2021年12月底钱</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2021年12月底钱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470" w:type="dxa"/>
            <w:vMerge w:val="continue"/>
            <w:tcBorders>
              <w:left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成本指标</w:t>
            </w:r>
          </w:p>
        </w:tc>
        <w:tc>
          <w:tcPr>
            <w:tcW w:w="235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开展党员教育培训（含外出开展活动)</w:t>
            </w:r>
          </w:p>
        </w:tc>
        <w:tc>
          <w:tcPr>
            <w:tcW w:w="13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0.5万元/场</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0.5万元/场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1470" w:type="dxa"/>
            <w:vMerge w:val="continue"/>
            <w:tcBorders>
              <w:left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成本指标</w:t>
            </w:r>
          </w:p>
        </w:tc>
        <w:tc>
          <w:tcPr>
            <w:tcW w:w="235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党员外出学习调研</w:t>
            </w:r>
          </w:p>
        </w:tc>
        <w:tc>
          <w:tcPr>
            <w:tcW w:w="13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1.5万元/场</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1.5万元/场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470" w:type="dxa"/>
            <w:vMerge w:val="continue"/>
            <w:tcBorders>
              <w:left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成本指标</w:t>
            </w:r>
          </w:p>
        </w:tc>
        <w:tc>
          <w:tcPr>
            <w:tcW w:w="235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订阅购买党建资料（含党报党刊）</w:t>
            </w:r>
          </w:p>
        </w:tc>
        <w:tc>
          <w:tcPr>
            <w:tcW w:w="13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6万元</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6万元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47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auto"/>
                <w:sz w:val="28"/>
                <w:szCs w:val="28"/>
                <w:highlight w:val="none"/>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18"/>
                <w:szCs w:val="18"/>
                <w:u w:val="none"/>
                <w:lang w:val="en-US" w:eastAsia="zh-CN" w:bidi="ar"/>
              </w:rPr>
              <w:t>项目效果指标</w:t>
            </w: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235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增强党员基本素质</w:t>
            </w:r>
          </w:p>
        </w:tc>
        <w:tc>
          <w:tcPr>
            <w:tcW w:w="13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优</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8"/>
                <w:szCs w:val="28"/>
                <w:highlight w:val="none"/>
                <w:u w:val="none"/>
              </w:rPr>
            </w:pPr>
            <w:r>
              <w:rPr>
                <w:rFonts w:hint="eastAsia" w:ascii="宋体" w:hAnsi="宋体" w:eastAsia="宋体" w:cs="宋体"/>
                <w:i w:val="0"/>
                <w:iCs w:val="0"/>
                <w:color w:val="000000"/>
                <w:kern w:val="0"/>
                <w:sz w:val="22"/>
                <w:szCs w:val="22"/>
                <w:u w:val="none"/>
                <w:lang w:val="en-US" w:eastAsia="zh-CN" w:bidi="ar"/>
              </w:rPr>
              <w:t>优</w:t>
            </w:r>
          </w:p>
        </w:tc>
      </w:tr>
    </w:tbl>
    <w:p>
      <w:pPr>
        <w:keepNext w:val="0"/>
        <w:keepLines w:val="0"/>
        <w:pageBreakBefore w:val="0"/>
        <w:kinsoku/>
        <w:wordWrap/>
        <w:overflowPunct/>
        <w:topLinePunct w:val="0"/>
        <w:autoSpaceDE/>
        <w:autoSpaceDN/>
        <w:bidi w:val="0"/>
        <w:spacing w:line="572" w:lineRule="exact"/>
        <w:jc w:val="left"/>
        <w:textAlignment w:val="auto"/>
        <w:outlineLvl w:val="0"/>
        <w:rPr>
          <w:rFonts w:hint="eastAsia" w:ascii="仿宋_GB2312" w:hAnsi="仿宋_GB2312" w:eastAsia="黑体" w:cs="仿宋_GB2312"/>
          <w:color w:val="auto"/>
          <w:sz w:val="32"/>
          <w:szCs w:val="32"/>
          <w:highlight w:val="none"/>
          <w:lang w:val="en-US" w:eastAsia="zh-CN"/>
        </w:rPr>
      </w:pPr>
      <w:bookmarkStart w:id="72" w:name="_Toc21334"/>
      <w:r>
        <w:rPr>
          <w:rFonts w:hint="eastAsia" w:ascii="黑体" w:hAnsi="黑体" w:eastAsia="黑体" w:cs="黑体"/>
          <w:color w:val="auto"/>
          <w:sz w:val="32"/>
          <w:szCs w:val="32"/>
          <w:highlight w:val="none"/>
        </w:rPr>
        <w:t>附件</w:t>
      </w:r>
      <w:r>
        <w:rPr>
          <w:rFonts w:hint="eastAsia" w:ascii="黑体" w:hAnsi="黑体" w:eastAsia="黑体" w:cs="黑体"/>
          <w:color w:val="auto"/>
          <w:sz w:val="32"/>
          <w:szCs w:val="32"/>
          <w:highlight w:val="none"/>
          <w:lang w:val="en-US" w:eastAsia="zh-CN"/>
        </w:rPr>
        <w:t>2</w:t>
      </w:r>
      <w:bookmarkEnd w:id="72"/>
    </w:p>
    <w:p>
      <w:pPr>
        <w:spacing w:line="600" w:lineRule="exact"/>
        <w:ind w:firstLine="2640" w:firstLineChars="600"/>
        <w:jc w:val="both"/>
        <w:outlineLvl w:val="0"/>
        <w:rPr>
          <w:rFonts w:hint="eastAsia" w:ascii="黑体" w:hAnsi="黑体" w:eastAsia="黑体"/>
          <w:sz w:val="44"/>
          <w:szCs w:val="44"/>
        </w:rPr>
      </w:pPr>
    </w:p>
    <w:p>
      <w:pPr>
        <w:spacing w:line="600" w:lineRule="exact"/>
        <w:ind w:firstLine="2640" w:firstLineChars="600"/>
        <w:jc w:val="both"/>
        <w:outlineLvl w:val="0"/>
        <w:rPr>
          <w:rFonts w:hint="eastAsia" w:ascii="黑体" w:hAnsi="黑体" w:eastAsia="黑体"/>
          <w:sz w:val="44"/>
          <w:szCs w:val="44"/>
        </w:rPr>
      </w:pPr>
    </w:p>
    <w:p>
      <w:pPr>
        <w:pStyle w:val="6"/>
        <w:rPr>
          <w:rFonts w:hint="eastAsia"/>
        </w:rPr>
      </w:pPr>
    </w:p>
    <w:p>
      <w:pPr>
        <w:keepNext w:val="0"/>
        <w:keepLines w:val="0"/>
        <w:pageBreakBefore w:val="0"/>
        <w:kinsoku/>
        <w:wordWrap/>
        <w:overflowPunct/>
        <w:topLinePunct w:val="0"/>
        <w:autoSpaceDE/>
        <w:autoSpaceDN/>
        <w:bidi w:val="0"/>
        <w:spacing w:line="572" w:lineRule="exact"/>
        <w:jc w:val="left"/>
        <w:textAlignment w:val="auto"/>
        <w:outlineLvl w:val="0"/>
        <w:rPr>
          <w:rFonts w:hint="default" w:ascii="黑体" w:hAnsi="黑体" w:eastAsia="黑体"/>
          <w:sz w:val="44"/>
          <w:szCs w:val="44"/>
          <w:lang w:val="en-US"/>
        </w:rPr>
      </w:pPr>
      <w:bookmarkStart w:id="73" w:name="_Toc23546"/>
      <w:r>
        <w:rPr>
          <w:rFonts w:hint="eastAsia" w:ascii="黑体" w:hAnsi="黑体" w:eastAsia="黑体" w:cs="黑体"/>
          <w:color w:val="auto"/>
          <w:sz w:val="32"/>
          <w:szCs w:val="32"/>
          <w:highlight w:val="none"/>
        </w:rPr>
        <w:t>附件</w:t>
      </w:r>
      <w:r>
        <w:rPr>
          <w:rFonts w:hint="eastAsia" w:ascii="黑体" w:hAnsi="黑体" w:eastAsia="黑体" w:cs="黑体"/>
          <w:color w:val="auto"/>
          <w:sz w:val="32"/>
          <w:szCs w:val="32"/>
          <w:highlight w:val="none"/>
          <w:lang w:val="en-US" w:eastAsia="zh-CN"/>
        </w:rPr>
        <w:t>3</w:t>
      </w:r>
      <w:bookmarkEnd w:id="73"/>
    </w:p>
    <w:tbl>
      <w:tblPr>
        <w:tblStyle w:val="14"/>
        <w:tblpPr w:leftFromText="180" w:rightFromText="180" w:vertAnchor="text" w:horzAnchor="page" w:tblpX="1281" w:tblpY="660"/>
        <w:tblOverlap w:val="never"/>
        <w:tblW w:w="957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119"/>
        <w:gridCol w:w="1635"/>
        <w:gridCol w:w="1189"/>
        <w:gridCol w:w="1224"/>
        <w:gridCol w:w="24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9577" w:type="dxa"/>
            <w:gridSpan w:val="5"/>
            <w:tcBorders>
              <w:top w:val="nil"/>
              <w:left w:val="nil"/>
              <w:bottom w:val="nil"/>
              <w:right w:val="nil"/>
            </w:tcBorders>
            <w:shd w:val="clear" w:color="auto" w:fill="auto"/>
            <w:vAlign w:val="center"/>
          </w:tcPr>
          <w:p>
            <w:pPr>
              <w:keepNext w:val="0"/>
              <w:keepLines w:val="0"/>
              <w:widowControl/>
              <w:suppressLineNumbers w:val="0"/>
              <w:spacing w:beforeAutospacing="0"/>
              <w:jc w:val="center"/>
              <w:textAlignment w:val="center"/>
              <w:rPr>
                <w:rFonts w:hint="eastAsia" w:ascii="宋体" w:hAnsi="宋体" w:eastAsia="宋体" w:cs="宋体"/>
                <w:b/>
                <w:i w:val="0"/>
                <w:color w:val="auto"/>
                <w:sz w:val="32"/>
                <w:szCs w:val="32"/>
                <w:highlight w:val="none"/>
                <w:u w:val="none"/>
              </w:rPr>
            </w:pPr>
            <w:r>
              <w:rPr>
                <w:rFonts w:hint="eastAsia" w:ascii="宋体" w:hAnsi="宋体" w:eastAsia="宋体" w:cs="宋体"/>
                <w:b/>
                <w:i w:val="0"/>
                <w:color w:val="auto"/>
                <w:sz w:val="32"/>
                <w:szCs w:val="32"/>
                <w:highlight w:val="none"/>
                <w:u w:val="none"/>
                <w:lang w:val="en-US" w:eastAsia="zh-CN"/>
              </w:rPr>
              <w:t>2021年政务大厅补助项目绩效目标自评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4" w:hRule="atLeast"/>
        </w:trPr>
        <w:tc>
          <w:tcPr>
            <w:tcW w:w="31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主管部门及代码</w:t>
            </w:r>
          </w:p>
        </w:tc>
        <w:tc>
          <w:tcPr>
            <w:tcW w:w="28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宋体" w:hAnsi="宋体" w:eastAsia="宋体" w:cs="宋体"/>
                <w:i w:val="0"/>
                <w:color w:val="auto"/>
                <w:sz w:val="24"/>
                <w:szCs w:val="24"/>
                <w:highlight w:val="none"/>
                <w:u w:val="none"/>
              </w:rPr>
            </w:pPr>
            <w:r>
              <w:rPr>
                <w:rFonts w:hint="eastAsia" w:ascii="宋体" w:hAnsi="宋体" w:cs="宋体"/>
                <w:sz w:val="24"/>
                <w:lang w:val="en-US" w:eastAsia="zh-CN"/>
              </w:rPr>
              <w:t>303</w:t>
            </w:r>
            <w:r>
              <w:rPr>
                <w:rFonts w:hint="eastAsia" w:ascii="宋体" w:hAnsi="宋体" w:cs="宋体"/>
                <w:sz w:val="24"/>
                <w:lang w:eastAsia="zh-CN"/>
              </w:rPr>
              <w:t>旺苍县人力资源和社会保障局</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实施单位</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eastAsia" w:ascii="宋体" w:hAnsi="宋体" w:eastAsia="宋体" w:cs="宋体"/>
                <w:kern w:val="2"/>
                <w:sz w:val="24"/>
                <w:szCs w:val="24"/>
                <w:lang w:val="en-US" w:eastAsia="zh-CN" w:bidi="ar-SA"/>
              </w:rPr>
            </w:pPr>
            <w:r>
              <w:rPr>
                <w:rFonts w:hint="eastAsia" w:ascii="宋体" w:hAnsi="宋体" w:cs="宋体"/>
                <w:sz w:val="24"/>
                <w:lang w:eastAsia="zh-CN"/>
              </w:rPr>
              <w:t>旺苍县人力资源和社会保障局机关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31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项目预算</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执行情况</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（万元）</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 xml:space="preserve"> 预算数：</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sz w:val="24"/>
                <w:szCs w:val="24"/>
                <w:highlight w:val="none"/>
                <w:u w:val="none"/>
                <w:lang w:val="en-US" w:eastAsia="zh-CN"/>
              </w:rPr>
              <w:t>19.2</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 xml:space="preserve"> 执行数：</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sz w:val="24"/>
                <w:szCs w:val="24"/>
                <w:highlight w:val="none"/>
                <w:u w:val="none"/>
                <w:lang w:val="en-US" w:eastAsia="zh-CN"/>
              </w:rPr>
              <w:t>19.2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31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highlight w:val="none"/>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其中：</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财政拨款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sz w:val="24"/>
                <w:szCs w:val="24"/>
                <w:highlight w:val="none"/>
                <w:u w:val="none"/>
                <w:lang w:val="en-US" w:eastAsia="zh-CN"/>
              </w:rPr>
              <w:t>19.2</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其中：</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财政拨款</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sz w:val="24"/>
                <w:szCs w:val="24"/>
                <w:highlight w:val="none"/>
                <w:u w:val="none"/>
                <w:lang w:val="en-US" w:eastAsia="zh-CN"/>
              </w:rPr>
              <w:t>19.2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31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highlight w:val="none"/>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其他资金</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其他资金</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p>
        </w:tc>
      </w:tr>
    </w:tbl>
    <w:tbl>
      <w:tblPr>
        <w:tblStyle w:val="14"/>
        <w:tblW w:w="9518" w:type="dxa"/>
        <w:tblInd w:w="-507" w:type="dxa"/>
        <w:tblLayout w:type="autofit"/>
        <w:tblCellMar>
          <w:top w:w="0" w:type="dxa"/>
          <w:left w:w="108" w:type="dxa"/>
          <w:bottom w:w="0" w:type="dxa"/>
          <w:right w:w="108" w:type="dxa"/>
        </w:tblCellMar>
      </w:tblPr>
      <w:tblGrid>
        <w:gridCol w:w="1677"/>
        <w:gridCol w:w="1077"/>
        <w:gridCol w:w="1727"/>
        <w:gridCol w:w="1299"/>
        <w:gridCol w:w="1807"/>
        <w:gridCol w:w="1931"/>
      </w:tblGrid>
      <w:tr>
        <w:tblPrEx>
          <w:tblCellMar>
            <w:top w:w="0" w:type="dxa"/>
            <w:left w:w="108" w:type="dxa"/>
            <w:bottom w:w="0" w:type="dxa"/>
            <w:right w:w="108" w:type="dxa"/>
          </w:tblCellMar>
        </w:tblPrEx>
        <w:trPr>
          <w:trHeight w:val="624" w:hRule="atLeast"/>
        </w:trPr>
        <w:tc>
          <w:tcPr>
            <w:tcW w:w="1677" w:type="dxa"/>
            <w:vMerge w:val="restart"/>
            <w:tcBorders>
              <w:top w:val="nil"/>
              <w:left w:val="single" w:color="auto" w:sz="8" w:space="0"/>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年度目标完成情况</w:t>
            </w:r>
          </w:p>
        </w:tc>
        <w:tc>
          <w:tcPr>
            <w:tcW w:w="4103" w:type="dxa"/>
            <w:gridSpan w:val="3"/>
            <w:tcBorders>
              <w:top w:val="single" w:color="000000" w:sz="8" w:space="0"/>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预期目标</w:t>
            </w:r>
          </w:p>
        </w:tc>
        <w:tc>
          <w:tcPr>
            <w:tcW w:w="3738" w:type="dxa"/>
            <w:gridSpan w:val="2"/>
            <w:tcBorders>
              <w:top w:val="single" w:color="000000" w:sz="8" w:space="0"/>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实际完成目标</w:t>
            </w:r>
          </w:p>
        </w:tc>
      </w:tr>
      <w:tr>
        <w:tblPrEx>
          <w:tblCellMar>
            <w:top w:w="0" w:type="dxa"/>
            <w:left w:w="108" w:type="dxa"/>
            <w:bottom w:w="0" w:type="dxa"/>
            <w:right w:w="108" w:type="dxa"/>
          </w:tblCellMar>
        </w:tblPrEx>
        <w:trPr>
          <w:trHeight w:val="1692"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rPr>
                <w:rFonts w:ascii="宋体" w:hAnsi="宋体" w:cs="宋体"/>
                <w:color w:val="000000"/>
                <w:sz w:val="24"/>
              </w:rPr>
            </w:pPr>
          </w:p>
        </w:tc>
        <w:tc>
          <w:tcPr>
            <w:tcW w:w="4103" w:type="dxa"/>
            <w:gridSpan w:val="3"/>
            <w:tcBorders>
              <w:top w:val="single" w:color="000000" w:sz="8" w:space="0"/>
              <w:left w:val="nil"/>
              <w:bottom w:val="single" w:color="000000" w:sz="8" w:space="0"/>
              <w:right w:val="single" w:color="000000" w:sz="8" w:space="0"/>
            </w:tcBorders>
            <w:shd w:val="clear" w:color="auto" w:fill="auto"/>
            <w:noWrap w:val="0"/>
            <w:vAlign w:val="center"/>
          </w:tcPr>
          <w:p>
            <w:pPr>
              <w:rPr>
                <w:rFonts w:ascii="宋体" w:hAnsi="宋体" w:cs="宋体"/>
                <w:color w:val="000000"/>
                <w:sz w:val="24"/>
              </w:rPr>
            </w:pPr>
            <w:r>
              <w:rPr>
                <w:rFonts w:hint="eastAsia"/>
                <w:color w:val="000000"/>
              </w:rPr>
              <w:t>对政务服务大厅C区32个服务岗位的工作人员实行岗位补贴，提高工作人员积极性，提高办事效率。</w:t>
            </w:r>
          </w:p>
        </w:tc>
        <w:tc>
          <w:tcPr>
            <w:tcW w:w="3738" w:type="dxa"/>
            <w:gridSpan w:val="2"/>
            <w:tcBorders>
              <w:top w:val="single" w:color="000000" w:sz="8" w:space="0"/>
              <w:left w:val="nil"/>
              <w:bottom w:val="single" w:color="000000" w:sz="8" w:space="0"/>
              <w:right w:val="single" w:color="000000" w:sz="8" w:space="0"/>
            </w:tcBorders>
            <w:shd w:val="clear" w:color="auto" w:fill="auto"/>
            <w:noWrap w:val="0"/>
            <w:vAlign w:val="center"/>
          </w:tcPr>
          <w:p>
            <w:pPr>
              <w:rPr>
                <w:rFonts w:ascii="宋体" w:hAnsi="宋体" w:cs="宋体"/>
                <w:color w:val="000000"/>
                <w:sz w:val="24"/>
              </w:rPr>
            </w:pPr>
            <w:r>
              <w:rPr>
                <w:rFonts w:hint="eastAsia"/>
                <w:color w:val="000000"/>
              </w:rPr>
              <w:t>全面发入了政务服务大厅C区32个服务岗位的工作人员实行岗位补贴，提高工作人员积极性，提高办事效率。</w:t>
            </w:r>
          </w:p>
        </w:tc>
      </w:tr>
      <w:tr>
        <w:tblPrEx>
          <w:tblCellMar>
            <w:top w:w="0" w:type="dxa"/>
            <w:left w:w="108" w:type="dxa"/>
            <w:bottom w:w="0" w:type="dxa"/>
            <w:right w:w="108" w:type="dxa"/>
          </w:tblCellMar>
        </w:tblPrEx>
        <w:trPr>
          <w:trHeight w:val="948" w:hRule="atLeast"/>
        </w:trPr>
        <w:tc>
          <w:tcPr>
            <w:tcW w:w="1677" w:type="dxa"/>
            <w:vMerge w:val="restart"/>
            <w:tcBorders>
              <w:top w:val="nil"/>
              <w:left w:val="single" w:color="auto" w:sz="8" w:space="0"/>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绩效指标完成情况</w:t>
            </w:r>
          </w:p>
        </w:tc>
        <w:tc>
          <w:tcPr>
            <w:tcW w:w="1077" w:type="dxa"/>
            <w:tcBorders>
              <w:top w:val="nil"/>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一级指标</w:t>
            </w:r>
          </w:p>
        </w:tc>
        <w:tc>
          <w:tcPr>
            <w:tcW w:w="1727" w:type="dxa"/>
            <w:tcBorders>
              <w:top w:val="single" w:color="000000" w:sz="8" w:space="0"/>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二级指标</w:t>
            </w:r>
          </w:p>
        </w:tc>
        <w:tc>
          <w:tcPr>
            <w:tcW w:w="1299" w:type="dxa"/>
            <w:tcBorders>
              <w:top w:val="nil"/>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三级指标</w:t>
            </w:r>
          </w:p>
        </w:tc>
        <w:tc>
          <w:tcPr>
            <w:tcW w:w="1807" w:type="dxa"/>
            <w:tcBorders>
              <w:top w:val="nil"/>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预期指标值(包含数字及文字描述)</w:t>
            </w:r>
          </w:p>
        </w:tc>
        <w:tc>
          <w:tcPr>
            <w:tcW w:w="1931" w:type="dxa"/>
            <w:tcBorders>
              <w:top w:val="nil"/>
              <w:left w:val="nil"/>
              <w:bottom w:val="single" w:color="000000" w:sz="8" w:space="0"/>
              <w:right w:val="single" w:color="auto" w:sz="8" w:space="0"/>
            </w:tcBorders>
            <w:shd w:val="clear" w:color="auto" w:fill="auto"/>
            <w:noWrap w:val="0"/>
            <w:vAlign w:val="center"/>
          </w:tcPr>
          <w:p>
            <w:pPr>
              <w:jc w:val="center"/>
              <w:rPr>
                <w:rFonts w:ascii="宋体" w:hAnsi="宋体" w:cs="宋体"/>
                <w:color w:val="000000"/>
                <w:sz w:val="24"/>
              </w:rPr>
            </w:pPr>
            <w:r>
              <w:rPr>
                <w:rFonts w:hint="eastAsia"/>
                <w:color w:val="000000"/>
              </w:rPr>
              <w:t>实际完成指标值(包含数字及文字描述)</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rPr>
                <w:rFonts w:ascii="宋体" w:hAnsi="宋体" w:cs="宋体"/>
                <w:color w:val="000000"/>
                <w:sz w:val="24"/>
              </w:rPr>
            </w:pPr>
          </w:p>
        </w:tc>
        <w:tc>
          <w:tcPr>
            <w:tcW w:w="1077" w:type="dxa"/>
            <w:tcBorders>
              <w:top w:val="nil"/>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项目完成指标</w:t>
            </w:r>
          </w:p>
        </w:tc>
        <w:tc>
          <w:tcPr>
            <w:tcW w:w="1727" w:type="dxa"/>
            <w:tcBorders>
              <w:top w:val="single" w:color="000000" w:sz="8" w:space="0"/>
              <w:left w:val="nil"/>
              <w:bottom w:val="single" w:color="000000" w:sz="8" w:space="0"/>
              <w:right w:val="single" w:color="000000"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数量指标</w:t>
            </w:r>
          </w:p>
        </w:tc>
        <w:tc>
          <w:tcPr>
            <w:tcW w:w="1299" w:type="dxa"/>
            <w:tcBorders>
              <w:top w:val="nil"/>
              <w:left w:val="nil"/>
              <w:bottom w:val="single" w:color="auto" w:sz="8" w:space="0"/>
              <w:right w:val="single" w:color="auto"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补贴岗位</w:t>
            </w:r>
          </w:p>
        </w:tc>
        <w:tc>
          <w:tcPr>
            <w:tcW w:w="1807" w:type="dxa"/>
            <w:tcBorders>
              <w:top w:val="nil"/>
              <w:left w:val="nil"/>
              <w:bottom w:val="single" w:color="auto" w:sz="8" w:space="0"/>
              <w:right w:val="single" w:color="auto"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32个</w:t>
            </w:r>
          </w:p>
        </w:tc>
        <w:tc>
          <w:tcPr>
            <w:tcW w:w="1931" w:type="dxa"/>
            <w:tcBorders>
              <w:top w:val="nil"/>
              <w:left w:val="nil"/>
              <w:bottom w:val="single" w:color="auto" w:sz="8" w:space="0"/>
              <w:right w:val="single" w:color="auto"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32个</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rPr>
                <w:rFonts w:ascii="宋体" w:hAnsi="宋体" w:cs="宋体"/>
                <w:color w:val="000000"/>
                <w:sz w:val="24"/>
              </w:rPr>
            </w:pPr>
          </w:p>
        </w:tc>
        <w:tc>
          <w:tcPr>
            <w:tcW w:w="1077" w:type="dxa"/>
            <w:tcBorders>
              <w:top w:val="nil"/>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项目完成指标</w:t>
            </w:r>
          </w:p>
        </w:tc>
        <w:tc>
          <w:tcPr>
            <w:tcW w:w="1727" w:type="dxa"/>
            <w:tcBorders>
              <w:top w:val="single" w:color="000000" w:sz="8" w:space="0"/>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质量指标</w:t>
            </w:r>
          </w:p>
        </w:tc>
        <w:tc>
          <w:tcPr>
            <w:tcW w:w="1299" w:type="dxa"/>
            <w:tcBorders>
              <w:top w:val="nil"/>
              <w:left w:val="nil"/>
              <w:bottom w:val="single" w:color="auto" w:sz="8" w:space="0"/>
              <w:right w:val="single" w:color="auto"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补贴发入率</w:t>
            </w:r>
          </w:p>
        </w:tc>
        <w:tc>
          <w:tcPr>
            <w:tcW w:w="1807" w:type="dxa"/>
            <w:tcBorders>
              <w:top w:val="nil"/>
              <w:left w:val="nil"/>
              <w:bottom w:val="single" w:color="auto" w:sz="8" w:space="0"/>
              <w:right w:val="single" w:color="auto"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100%</w:t>
            </w:r>
          </w:p>
        </w:tc>
        <w:tc>
          <w:tcPr>
            <w:tcW w:w="1931" w:type="dxa"/>
            <w:tcBorders>
              <w:top w:val="nil"/>
              <w:left w:val="nil"/>
              <w:bottom w:val="single" w:color="auto" w:sz="8" w:space="0"/>
              <w:right w:val="single" w:color="auto"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100%</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rPr>
                <w:rFonts w:ascii="宋体" w:hAnsi="宋体" w:cs="宋体"/>
                <w:color w:val="000000"/>
                <w:sz w:val="24"/>
              </w:rPr>
            </w:pPr>
          </w:p>
        </w:tc>
        <w:tc>
          <w:tcPr>
            <w:tcW w:w="1077" w:type="dxa"/>
            <w:tcBorders>
              <w:top w:val="nil"/>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项目完成指标</w:t>
            </w:r>
          </w:p>
        </w:tc>
        <w:tc>
          <w:tcPr>
            <w:tcW w:w="1727" w:type="dxa"/>
            <w:tcBorders>
              <w:top w:val="single" w:color="000000" w:sz="8" w:space="0"/>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时效指标</w:t>
            </w:r>
          </w:p>
        </w:tc>
        <w:tc>
          <w:tcPr>
            <w:tcW w:w="1299" w:type="dxa"/>
            <w:tcBorders>
              <w:top w:val="nil"/>
              <w:left w:val="nil"/>
              <w:bottom w:val="single" w:color="auto" w:sz="8" w:space="0"/>
              <w:right w:val="single" w:color="auto" w:sz="8" w:space="0"/>
            </w:tcBorders>
            <w:shd w:val="clear" w:color="auto" w:fill="auto"/>
            <w:noWrap w:val="0"/>
            <w:vAlign w:val="center"/>
          </w:tcPr>
          <w:p>
            <w:pPr>
              <w:jc w:val="center"/>
              <w:rPr>
                <w:rFonts w:ascii="宋体" w:hAnsi="宋体" w:cs="宋体"/>
                <w:color w:val="000000"/>
                <w:sz w:val="24"/>
              </w:rPr>
            </w:pPr>
            <w:r>
              <w:rPr>
                <w:rFonts w:hint="eastAsia"/>
                <w:color w:val="000000"/>
              </w:rPr>
              <w:t>补贴时间</w:t>
            </w:r>
          </w:p>
        </w:tc>
        <w:tc>
          <w:tcPr>
            <w:tcW w:w="1807" w:type="dxa"/>
            <w:tcBorders>
              <w:top w:val="nil"/>
              <w:left w:val="nil"/>
              <w:bottom w:val="single" w:color="auto" w:sz="8" w:space="0"/>
              <w:right w:val="single" w:color="auto"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按月</w:t>
            </w:r>
          </w:p>
        </w:tc>
        <w:tc>
          <w:tcPr>
            <w:tcW w:w="1931" w:type="dxa"/>
            <w:tcBorders>
              <w:top w:val="nil"/>
              <w:left w:val="nil"/>
              <w:bottom w:val="single" w:color="auto" w:sz="8" w:space="0"/>
              <w:right w:val="single" w:color="auto"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按月</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rPr>
                <w:rFonts w:ascii="宋体" w:hAnsi="宋体" w:cs="宋体"/>
                <w:color w:val="000000"/>
                <w:sz w:val="24"/>
              </w:rPr>
            </w:pPr>
          </w:p>
        </w:tc>
        <w:tc>
          <w:tcPr>
            <w:tcW w:w="1077" w:type="dxa"/>
            <w:tcBorders>
              <w:top w:val="nil"/>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项目完成指标</w:t>
            </w:r>
          </w:p>
        </w:tc>
        <w:tc>
          <w:tcPr>
            <w:tcW w:w="1727" w:type="dxa"/>
            <w:tcBorders>
              <w:top w:val="single" w:color="000000" w:sz="8" w:space="0"/>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成本指标</w:t>
            </w:r>
          </w:p>
        </w:tc>
        <w:tc>
          <w:tcPr>
            <w:tcW w:w="1299" w:type="dxa"/>
            <w:tcBorders>
              <w:top w:val="nil"/>
              <w:left w:val="nil"/>
              <w:bottom w:val="single" w:color="auto" w:sz="8" w:space="0"/>
              <w:right w:val="single" w:color="auto" w:sz="8" w:space="0"/>
            </w:tcBorders>
            <w:shd w:val="clear" w:color="auto" w:fill="auto"/>
            <w:noWrap w:val="0"/>
            <w:vAlign w:val="center"/>
          </w:tcPr>
          <w:p>
            <w:pPr>
              <w:jc w:val="center"/>
              <w:rPr>
                <w:rFonts w:ascii="宋体" w:hAnsi="宋体" w:cs="宋体"/>
                <w:color w:val="000000"/>
                <w:sz w:val="24"/>
              </w:rPr>
            </w:pPr>
            <w:r>
              <w:rPr>
                <w:rFonts w:hint="eastAsia"/>
                <w:color w:val="000000"/>
              </w:rPr>
              <w:t>补贴标准</w:t>
            </w:r>
          </w:p>
        </w:tc>
        <w:tc>
          <w:tcPr>
            <w:tcW w:w="1807" w:type="dxa"/>
            <w:tcBorders>
              <w:top w:val="nil"/>
              <w:left w:val="nil"/>
              <w:bottom w:val="single" w:color="auto" w:sz="8" w:space="0"/>
              <w:right w:val="single" w:color="auto"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500元/人、月</w:t>
            </w:r>
          </w:p>
        </w:tc>
        <w:tc>
          <w:tcPr>
            <w:tcW w:w="1931" w:type="dxa"/>
            <w:tcBorders>
              <w:top w:val="nil"/>
              <w:left w:val="nil"/>
              <w:bottom w:val="single" w:color="auto" w:sz="8" w:space="0"/>
              <w:right w:val="single" w:color="auto" w:sz="8" w:space="0"/>
            </w:tcBorders>
            <w:shd w:val="clear" w:color="auto" w:fill="auto"/>
            <w:noWrap w:val="0"/>
            <w:vAlign w:val="center"/>
          </w:tcPr>
          <w:p>
            <w:pPr>
              <w:jc w:val="center"/>
              <w:rPr>
                <w:rFonts w:ascii="仿宋" w:hAnsi="仿宋" w:eastAsia="仿宋" w:cs="宋体"/>
                <w:color w:val="000000"/>
                <w:sz w:val="24"/>
              </w:rPr>
            </w:pPr>
            <w:r>
              <w:rPr>
                <w:rFonts w:hint="eastAsia" w:ascii="仿宋" w:hAnsi="仿宋" w:eastAsia="仿宋"/>
                <w:color w:val="000000"/>
              </w:rPr>
              <w:t>500元/人、月</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rPr>
                <w:rFonts w:ascii="宋体" w:hAnsi="宋体" w:cs="宋体"/>
                <w:color w:val="000000"/>
                <w:sz w:val="24"/>
              </w:rPr>
            </w:pPr>
          </w:p>
        </w:tc>
        <w:tc>
          <w:tcPr>
            <w:tcW w:w="1077" w:type="dxa"/>
            <w:tcBorders>
              <w:top w:val="nil"/>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项目完成指标</w:t>
            </w:r>
          </w:p>
        </w:tc>
        <w:tc>
          <w:tcPr>
            <w:tcW w:w="1727" w:type="dxa"/>
            <w:tcBorders>
              <w:top w:val="single" w:color="000000" w:sz="8" w:space="0"/>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可持续影响指标</w:t>
            </w:r>
          </w:p>
        </w:tc>
        <w:tc>
          <w:tcPr>
            <w:tcW w:w="1299" w:type="dxa"/>
            <w:tcBorders>
              <w:top w:val="nil"/>
              <w:left w:val="nil"/>
              <w:bottom w:val="single" w:color="auto" w:sz="8" w:space="0"/>
              <w:right w:val="single" w:color="auto" w:sz="8" w:space="0"/>
            </w:tcBorders>
            <w:shd w:val="clear" w:color="auto" w:fill="auto"/>
            <w:noWrap w:val="0"/>
            <w:vAlign w:val="center"/>
          </w:tcPr>
          <w:p>
            <w:pPr>
              <w:jc w:val="center"/>
              <w:rPr>
                <w:rFonts w:ascii="宋体" w:hAnsi="宋体" w:cs="宋体"/>
                <w:color w:val="000000"/>
                <w:sz w:val="24"/>
              </w:rPr>
            </w:pPr>
            <w:r>
              <w:rPr>
                <w:rFonts w:hint="eastAsia"/>
                <w:color w:val="000000"/>
              </w:rPr>
              <w:t>补贴发放期限</w:t>
            </w:r>
          </w:p>
        </w:tc>
        <w:tc>
          <w:tcPr>
            <w:tcW w:w="1807" w:type="dxa"/>
            <w:tcBorders>
              <w:top w:val="nil"/>
              <w:left w:val="nil"/>
              <w:bottom w:val="single" w:color="auto" w:sz="8" w:space="0"/>
              <w:right w:val="single" w:color="auto" w:sz="8" w:space="0"/>
            </w:tcBorders>
            <w:shd w:val="clear" w:color="auto" w:fill="auto"/>
            <w:noWrap w:val="0"/>
            <w:vAlign w:val="center"/>
          </w:tcPr>
          <w:p>
            <w:pPr>
              <w:jc w:val="center"/>
              <w:rPr>
                <w:rFonts w:ascii="宋体" w:hAnsi="宋体" w:cs="宋体"/>
                <w:color w:val="000000"/>
                <w:sz w:val="24"/>
              </w:rPr>
            </w:pPr>
            <w:r>
              <w:rPr>
                <w:rFonts w:hint="eastAsia"/>
                <w:color w:val="000000"/>
              </w:rPr>
              <w:t>按政策持续发放</w:t>
            </w:r>
          </w:p>
        </w:tc>
        <w:tc>
          <w:tcPr>
            <w:tcW w:w="1931" w:type="dxa"/>
            <w:tcBorders>
              <w:top w:val="nil"/>
              <w:left w:val="nil"/>
              <w:bottom w:val="single" w:color="auto" w:sz="8" w:space="0"/>
              <w:right w:val="single" w:color="auto" w:sz="8" w:space="0"/>
            </w:tcBorders>
            <w:shd w:val="clear" w:color="auto" w:fill="auto"/>
            <w:noWrap w:val="0"/>
            <w:vAlign w:val="center"/>
          </w:tcPr>
          <w:p>
            <w:pPr>
              <w:jc w:val="center"/>
              <w:rPr>
                <w:rFonts w:ascii="宋体" w:hAnsi="宋体" w:cs="宋体"/>
                <w:color w:val="000000"/>
                <w:sz w:val="24"/>
              </w:rPr>
            </w:pPr>
            <w:r>
              <w:rPr>
                <w:rFonts w:hint="eastAsia"/>
                <w:color w:val="000000"/>
              </w:rPr>
              <w:t>按政策持续发放</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rPr>
                <w:rFonts w:ascii="宋体" w:hAnsi="宋体" w:cs="宋体"/>
                <w:color w:val="000000"/>
                <w:sz w:val="24"/>
              </w:rPr>
            </w:pPr>
          </w:p>
        </w:tc>
        <w:tc>
          <w:tcPr>
            <w:tcW w:w="1077" w:type="dxa"/>
            <w:tcBorders>
              <w:top w:val="nil"/>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社会效益指标</w:t>
            </w:r>
          </w:p>
        </w:tc>
        <w:tc>
          <w:tcPr>
            <w:tcW w:w="1727" w:type="dxa"/>
            <w:tcBorders>
              <w:top w:val="single" w:color="000000" w:sz="8" w:space="0"/>
              <w:left w:val="nil"/>
              <w:bottom w:val="single" w:color="000000"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社会效益</w:t>
            </w:r>
          </w:p>
        </w:tc>
        <w:tc>
          <w:tcPr>
            <w:tcW w:w="1299" w:type="dxa"/>
            <w:tcBorders>
              <w:top w:val="nil"/>
              <w:left w:val="nil"/>
              <w:bottom w:val="single" w:color="auto" w:sz="8" w:space="0"/>
              <w:right w:val="single" w:color="auto" w:sz="8" w:space="0"/>
            </w:tcBorders>
            <w:shd w:val="clear" w:color="auto" w:fill="auto"/>
            <w:noWrap w:val="0"/>
            <w:vAlign w:val="center"/>
          </w:tcPr>
          <w:p>
            <w:pPr>
              <w:jc w:val="center"/>
              <w:rPr>
                <w:rFonts w:ascii="宋体" w:hAnsi="宋体" w:cs="宋体"/>
                <w:color w:val="000000"/>
                <w:sz w:val="24"/>
              </w:rPr>
            </w:pPr>
            <w:r>
              <w:rPr>
                <w:rFonts w:hint="eastAsia"/>
                <w:color w:val="000000"/>
              </w:rPr>
              <w:t>对工作的影响</w:t>
            </w:r>
          </w:p>
        </w:tc>
        <w:tc>
          <w:tcPr>
            <w:tcW w:w="1807" w:type="dxa"/>
            <w:tcBorders>
              <w:top w:val="nil"/>
              <w:left w:val="nil"/>
              <w:bottom w:val="single" w:color="auto" w:sz="8" w:space="0"/>
              <w:right w:val="single" w:color="auto" w:sz="8" w:space="0"/>
            </w:tcBorders>
            <w:shd w:val="clear" w:color="auto" w:fill="auto"/>
            <w:noWrap w:val="0"/>
            <w:vAlign w:val="center"/>
          </w:tcPr>
          <w:p>
            <w:pPr>
              <w:jc w:val="center"/>
              <w:rPr>
                <w:rFonts w:ascii="宋体" w:hAnsi="宋体" w:cs="宋体"/>
                <w:color w:val="000000"/>
                <w:sz w:val="24"/>
              </w:rPr>
            </w:pPr>
            <w:r>
              <w:rPr>
                <w:rFonts w:hint="eastAsia"/>
                <w:color w:val="000000"/>
              </w:rPr>
              <w:t>提升服务质量，方便群众。</w:t>
            </w:r>
          </w:p>
        </w:tc>
        <w:tc>
          <w:tcPr>
            <w:tcW w:w="1931" w:type="dxa"/>
            <w:tcBorders>
              <w:top w:val="nil"/>
              <w:left w:val="nil"/>
              <w:bottom w:val="single" w:color="auto" w:sz="8" w:space="0"/>
              <w:right w:val="single" w:color="auto" w:sz="8" w:space="0"/>
            </w:tcBorders>
            <w:shd w:val="clear" w:color="auto" w:fill="auto"/>
            <w:noWrap w:val="0"/>
            <w:vAlign w:val="center"/>
          </w:tcPr>
          <w:p>
            <w:pPr>
              <w:jc w:val="center"/>
              <w:rPr>
                <w:rFonts w:ascii="宋体" w:hAnsi="宋体" w:cs="宋体"/>
                <w:color w:val="000000"/>
                <w:sz w:val="24"/>
              </w:rPr>
            </w:pPr>
            <w:r>
              <w:rPr>
                <w:rFonts w:hint="eastAsia"/>
                <w:color w:val="000000"/>
              </w:rPr>
              <w:t>提升服务质量，方便群众。</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rPr>
                <w:rFonts w:ascii="宋体" w:hAnsi="宋体" w:cs="宋体"/>
                <w:color w:val="000000"/>
                <w:sz w:val="24"/>
              </w:rPr>
            </w:pPr>
          </w:p>
        </w:tc>
        <w:tc>
          <w:tcPr>
            <w:tcW w:w="1077" w:type="dxa"/>
            <w:tcBorders>
              <w:top w:val="nil"/>
              <w:left w:val="nil"/>
              <w:bottom w:val="single" w:color="auto"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满意度指标</w:t>
            </w:r>
          </w:p>
        </w:tc>
        <w:tc>
          <w:tcPr>
            <w:tcW w:w="1727" w:type="dxa"/>
            <w:tcBorders>
              <w:top w:val="single" w:color="000000" w:sz="8" w:space="0"/>
              <w:left w:val="nil"/>
              <w:bottom w:val="single" w:color="auto" w:sz="8" w:space="0"/>
              <w:right w:val="single" w:color="000000" w:sz="8" w:space="0"/>
            </w:tcBorders>
            <w:shd w:val="clear" w:color="auto" w:fill="auto"/>
            <w:noWrap w:val="0"/>
            <w:vAlign w:val="center"/>
          </w:tcPr>
          <w:p>
            <w:pPr>
              <w:jc w:val="center"/>
              <w:rPr>
                <w:rFonts w:ascii="宋体" w:hAnsi="宋体" w:cs="宋体"/>
                <w:color w:val="000000"/>
                <w:sz w:val="24"/>
              </w:rPr>
            </w:pPr>
            <w:r>
              <w:rPr>
                <w:rFonts w:hint="eastAsia"/>
                <w:color w:val="000000"/>
              </w:rPr>
              <w:t>满意度指标</w:t>
            </w:r>
          </w:p>
        </w:tc>
        <w:tc>
          <w:tcPr>
            <w:tcW w:w="1299" w:type="dxa"/>
            <w:tcBorders>
              <w:top w:val="nil"/>
              <w:left w:val="nil"/>
              <w:bottom w:val="single" w:color="auto" w:sz="8" w:space="0"/>
              <w:right w:val="single" w:color="auto" w:sz="8" w:space="0"/>
            </w:tcBorders>
            <w:shd w:val="clear" w:color="000000" w:fill="FFFFFF"/>
            <w:noWrap w:val="0"/>
            <w:vAlign w:val="center"/>
          </w:tcPr>
          <w:p>
            <w:pPr>
              <w:jc w:val="center"/>
              <w:rPr>
                <w:rFonts w:ascii="宋体" w:hAnsi="宋体" w:cs="宋体"/>
                <w:color w:val="000000"/>
                <w:sz w:val="20"/>
                <w:szCs w:val="20"/>
              </w:rPr>
            </w:pPr>
            <w:r>
              <w:rPr>
                <w:rFonts w:hint="eastAsia"/>
                <w:color w:val="000000"/>
                <w:sz w:val="20"/>
                <w:szCs w:val="20"/>
              </w:rPr>
              <w:t>岗位工作人员满意度</w:t>
            </w:r>
          </w:p>
        </w:tc>
        <w:tc>
          <w:tcPr>
            <w:tcW w:w="1807" w:type="dxa"/>
            <w:tcBorders>
              <w:top w:val="nil"/>
              <w:left w:val="nil"/>
              <w:bottom w:val="single" w:color="auto" w:sz="8" w:space="0"/>
              <w:right w:val="single" w:color="auto" w:sz="8" w:space="0"/>
            </w:tcBorders>
            <w:shd w:val="clear" w:color="000000" w:fill="FFFFFF"/>
            <w:noWrap w:val="0"/>
            <w:vAlign w:val="center"/>
          </w:tcPr>
          <w:p>
            <w:pPr>
              <w:jc w:val="center"/>
              <w:rPr>
                <w:rFonts w:ascii="宋体" w:hAnsi="宋体" w:cs="宋体"/>
                <w:color w:val="000000"/>
                <w:sz w:val="20"/>
                <w:szCs w:val="20"/>
              </w:rPr>
            </w:pPr>
            <w:r>
              <w:rPr>
                <w:rFonts w:hint="eastAsia"/>
                <w:color w:val="000000"/>
                <w:sz w:val="20"/>
                <w:szCs w:val="20"/>
              </w:rPr>
              <w:t>100%</w:t>
            </w:r>
          </w:p>
        </w:tc>
        <w:tc>
          <w:tcPr>
            <w:tcW w:w="1931" w:type="dxa"/>
            <w:tcBorders>
              <w:top w:val="nil"/>
              <w:left w:val="nil"/>
              <w:bottom w:val="single" w:color="auto" w:sz="8" w:space="0"/>
              <w:right w:val="single" w:color="auto" w:sz="8" w:space="0"/>
            </w:tcBorders>
            <w:shd w:val="clear" w:color="000000" w:fill="FFFFFF"/>
            <w:noWrap w:val="0"/>
            <w:vAlign w:val="center"/>
          </w:tcPr>
          <w:p>
            <w:pPr>
              <w:jc w:val="center"/>
              <w:rPr>
                <w:rFonts w:ascii="宋体" w:hAnsi="宋体" w:cs="宋体"/>
                <w:color w:val="000000"/>
                <w:sz w:val="20"/>
                <w:szCs w:val="20"/>
              </w:rPr>
            </w:pPr>
            <w:r>
              <w:rPr>
                <w:rFonts w:hint="eastAsia"/>
                <w:color w:val="000000"/>
                <w:sz w:val="20"/>
                <w:szCs w:val="20"/>
              </w:rPr>
              <w:t>100%</w:t>
            </w:r>
          </w:p>
        </w:tc>
      </w:tr>
    </w:tbl>
    <w:p>
      <w:pPr>
        <w:pStyle w:val="6"/>
        <w:rPr>
          <w:rFonts w:hint="eastAsia"/>
        </w:rPr>
      </w:pPr>
    </w:p>
    <w:p>
      <w:pPr>
        <w:spacing w:line="600" w:lineRule="exact"/>
        <w:ind w:firstLine="2640" w:firstLineChars="600"/>
        <w:jc w:val="both"/>
        <w:outlineLvl w:val="0"/>
        <w:rPr>
          <w:rFonts w:hint="eastAsia" w:ascii="黑体" w:hAnsi="黑体" w:eastAsia="黑体"/>
          <w:sz w:val="44"/>
          <w:szCs w:val="44"/>
        </w:rPr>
      </w:pPr>
    </w:p>
    <w:p>
      <w:pPr>
        <w:keepNext w:val="0"/>
        <w:keepLines w:val="0"/>
        <w:pageBreakBefore w:val="0"/>
        <w:kinsoku/>
        <w:wordWrap/>
        <w:overflowPunct/>
        <w:topLinePunct w:val="0"/>
        <w:autoSpaceDE/>
        <w:autoSpaceDN/>
        <w:bidi w:val="0"/>
        <w:spacing w:line="572" w:lineRule="exact"/>
        <w:jc w:val="left"/>
        <w:textAlignment w:val="auto"/>
        <w:outlineLvl w:val="0"/>
        <w:rPr>
          <w:rFonts w:hint="default" w:ascii="黑体" w:hAnsi="黑体" w:eastAsia="黑体"/>
          <w:sz w:val="44"/>
          <w:szCs w:val="44"/>
          <w:lang w:val="en-US"/>
        </w:rPr>
      </w:pPr>
      <w:bookmarkStart w:id="74" w:name="_Toc12869"/>
      <w:r>
        <w:rPr>
          <w:rFonts w:hint="eastAsia" w:ascii="黑体" w:hAnsi="黑体" w:eastAsia="黑体" w:cs="黑体"/>
          <w:color w:val="auto"/>
          <w:sz w:val="32"/>
          <w:szCs w:val="32"/>
          <w:highlight w:val="none"/>
        </w:rPr>
        <w:t>附件</w:t>
      </w:r>
      <w:r>
        <w:rPr>
          <w:rFonts w:hint="eastAsia" w:ascii="黑体" w:hAnsi="黑体" w:eastAsia="黑体" w:cs="黑体"/>
          <w:color w:val="auto"/>
          <w:sz w:val="32"/>
          <w:szCs w:val="32"/>
          <w:highlight w:val="none"/>
          <w:lang w:val="en-US" w:eastAsia="zh-CN"/>
        </w:rPr>
        <w:t>4</w:t>
      </w:r>
      <w:bookmarkEnd w:id="74"/>
    </w:p>
    <w:tbl>
      <w:tblPr>
        <w:tblStyle w:val="14"/>
        <w:tblpPr w:leftFromText="180" w:rightFromText="180" w:vertAnchor="text" w:horzAnchor="page" w:tblpX="1281" w:tblpY="660"/>
        <w:tblOverlap w:val="never"/>
        <w:tblW w:w="957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119"/>
        <w:gridCol w:w="1635"/>
        <w:gridCol w:w="1189"/>
        <w:gridCol w:w="1224"/>
        <w:gridCol w:w="24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9577" w:type="dxa"/>
            <w:gridSpan w:val="5"/>
            <w:tcBorders>
              <w:top w:val="nil"/>
              <w:left w:val="nil"/>
              <w:bottom w:val="nil"/>
              <w:right w:val="nil"/>
            </w:tcBorders>
            <w:shd w:val="clear" w:color="auto" w:fill="auto"/>
            <w:vAlign w:val="center"/>
          </w:tcPr>
          <w:p>
            <w:pPr>
              <w:keepNext w:val="0"/>
              <w:keepLines w:val="0"/>
              <w:widowControl/>
              <w:suppressLineNumbers w:val="0"/>
              <w:spacing w:beforeAutospacing="0"/>
              <w:jc w:val="center"/>
              <w:textAlignment w:val="center"/>
              <w:rPr>
                <w:rFonts w:hint="eastAsia" w:ascii="宋体" w:hAnsi="宋体" w:eastAsia="宋体" w:cs="宋体"/>
                <w:b/>
                <w:i w:val="0"/>
                <w:color w:val="auto"/>
                <w:sz w:val="32"/>
                <w:szCs w:val="32"/>
                <w:highlight w:val="none"/>
                <w:u w:val="none"/>
              </w:rPr>
            </w:pPr>
            <w:r>
              <w:rPr>
                <w:rFonts w:hint="eastAsia" w:ascii="宋体" w:hAnsi="宋体" w:eastAsia="宋体" w:cs="宋体"/>
                <w:b/>
                <w:i w:val="0"/>
                <w:color w:val="auto"/>
                <w:sz w:val="32"/>
                <w:szCs w:val="32"/>
                <w:highlight w:val="none"/>
                <w:u w:val="none"/>
                <w:lang w:val="en-US" w:eastAsia="zh-CN"/>
              </w:rPr>
              <w:t>2021年金保网络租赁经费项目绩效目标自评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4" w:hRule="atLeast"/>
        </w:trPr>
        <w:tc>
          <w:tcPr>
            <w:tcW w:w="31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主管部门及代码</w:t>
            </w:r>
          </w:p>
        </w:tc>
        <w:tc>
          <w:tcPr>
            <w:tcW w:w="28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宋体" w:hAnsi="宋体" w:eastAsia="宋体" w:cs="宋体"/>
                <w:i w:val="0"/>
                <w:color w:val="auto"/>
                <w:sz w:val="24"/>
                <w:szCs w:val="24"/>
                <w:highlight w:val="none"/>
                <w:u w:val="none"/>
              </w:rPr>
            </w:pPr>
            <w:r>
              <w:rPr>
                <w:rFonts w:hint="eastAsia" w:ascii="宋体" w:hAnsi="宋体" w:cs="宋体"/>
                <w:sz w:val="24"/>
                <w:lang w:val="en-US" w:eastAsia="zh-CN"/>
              </w:rPr>
              <w:t>303</w:t>
            </w:r>
            <w:r>
              <w:rPr>
                <w:rFonts w:hint="eastAsia" w:ascii="宋体" w:hAnsi="宋体" w:cs="宋体"/>
                <w:sz w:val="24"/>
                <w:lang w:eastAsia="zh-CN"/>
              </w:rPr>
              <w:t>旺苍县人力资源和社会保障局</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实施单位</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eastAsia" w:ascii="宋体" w:hAnsi="宋体" w:eastAsia="宋体" w:cs="宋体"/>
                <w:kern w:val="2"/>
                <w:sz w:val="24"/>
                <w:szCs w:val="24"/>
                <w:lang w:val="en-US" w:eastAsia="zh-CN" w:bidi="ar-SA"/>
              </w:rPr>
            </w:pPr>
            <w:r>
              <w:rPr>
                <w:rFonts w:hint="eastAsia" w:ascii="宋体" w:hAnsi="宋体" w:cs="宋体"/>
                <w:sz w:val="24"/>
                <w:lang w:eastAsia="zh-CN"/>
              </w:rPr>
              <w:t>旺苍县人力资源和社会保障局机关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1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项目预算</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执行情况</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（万元）</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 xml:space="preserve"> 预算数：</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000000" w:themeColor="text1"/>
                <w:sz w:val="24"/>
                <w:szCs w:val="24"/>
                <w:highlight w:val="none"/>
                <w:u w:val="none"/>
                <w:lang w:val="en-US" w:eastAsia="zh-CN"/>
                <w14:textFill>
                  <w14:solidFill>
                    <w14:schemeClr w14:val="tx1"/>
                  </w14:solidFill>
                </w14:textFill>
              </w:rPr>
            </w:pPr>
            <w:r>
              <w:rPr>
                <w:rFonts w:hint="eastAsia" w:ascii="宋体" w:hAnsi="宋体" w:eastAsia="宋体" w:cs="宋体"/>
                <w:i w:val="0"/>
                <w:color w:val="000000" w:themeColor="text1"/>
                <w:sz w:val="24"/>
                <w:szCs w:val="24"/>
                <w:highlight w:val="none"/>
                <w:u w:val="none"/>
                <w:lang w:val="en-US" w:eastAsia="zh-CN"/>
                <w14:textFill>
                  <w14:solidFill>
                    <w14:schemeClr w14:val="tx1"/>
                  </w14:solidFill>
                </w14:textFill>
              </w:rPr>
              <w:t>53.47</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 xml:space="preserve"> 执行数：</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sz w:val="24"/>
                <w:szCs w:val="24"/>
                <w:highlight w:val="none"/>
                <w:u w:val="none"/>
                <w:lang w:val="en-US" w:eastAsia="zh-CN"/>
              </w:rPr>
              <w:t>45.67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31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highlight w:val="none"/>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其中：</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财政拨款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000000" w:themeColor="text1"/>
                <w:sz w:val="24"/>
                <w:szCs w:val="24"/>
                <w:highlight w:val="none"/>
                <w:u w:val="none"/>
                <w:lang w:val="en-US" w:eastAsia="zh-CN"/>
                <w14:textFill>
                  <w14:solidFill>
                    <w14:schemeClr w14:val="tx1"/>
                  </w14:solidFill>
                </w14:textFill>
              </w:rPr>
            </w:pPr>
            <w:r>
              <w:rPr>
                <w:rFonts w:hint="eastAsia" w:ascii="宋体" w:hAnsi="宋体" w:eastAsia="宋体" w:cs="宋体"/>
                <w:i w:val="0"/>
                <w:color w:val="000000" w:themeColor="text1"/>
                <w:sz w:val="24"/>
                <w:szCs w:val="24"/>
                <w:highlight w:val="none"/>
                <w:u w:val="none"/>
                <w:lang w:val="en-US" w:eastAsia="zh-CN"/>
                <w14:textFill>
                  <w14:solidFill>
                    <w14:schemeClr w14:val="tx1"/>
                  </w14:solidFill>
                </w14:textFill>
              </w:rPr>
              <w:t>53.47</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其中：</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财政拨款</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sz w:val="24"/>
                <w:szCs w:val="24"/>
                <w:highlight w:val="none"/>
                <w:u w:val="none"/>
                <w:lang w:val="en-US" w:eastAsia="zh-CN"/>
              </w:rPr>
              <w:t>45.67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31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highlight w:val="none"/>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其他资金</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其他资金</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p>
        </w:tc>
      </w:tr>
    </w:tbl>
    <w:tbl>
      <w:tblPr>
        <w:tblStyle w:val="14"/>
        <w:tblW w:w="9518" w:type="dxa"/>
        <w:tblInd w:w="-507" w:type="dxa"/>
        <w:tblLayout w:type="autofit"/>
        <w:tblCellMar>
          <w:top w:w="0" w:type="dxa"/>
          <w:left w:w="108" w:type="dxa"/>
          <w:bottom w:w="0" w:type="dxa"/>
          <w:right w:w="108" w:type="dxa"/>
        </w:tblCellMar>
      </w:tblPr>
      <w:tblGrid>
        <w:gridCol w:w="1677"/>
        <w:gridCol w:w="1076"/>
        <w:gridCol w:w="1726"/>
        <w:gridCol w:w="1301"/>
        <w:gridCol w:w="1808"/>
        <w:gridCol w:w="1930"/>
      </w:tblGrid>
      <w:tr>
        <w:tblPrEx>
          <w:tblCellMar>
            <w:top w:w="0" w:type="dxa"/>
            <w:left w:w="108" w:type="dxa"/>
            <w:bottom w:w="0" w:type="dxa"/>
            <w:right w:w="108" w:type="dxa"/>
          </w:tblCellMar>
        </w:tblPrEx>
        <w:trPr>
          <w:trHeight w:val="624" w:hRule="atLeast"/>
        </w:trPr>
        <w:tc>
          <w:tcPr>
            <w:tcW w:w="1677" w:type="dxa"/>
            <w:vMerge w:val="restart"/>
            <w:tcBorders>
              <w:top w:val="nil"/>
              <w:left w:val="single" w:color="auto" w:sz="8" w:space="0"/>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年度目标完成情况</w:t>
            </w:r>
          </w:p>
        </w:tc>
        <w:tc>
          <w:tcPr>
            <w:tcW w:w="4103" w:type="dxa"/>
            <w:gridSpan w:val="3"/>
            <w:tcBorders>
              <w:top w:val="single" w:color="000000" w:sz="8" w:space="0"/>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预期目标</w:t>
            </w:r>
          </w:p>
        </w:tc>
        <w:tc>
          <w:tcPr>
            <w:tcW w:w="3738" w:type="dxa"/>
            <w:gridSpan w:val="2"/>
            <w:tcBorders>
              <w:top w:val="single" w:color="000000" w:sz="8" w:space="0"/>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实际完成目标</w:t>
            </w:r>
          </w:p>
        </w:tc>
      </w:tr>
      <w:tr>
        <w:tblPrEx>
          <w:tblCellMar>
            <w:top w:w="0" w:type="dxa"/>
            <w:left w:w="108" w:type="dxa"/>
            <w:bottom w:w="0" w:type="dxa"/>
            <w:right w:w="108" w:type="dxa"/>
          </w:tblCellMar>
        </w:tblPrEx>
        <w:trPr>
          <w:trHeight w:val="1692"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widowControl/>
              <w:jc w:val="left"/>
              <w:rPr>
                <w:rFonts w:ascii="宋体" w:hAnsi="宋体" w:cs="宋体"/>
                <w:color w:val="000000"/>
                <w:sz w:val="24"/>
              </w:rPr>
            </w:pPr>
          </w:p>
        </w:tc>
        <w:tc>
          <w:tcPr>
            <w:tcW w:w="4103" w:type="dxa"/>
            <w:gridSpan w:val="3"/>
            <w:tcBorders>
              <w:top w:val="single" w:color="000000" w:sz="8" w:space="0"/>
              <w:left w:val="nil"/>
              <w:bottom w:val="single" w:color="000000" w:sz="8" w:space="0"/>
              <w:right w:val="single" w:color="000000" w:sz="8" w:space="0"/>
            </w:tcBorders>
            <w:shd w:val="clear" w:color="auto" w:fill="auto"/>
            <w:noWrap w:val="0"/>
            <w:vAlign w:val="center"/>
          </w:tcPr>
          <w:p>
            <w:pPr>
              <w:widowControl/>
              <w:jc w:val="left"/>
              <w:rPr>
                <w:rFonts w:ascii="宋体" w:hAnsi="宋体" w:cs="宋体"/>
                <w:color w:val="000000"/>
                <w:sz w:val="24"/>
              </w:rPr>
            </w:pPr>
            <w:r>
              <w:rPr>
                <w:rFonts w:hint="eastAsia" w:ascii="宋体" w:hAnsi="宋体" w:cs="宋体"/>
                <w:color w:val="000000"/>
                <w:kern w:val="0"/>
                <w:sz w:val="24"/>
              </w:rPr>
              <w:t>租赁电信网络，保障社会保险9项基金网络系统覆盖全县38个乡镇（街道办）及所有社区和定点医疗等延伸机构，确保网络系统安全、高效运行。</w:t>
            </w:r>
          </w:p>
        </w:tc>
        <w:tc>
          <w:tcPr>
            <w:tcW w:w="3738" w:type="dxa"/>
            <w:gridSpan w:val="2"/>
            <w:tcBorders>
              <w:top w:val="single" w:color="000000" w:sz="8" w:space="0"/>
              <w:left w:val="nil"/>
              <w:bottom w:val="single" w:color="000000" w:sz="8" w:space="0"/>
              <w:right w:val="single" w:color="000000" w:sz="8" w:space="0"/>
            </w:tcBorders>
            <w:shd w:val="clear" w:color="auto" w:fill="auto"/>
            <w:noWrap w:val="0"/>
            <w:vAlign w:val="center"/>
          </w:tcPr>
          <w:p>
            <w:pPr>
              <w:widowControl/>
              <w:jc w:val="left"/>
              <w:rPr>
                <w:rFonts w:ascii="宋体" w:hAnsi="宋体" w:cs="宋体"/>
                <w:color w:val="000000"/>
                <w:sz w:val="24"/>
              </w:rPr>
            </w:pPr>
            <w:r>
              <w:rPr>
                <w:rFonts w:hint="eastAsia" w:ascii="宋体" w:hAnsi="宋体" w:cs="宋体"/>
                <w:color w:val="000000"/>
                <w:kern w:val="0"/>
                <w:sz w:val="24"/>
              </w:rPr>
              <w:t>租赁电信网络，保障社会保险9项基金网络系统覆盖全县38个乡镇（街道办）及所有社区和定点医疗等延伸机构，并保证网络系统安全、高效运行。</w:t>
            </w:r>
          </w:p>
        </w:tc>
      </w:tr>
      <w:tr>
        <w:tblPrEx>
          <w:tblCellMar>
            <w:top w:w="0" w:type="dxa"/>
            <w:left w:w="108" w:type="dxa"/>
            <w:bottom w:w="0" w:type="dxa"/>
            <w:right w:w="108" w:type="dxa"/>
          </w:tblCellMar>
        </w:tblPrEx>
        <w:trPr>
          <w:trHeight w:val="948" w:hRule="atLeast"/>
        </w:trPr>
        <w:tc>
          <w:tcPr>
            <w:tcW w:w="1677" w:type="dxa"/>
            <w:vMerge w:val="restart"/>
            <w:tcBorders>
              <w:top w:val="nil"/>
              <w:left w:val="single" w:color="auto" w:sz="8" w:space="0"/>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绩效指标完成情况</w:t>
            </w:r>
          </w:p>
        </w:tc>
        <w:tc>
          <w:tcPr>
            <w:tcW w:w="1076" w:type="dxa"/>
            <w:tcBorders>
              <w:top w:val="nil"/>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一级指标</w:t>
            </w:r>
          </w:p>
        </w:tc>
        <w:tc>
          <w:tcPr>
            <w:tcW w:w="1726" w:type="dxa"/>
            <w:tcBorders>
              <w:top w:val="single" w:color="000000" w:sz="8" w:space="0"/>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二级指标</w:t>
            </w:r>
          </w:p>
        </w:tc>
        <w:tc>
          <w:tcPr>
            <w:tcW w:w="1301" w:type="dxa"/>
            <w:tcBorders>
              <w:top w:val="nil"/>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三级指标</w:t>
            </w:r>
          </w:p>
        </w:tc>
        <w:tc>
          <w:tcPr>
            <w:tcW w:w="1808" w:type="dxa"/>
            <w:tcBorders>
              <w:top w:val="nil"/>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预期指标值(包含数字及文字描述)</w:t>
            </w:r>
          </w:p>
        </w:tc>
        <w:tc>
          <w:tcPr>
            <w:tcW w:w="1930" w:type="dxa"/>
            <w:tcBorders>
              <w:top w:val="nil"/>
              <w:left w:val="nil"/>
              <w:bottom w:val="single" w:color="000000" w:sz="8" w:space="0"/>
              <w:right w:val="single" w:color="auto"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实际完成指标值(包含数字及文字描述)</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widowControl/>
              <w:jc w:val="left"/>
              <w:rPr>
                <w:rFonts w:ascii="宋体" w:hAnsi="宋体" w:cs="宋体"/>
                <w:color w:val="000000"/>
                <w:sz w:val="24"/>
              </w:rPr>
            </w:pPr>
          </w:p>
        </w:tc>
        <w:tc>
          <w:tcPr>
            <w:tcW w:w="1076" w:type="dxa"/>
            <w:tcBorders>
              <w:top w:val="nil"/>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项目完成指标</w:t>
            </w:r>
          </w:p>
        </w:tc>
        <w:tc>
          <w:tcPr>
            <w:tcW w:w="1726" w:type="dxa"/>
            <w:tcBorders>
              <w:top w:val="single" w:color="000000" w:sz="8" w:space="0"/>
              <w:left w:val="nil"/>
              <w:bottom w:val="single" w:color="000000" w:sz="8" w:space="0"/>
              <w:right w:val="single" w:color="000000" w:sz="8" w:space="0"/>
            </w:tcBorders>
            <w:shd w:val="clear" w:color="auto" w:fill="auto"/>
            <w:noWrap w:val="0"/>
            <w:vAlign w:val="center"/>
          </w:tcPr>
          <w:p>
            <w:pPr>
              <w:widowControl/>
              <w:jc w:val="center"/>
              <w:rPr>
                <w:rFonts w:ascii="仿宋" w:hAnsi="仿宋" w:eastAsia="仿宋" w:cs="宋体"/>
                <w:color w:val="000000"/>
                <w:sz w:val="24"/>
              </w:rPr>
            </w:pPr>
            <w:r>
              <w:rPr>
                <w:rFonts w:hint="eastAsia" w:ascii="仿宋" w:hAnsi="仿宋" w:eastAsia="仿宋" w:cs="宋体"/>
                <w:color w:val="000000"/>
                <w:kern w:val="0"/>
                <w:sz w:val="24"/>
              </w:rPr>
              <w:t>数量指标</w:t>
            </w:r>
          </w:p>
        </w:tc>
        <w:tc>
          <w:tcPr>
            <w:tcW w:w="1301" w:type="dxa"/>
            <w:tcBorders>
              <w:top w:val="nil"/>
              <w:left w:val="nil"/>
              <w:bottom w:val="single" w:color="auto" w:sz="8" w:space="0"/>
              <w:right w:val="single" w:color="auto" w:sz="8" w:space="0"/>
            </w:tcBorders>
            <w:shd w:val="clear" w:color="auto" w:fill="auto"/>
            <w:noWrap w:val="0"/>
            <w:vAlign w:val="center"/>
          </w:tcPr>
          <w:p>
            <w:pPr>
              <w:widowControl/>
              <w:jc w:val="center"/>
              <w:rPr>
                <w:rFonts w:ascii="仿宋" w:hAnsi="仿宋" w:eastAsia="仿宋" w:cs="宋体"/>
                <w:color w:val="000000"/>
                <w:sz w:val="24"/>
              </w:rPr>
            </w:pPr>
            <w:r>
              <w:rPr>
                <w:rFonts w:hint="eastAsia" w:ascii="仿宋" w:hAnsi="仿宋" w:eastAsia="仿宋" w:cs="宋体"/>
                <w:color w:val="000000"/>
                <w:kern w:val="0"/>
                <w:sz w:val="24"/>
              </w:rPr>
              <w:t>网络覆盖乡镇（街道办）</w:t>
            </w:r>
          </w:p>
        </w:tc>
        <w:tc>
          <w:tcPr>
            <w:tcW w:w="1808" w:type="dxa"/>
            <w:tcBorders>
              <w:top w:val="nil"/>
              <w:left w:val="nil"/>
              <w:bottom w:val="single" w:color="auto" w:sz="8" w:space="0"/>
              <w:right w:val="single" w:color="auto" w:sz="8" w:space="0"/>
            </w:tcBorders>
            <w:shd w:val="clear" w:color="auto" w:fill="auto"/>
            <w:noWrap w:val="0"/>
            <w:vAlign w:val="center"/>
          </w:tcPr>
          <w:p>
            <w:pPr>
              <w:widowControl/>
              <w:jc w:val="center"/>
              <w:rPr>
                <w:rFonts w:ascii="仿宋" w:hAnsi="仿宋" w:eastAsia="仿宋" w:cs="宋体"/>
                <w:color w:val="000000"/>
                <w:sz w:val="24"/>
              </w:rPr>
            </w:pPr>
            <w:r>
              <w:rPr>
                <w:rFonts w:hint="eastAsia" w:ascii="仿宋" w:hAnsi="仿宋" w:eastAsia="仿宋" w:cs="宋体"/>
                <w:color w:val="000000"/>
                <w:kern w:val="0"/>
                <w:sz w:val="24"/>
              </w:rPr>
              <w:t>38个</w:t>
            </w:r>
          </w:p>
        </w:tc>
        <w:tc>
          <w:tcPr>
            <w:tcW w:w="1930" w:type="dxa"/>
            <w:tcBorders>
              <w:top w:val="nil"/>
              <w:left w:val="nil"/>
              <w:bottom w:val="single" w:color="auto" w:sz="8" w:space="0"/>
              <w:right w:val="single" w:color="auto" w:sz="8" w:space="0"/>
            </w:tcBorders>
            <w:shd w:val="clear" w:color="auto" w:fill="auto"/>
            <w:noWrap w:val="0"/>
            <w:vAlign w:val="center"/>
          </w:tcPr>
          <w:p>
            <w:pPr>
              <w:widowControl/>
              <w:jc w:val="center"/>
              <w:rPr>
                <w:rFonts w:ascii="仿宋" w:hAnsi="仿宋" w:eastAsia="仿宋" w:cs="宋体"/>
                <w:color w:val="000000"/>
                <w:sz w:val="24"/>
              </w:rPr>
            </w:pPr>
            <w:r>
              <w:rPr>
                <w:rFonts w:hint="eastAsia" w:ascii="仿宋" w:hAnsi="仿宋" w:eastAsia="仿宋" w:cs="宋体"/>
                <w:color w:val="000000"/>
                <w:kern w:val="0"/>
                <w:sz w:val="24"/>
              </w:rPr>
              <w:t>38个</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widowControl/>
              <w:jc w:val="left"/>
              <w:rPr>
                <w:rFonts w:ascii="宋体" w:hAnsi="宋体" w:cs="宋体"/>
                <w:color w:val="000000"/>
                <w:sz w:val="24"/>
              </w:rPr>
            </w:pPr>
          </w:p>
        </w:tc>
        <w:tc>
          <w:tcPr>
            <w:tcW w:w="1076" w:type="dxa"/>
            <w:tcBorders>
              <w:top w:val="nil"/>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项目完成指标</w:t>
            </w:r>
          </w:p>
        </w:tc>
        <w:tc>
          <w:tcPr>
            <w:tcW w:w="1726" w:type="dxa"/>
            <w:tcBorders>
              <w:top w:val="single" w:color="000000" w:sz="8" w:space="0"/>
              <w:left w:val="nil"/>
              <w:bottom w:val="single" w:color="000000" w:sz="8" w:space="0"/>
              <w:right w:val="single" w:color="000000" w:sz="8" w:space="0"/>
            </w:tcBorders>
            <w:shd w:val="clear" w:color="auto" w:fill="auto"/>
            <w:noWrap w:val="0"/>
            <w:vAlign w:val="top"/>
          </w:tcPr>
          <w:p>
            <w:pPr>
              <w:widowControl/>
              <w:jc w:val="center"/>
              <w:rPr>
                <w:rFonts w:ascii="宋体" w:hAnsi="宋体" w:cs="宋体"/>
                <w:color w:val="000000"/>
                <w:sz w:val="24"/>
              </w:rPr>
            </w:pPr>
            <w:r>
              <w:rPr>
                <w:rFonts w:hint="eastAsia" w:ascii="仿宋" w:hAnsi="仿宋" w:eastAsia="仿宋" w:cs="宋体"/>
                <w:color w:val="000000"/>
                <w:kern w:val="0"/>
                <w:sz w:val="24"/>
              </w:rPr>
              <w:t>数量指标</w:t>
            </w:r>
          </w:p>
        </w:tc>
        <w:tc>
          <w:tcPr>
            <w:tcW w:w="1301" w:type="dxa"/>
            <w:tcBorders>
              <w:top w:val="nil"/>
              <w:left w:val="nil"/>
              <w:bottom w:val="single" w:color="auto" w:sz="8" w:space="0"/>
              <w:right w:val="single" w:color="auto" w:sz="8" w:space="0"/>
            </w:tcBorders>
            <w:shd w:val="clear" w:color="auto" w:fill="auto"/>
            <w:noWrap w:val="0"/>
            <w:vAlign w:val="center"/>
          </w:tcPr>
          <w:p>
            <w:pPr>
              <w:widowControl/>
              <w:jc w:val="center"/>
              <w:rPr>
                <w:rFonts w:ascii="仿宋" w:hAnsi="仿宋" w:eastAsia="仿宋" w:cs="宋体"/>
                <w:color w:val="000000"/>
                <w:sz w:val="24"/>
              </w:rPr>
            </w:pPr>
            <w:r>
              <w:rPr>
                <w:rFonts w:hint="eastAsia" w:ascii="仿宋" w:hAnsi="仿宋" w:eastAsia="仿宋" w:cs="宋体"/>
                <w:color w:val="000000"/>
                <w:kern w:val="0"/>
                <w:sz w:val="24"/>
              </w:rPr>
              <w:t>网络覆盖社保项基金</w:t>
            </w:r>
          </w:p>
        </w:tc>
        <w:tc>
          <w:tcPr>
            <w:tcW w:w="1808" w:type="dxa"/>
            <w:tcBorders>
              <w:top w:val="nil"/>
              <w:left w:val="nil"/>
              <w:bottom w:val="single" w:color="auto" w:sz="8" w:space="0"/>
              <w:right w:val="single" w:color="auto" w:sz="8" w:space="0"/>
            </w:tcBorders>
            <w:shd w:val="clear" w:color="auto" w:fill="auto"/>
            <w:noWrap w:val="0"/>
            <w:vAlign w:val="center"/>
          </w:tcPr>
          <w:p>
            <w:pPr>
              <w:widowControl/>
              <w:jc w:val="center"/>
              <w:rPr>
                <w:rFonts w:ascii="仿宋" w:hAnsi="仿宋" w:eastAsia="仿宋" w:cs="宋体"/>
                <w:color w:val="000000"/>
                <w:sz w:val="24"/>
              </w:rPr>
            </w:pPr>
            <w:r>
              <w:rPr>
                <w:rFonts w:hint="eastAsia" w:ascii="仿宋" w:hAnsi="仿宋" w:eastAsia="仿宋" w:cs="宋体"/>
                <w:color w:val="000000"/>
                <w:kern w:val="0"/>
                <w:sz w:val="24"/>
              </w:rPr>
              <w:t>9 项</w:t>
            </w:r>
          </w:p>
        </w:tc>
        <w:tc>
          <w:tcPr>
            <w:tcW w:w="1930" w:type="dxa"/>
            <w:tcBorders>
              <w:top w:val="nil"/>
              <w:left w:val="nil"/>
              <w:bottom w:val="single" w:color="auto" w:sz="8" w:space="0"/>
              <w:right w:val="single" w:color="auto" w:sz="8" w:space="0"/>
            </w:tcBorders>
            <w:shd w:val="clear" w:color="auto" w:fill="auto"/>
            <w:noWrap w:val="0"/>
            <w:vAlign w:val="center"/>
          </w:tcPr>
          <w:p>
            <w:pPr>
              <w:widowControl/>
              <w:jc w:val="center"/>
              <w:rPr>
                <w:rFonts w:ascii="仿宋" w:hAnsi="仿宋" w:eastAsia="仿宋" w:cs="宋体"/>
                <w:color w:val="000000"/>
                <w:sz w:val="24"/>
              </w:rPr>
            </w:pPr>
            <w:r>
              <w:rPr>
                <w:rFonts w:hint="eastAsia" w:ascii="仿宋" w:hAnsi="仿宋" w:eastAsia="仿宋" w:cs="宋体"/>
                <w:color w:val="000000"/>
                <w:kern w:val="0"/>
                <w:sz w:val="24"/>
              </w:rPr>
              <w:t>9项</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widowControl/>
              <w:jc w:val="left"/>
              <w:rPr>
                <w:rFonts w:ascii="宋体" w:hAnsi="宋体" w:cs="宋体"/>
                <w:color w:val="000000"/>
                <w:sz w:val="24"/>
              </w:rPr>
            </w:pPr>
          </w:p>
        </w:tc>
        <w:tc>
          <w:tcPr>
            <w:tcW w:w="1076" w:type="dxa"/>
            <w:tcBorders>
              <w:top w:val="nil"/>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项目完成指标</w:t>
            </w:r>
          </w:p>
        </w:tc>
        <w:tc>
          <w:tcPr>
            <w:tcW w:w="1726" w:type="dxa"/>
            <w:tcBorders>
              <w:top w:val="single" w:color="000000" w:sz="8" w:space="0"/>
              <w:left w:val="nil"/>
              <w:bottom w:val="single" w:color="000000" w:sz="8" w:space="0"/>
              <w:right w:val="single" w:color="000000" w:sz="8" w:space="0"/>
            </w:tcBorders>
            <w:shd w:val="clear" w:color="auto" w:fill="auto"/>
            <w:noWrap w:val="0"/>
            <w:vAlign w:val="top"/>
          </w:tcPr>
          <w:p>
            <w:pPr>
              <w:widowControl/>
              <w:jc w:val="center"/>
              <w:rPr>
                <w:rFonts w:ascii="宋体" w:hAnsi="宋体" w:cs="宋体"/>
                <w:color w:val="000000"/>
                <w:sz w:val="24"/>
              </w:rPr>
            </w:pPr>
            <w:r>
              <w:rPr>
                <w:rFonts w:hint="eastAsia" w:ascii="仿宋" w:hAnsi="仿宋" w:eastAsia="仿宋" w:cs="宋体"/>
                <w:color w:val="000000"/>
                <w:kern w:val="0"/>
                <w:sz w:val="24"/>
              </w:rPr>
              <w:t>数量指标</w:t>
            </w:r>
          </w:p>
        </w:tc>
        <w:tc>
          <w:tcPr>
            <w:tcW w:w="1301" w:type="dxa"/>
            <w:tcBorders>
              <w:top w:val="nil"/>
              <w:left w:val="nil"/>
              <w:bottom w:val="single" w:color="auto" w:sz="8" w:space="0"/>
              <w:right w:val="single" w:color="auto" w:sz="8" w:space="0"/>
            </w:tcBorders>
            <w:shd w:val="clear" w:color="auto" w:fill="auto"/>
            <w:noWrap w:val="0"/>
            <w:vAlign w:val="center"/>
          </w:tcPr>
          <w:p>
            <w:pPr>
              <w:widowControl/>
              <w:jc w:val="center"/>
              <w:rPr>
                <w:rFonts w:ascii="宋体" w:hAnsi="宋体" w:cs="宋体"/>
                <w:color w:val="000000"/>
                <w:sz w:val="24"/>
              </w:rPr>
            </w:pPr>
            <w:r>
              <w:rPr>
                <w:rFonts w:hint="eastAsia" w:ascii="仿宋" w:hAnsi="仿宋" w:eastAsia="仿宋" w:cs="宋体"/>
                <w:color w:val="000000"/>
                <w:kern w:val="0"/>
                <w:sz w:val="24"/>
              </w:rPr>
              <w:t>网络覆定点医疗机构</w:t>
            </w:r>
          </w:p>
        </w:tc>
        <w:tc>
          <w:tcPr>
            <w:tcW w:w="1808" w:type="dxa"/>
            <w:tcBorders>
              <w:top w:val="nil"/>
              <w:left w:val="nil"/>
              <w:bottom w:val="single" w:color="auto" w:sz="8" w:space="0"/>
              <w:right w:val="single" w:color="auto" w:sz="8" w:space="0"/>
            </w:tcBorders>
            <w:shd w:val="clear" w:color="auto" w:fill="auto"/>
            <w:noWrap w:val="0"/>
            <w:vAlign w:val="center"/>
          </w:tcPr>
          <w:p>
            <w:pPr>
              <w:widowControl/>
              <w:jc w:val="center"/>
              <w:rPr>
                <w:rFonts w:ascii="仿宋" w:hAnsi="仿宋" w:eastAsia="仿宋" w:cs="宋体"/>
                <w:color w:val="000000"/>
                <w:sz w:val="24"/>
              </w:rPr>
            </w:pPr>
            <w:r>
              <w:rPr>
                <w:rFonts w:hint="eastAsia" w:ascii="仿宋" w:hAnsi="仿宋" w:eastAsia="仿宋" w:cs="宋体"/>
                <w:color w:val="000000"/>
                <w:kern w:val="0"/>
                <w:sz w:val="24"/>
              </w:rPr>
              <w:t>100%</w:t>
            </w:r>
          </w:p>
        </w:tc>
        <w:tc>
          <w:tcPr>
            <w:tcW w:w="1930" w:type="dxa"/>
            <w:tcBorders>
              <w:top w:val="nil"/>
              <w:left w:val="nil"/>
              <w:bottom w:val="single" w:color="auto" w:sz="8" w:space="0"/>
              <w:right w:val="single" w:color="auto" w:sz="8" w:space="0"/>
            </w:tcBorders>
            <w:shd w:val="clear" w:color="auto" w:fill="auto"/>
            <w:noWrap w:val="0"/>
            <w:vAlign w:val="center"/>
          </w:tcPr>
          <w:p>
            <w:pPr>
              <w:widowControl/>
              <w:jc w:val="center"/>
              <w:rPr>
                <w:rFonts w:ascii="仿宋" w:hAnsi="仿宋" w:eastAsia="仿宋" w:cs="宋体"/>
                <w:color w:val="000000"/>
                <w:sz w:val="24"/>
              </w:rPr>
            </w:pPr>
            <w:r>
              <w:rPr>
                <w:rFonts w:hint="eastAsia" w:ascii="仿宋" w:hAnsi="仿宋" w:eastAsia="仿宋" w:cs="宋体"/>
                <w:color w:val="000000"/>
                <w:kern w:val="0"/>
                <w:sz w:val="24"/>
              </w:rPr>
              <w:t>100%</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widowControl/>
              <w:jc w:val="left"/>
              <w:rPr>
                <w:rFonts w:ascii="宋体" w:hAnsi="宋体" w:cs="宋体"/>
                <w:color w:val="000000"/>
                <w:sz w:val="24"/>
              </w:rPr>
            </w:pPr>
          </w:p>
        </w:tc>
        <w:tc>
          <w:tcPr>
            <w:tcW w:w="1076" w:type="dxa"/>
            <w:tcBorders>
              <w:top w:val="nil"/>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项目完成指标</w:t>
            </w:r>
          </w:p>
        </w:tc>
        <w:tc>
          <w:tcPr>
            <w:tcW w:w="1726" w:type="dxa"/>
            <w:tcBorders>
              <w:top w:val="single" w:color="000000" w:sz="8" w:space="0"/>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质量指标</w:t>
            </w:r>
          </w:p>
        </w:tc>
        <w:tc>
          <w:tcPr>
            <w:tcW w:w="1301" w:type="dxa"/>
            <w:tcBorders>
              <w:top w:val="nil"/>
              <w:left w:val="nil"/>
              <w:bottom w:val="single" w:color="auto" w:sz="8" w:space="0"/>
              <w:right w:val="single" w:color="auto"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服务效果</w:t>
            </w:r>
          </w:p>
        </w:tc>
        <w:tc>
          <w:tcPr>
            <w:tcW w:w="1808" w:type="dxa"/>
            <w:tcBorders>
              <w:top w:val="nil"/>
              <w:left w:val="nil"/>
              <w:bottom w:val="single" w:color="auto" w:sz="8" w:space="0"/>
              <w:right w:val="single" w:color="auto" w:sz="8" w:space="0"/>
            </w:tcBorders>
            <w:shd w:val="clear" w:color="auto" w:fill="auto"/>
            <w:noWrap w:val="0"/>
            <w:vAlign w:val="center"/>
          </w:tcPr>
          <w:p>
            <w:pPr>
              <w:widowControl/>
              <w:jc w:val="center"/>
              <w:rPr>
                <w:rFonts w:ascii="仿宋" w:hAnsi="仿宋" w:eastAsia="仿宋" w:cs="宋体"/>
                <w:color w:val="000000"/>
                <w:sz w:val="24"/>
              </w:rPr>
            </w:pPr>
            <w:r>
              <w:rPr>
                <w:rFonts w:hint="eastAsia" w:ascii="宋体" w:hAnsi="宋体" w:cs="宋体"/>
                <w:color w:val="000000"/>
                <w:kern w:val="0"/>
                <w:sz w:val="24"/>
              </w:rPr>
              <w:t>保障金保网络实时畅通、安全高效运行</w:t>
            </w:r>
          </w:p>
        </w:tc>
        <w:tc>
          <w:tcPr>
            <w:tcW w:w="1930" w:type="dxa"/>
            <w:tcBorders>
              <w:top w:val="nil"/>
              <w:left w:val="nil"/>
              <w:bottom w:val="single" w:color="auto" w:sz="8" w:space="0"/>
              <w:right w:val="single" w:color="auto" w:sz="8" w:space="0"/>
            </w:tcBorders>
            <w:shd w:val="clear" w:color="auto" w:fill="auto"/>
            <w:noWrap w:val="0"/>
            <w:vAlign w:val="center"/>
          </w:tcPr>
          <w:p>
            <w:pPr>
              <w:widowControl/>
              <w:jc w:val="center"/>
              <w:rPr>
                <w:rFonts w:ascii="仿宋" w:hAnsi="仿宋" w:eastAsia="仿宋" w:cs="宋体"/>
                <w:color w:val="000000"/>
                <w:sz w:val="24"/>
              </w:rPr>
            </w:pPr>
            <w:r>
              <w:rPr>
                <w:rFonts w:hint="eastAsia" w:ascii="宋体" w:hAnsi="宋体" w:cs="宋体"/>
                <w:color w:val="000000"/>
                <w:kern w:val="0"/>
                <w:sz w:val="24"/>
              </w:rPr>
              <w:t>保障金保网络实时畅通、安全高效运行</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widowControl/>
              <w:jc w:val="left"/>
              <w:rPr>
                <w:rFonts w:ascii="宋体" w:hAnsi="宋体" w:cs="宋体"/>
                <w:color w:val="000000"/>
                <w:sz w:val="24"/>
              </w:rPr>
            </w:pPr>
          </w:p>
        </w:tc>
        <w:tc>
          <w:tcPr>
            <w:tcW w:w="1076" w:type="dxa"/>
            <w:tcBorders>
              <w:top w:val="nil"/>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项目完成指标</w:t>
            </w:r>
          </w:p>
        </w:tc>
        <w:tc>
          <w:tcPr>
            <w:tcW w:w="1726" w:type="dxa"/>
            <w:tcBorders>
              <w:top w:val="single" w:color="000000" w:sz="8" w:space="0"/>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时效指标</w:t>
            </w:r>
          </w:p>
        </w:tc>
        <w:tc>
          <w:tcPr>
            <w:tcW w:w="1301" w:type="dxa"/>
            <w:tcBorders>
              <w:top w:val="nil"/>
              <w:left w:val="nil"/>
              <w:bottom w:val="single" w:color="auto" w:sz="8" w:space="0"/>
              <w:right w:val="single" w:color="auto"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完成时间</w:t>
            </w:r>
          </w:p>
        </w:tc>
        <w:tc>
          <w:tcPr>
            <w:tcW w:w="1808" w:type="dxa"/>
            <w:tcBorders>
              <w:top w:val="nil"/>
              <w:left w:val="nil"/>
              <w:bottom w:val="single" w:color="auto" w:sz="8" w:space="0"/>
              <w:right w:val="single" w:color="auto" w:sz="8" w:space="0"/>
            </w:tcBorders>
            <w:shd w:val="clear" w:color="auto" w:fill="auto"/>
            <w:noWrap w:val="0"/>
            <w:vAlign w:val="center"/>
          </w:tcPr>
          <w:p>
            <w:pPr>
              <w:widowControl/>
              <w:jc w:val="center"/>
              <w:rPr>
                <w:rFonts w:ascii="宋体" w:hAnsi="宋体" w:cs="宋体"/>
                <w:color w:val="000000"/>
                <w:sz w:val="24"/>
              </w:rPr>
            </w:pPr>
            <w:r>
              <w:rPr>
                <w:rFonts w:hint="eastAsia" w:ascii="仿宋" w:hAnsi="仿宋" w:eastAsia="仿宋" w:cs="宋体"/>
                <w:color w:val="000000"/>
                <w:kern w:val="0"/>
                <w:sz w:val="24"/>
              </w:rPr>
              <w:t>2020年</w:t>
            </w:r>
          </w:p>
        </w:tc>
        <w:tc>
          <w:tcPr>
            <w:tcW w:w="1930" w:type="dxa"/>
            <w:tcBorders>
              <w:top w:val="nil"/>
              <w:left w:val="nil"/>
              <w:bottom w:val="single" w:color="auto" w:sz="8" w:space="0"/>
              <w:right w:val="single" w:color="auto" w:sz="8" w:space="0"/>
            </w:tcBorders>
            <w:shd w:val="clear" w:color="auto" w:fill="auto"/>
            <w:noWrap w:val="0"/>
            <w:vAlign w:val="center"/>
          </w:tcPr>
          <w:p>
            <w:pPr>
              <w:widowControl/>
              <w:jc w:val="center"/>
              <w:rPr>
                <w:rFonts w:ascii="宋体" w:hAnsi="宋体" w:cs="宋体"/>
                <w:color w:val="000000"/>
                <w:sz w:val="24"/>
              </w:rPr>
            </w:pPr>
            <w:r>
              <w:rPr>
                <w:rFonts w:hint="eastAsia" w:ascii="仿宋" w:hAnsi="仿宋" w:eastAsia="仿宋" w:cs="宋体"/>
                <w:color w:val="000000"/>
                <w:kern w:val="0"/>
                <w:sz w:val="24"/>
              </w:rPr>
              <w:t>2020年</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widowControl/>
              <w:jc w:val="left"/>
              <w:rPr>
                <w:rFonts w:ascii="宋体" w:hAnsi="宋体" w:cs="宋体"/>
                <w:color w:val="000000"/>
                <w:sz w:val="24"/>
              </w:rPr>
            </w:pPr>
          </w:p>
        </w:tc>
        <w:tc>
          <w:tcPr>
            <w:tcW w:w="1076" w:type="dxa"/>
            <w:tcBorders>
              <w:top w:val="nil"/>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项目完成指标</w:t>
            </w:r>
          </w:p>
        </w:tc>
        <w:tc>
          <w:tcPr>
            <w:tcW w:w="1726" w:type="dxa"/>
            <w:tcBorders>
              <w:top w:val="single" w:color="000000" w:sz="8" w:space="0"/>
              <w:left w:val="nil"/>
              <w:bottom w:val="single" w:color="000000"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可持续影响</w:t>
            </w:r>
            <w:r>
              <w:rPr>
                <w:rFonts w:hint="eastAsia" w:ascii="宋体" w:hAnsi="宋体" w:cs="宋体"/>
                <w:color w:val="000000"/>
                <w:kern w:val="0"/>
                <w:sz w:val="24"/>
              </w:rPr>
              <w:br w:type="textWrapping"/>
            </w:r>
            <w:r>
              <w:rPr>
                <w:rFonts w:hint="eastAsia" w:ascii="宋体" w:hAnsi="宋体" w:cs="宋体"/>
                <w:color w:val="000000"/>
                <w:kern w:val="0"/>
                <w:sz w:val="24"/>
              </w:rPr>
              <w:t>指标</w:t>
            </w:r>
          </w:p>
        </w:tc>
        <w:tc>
          <w:tcPr>
            <w:tcW w:w="1301" w:type="dxa"/>
            <w:tcBorders>
              <w:top w:val="nil"/>
              <w:left w:val="nil"/>
              <w:bottom w:val="single" w:color="auto" w:sz="8" w:space="0"/>
              <w:right w:val="single" w:color="auto"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网络信息化</w:t>
            </w:r>
          </w:p>
        </w:tc>
        <w:tc>
          <w:tcPr>
            <w:tcW w:w="1808" w:type="dxa"/>
            <w:tcBorders>
              <w:top w:val="nil"/>
              <w:left w:val="nil"/>
              <w:bottom w:val="single" w:color="auto" w:sz="8" w:space="0"/>
              <w:right w:val="single" w:color="auto"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实现业务网络信息化</w:t>
            </w:r>
          </w:p>
        </w:tc>
        <w:tc>
          <w:tcPr>
            <w:tcW w:w="1930" w:type="dxa"/>
            <w:tcBorders>
              <w:top w:val="nil"/>
              <w:left w:val="nil"/>
              <w:bottom w:val="single" w:color="auto" w:sz="8" w:space="0"/>
              <w:right w:val="single" w:color="auto"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实现了业务系统办理、查询。</w:t>
            </w:r>
          </w:p>
        </w:tc>
      </w:tr>
      <w:tr>
        <w:tblPrEx>
          <w:tblCellMar>
            <w:top w:w="0" w:type="dxa"/>
            <w:left w:w="108" w:type="dxa"/>
            <w:bottom w:w="0" w:type="dxa"/>
            <w:right w:w="108" w:type="dxa"/>
          </w:tblCellMar>
        </w:tblPrEx>
        <w:trPr>
          <w:trHeight w:val="708" w:hRule="atLeast"/>
        </w:trPr>
        <w:tc>
          <w:tcPr>
            <w:tcW w:w="1677" w:type="dxa"/>
            <w:vMerge w:val="continue"/>
            <w:tcBorders>
              <w:top w:val="nil"/>
              <w:left w:val="single" w:color="auto" w:sz="8" w:space="0"/>
              <w:bottom w:val="single" w:color="000000" w:sz="8" w:space="0"/>
              <w:right w:val="single" w:color="000000" w:sz="8" w:space="0"/>
            </w:tcBorders>
            <w:shd w:val="clear" w:color="auto" w:fill="auto"/>
            <w:noWrap w:val="0"/>
            <w:vAlign w:val="center"/>
          </w:tcPr>
          <w:p>
            <w:pPr>
              <w:widowControl/>
              <w:jc w:val="left"/>
              <w:rPr>
                <w:rFonts w:ascii="宋体" w:hAnsi="宋体" w:cs="宋体"/>
                <w:color w:val="000000"/>
                <w:sz w:val="24"/>
              </w:rPr>
            </w:pPr>
          </w:p>
        </w:tc>
        <w:tc>
          <w:tcPr>
            <w:tcW w:w="1076" w:type="dxa"/>
            <w:tcBorders>
              <w:top w:val="nil"/>
              <w:left w:val="nil"/>
              <w:bottom w:val="single" w:color="auto"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效益指标</w:t>
            </w:r>
          </w:p>
        </w:tc>
        <w:tc>
          <w:tcPr>
            <w:tcW w:w="1726" w:type="dxa"/>
            <w:tcBorders>
              <w:top w:val="single" w:color="000000" w:sz="8" w:space="0"/>
              <w:left w:val="nil"/>
              <w:bottom w:val="single" w:color="auto" w:sz="8" w:space="0"/>
              <w:right w:val="single" w:color="000000" w:sz="8" w:space="0"/>
            </w:tcBorders>
            <w:shd w:val="clear" w:color="auto" w:fill="auto"/>
            <w:noWrap w:val="0"/>
            <w:vAlign w:val="center"/>
          </w:tcPr>
          <w:p>
            <w:pPr>
              <w:widowControl/>
              <w:jc w:val="center"/>
              <w:rPr>
                <w:rFonts w:ascii="宋体" w:hAnsi="宋体" w:cs="宋体"/>
                <w:color w:val="000000"/>
                <w:sz w:val="24"/>
              </w:rPr>
            </w:pPr>
            <w:r>
              <w:rPr>
                <w:rFonts w:hint="eastAsia" w:ascii="宋体" w:hAnsi="宋体" w:cs="宋体"/>
                <w:color w:val="000000"/>
                <w:kern w:val="0"/>
                <w:sz w:val="24"/>
              </w:rPr>
              <w:t>社会效益指标</w:t>
            </w:r>
          </w:p>
        </w:tc>
        <w:tc>
          <w:tcPr>
            <w:tcW w:w="1301" w:type="dxa"/>
            <w:tcBorders>
              <w:top w:val="nil"/>
              <w:left w:val="nil"/>
              <w:bottom w:val="single" w:color="auto" w:sz="8" w:space="0"/>
              <w:right w:val="single" w:color="auto" w:sz="8" w:space="0"/>
            </w:tcBorders>
            <w:shd w:val="clear" w:color="000000" w:fill="FFFFFF"/>
            <w:noWrap w:val="0"/>
            <w:vAlign w:val="center"/>
          </w:tcPr>
          <w:p>
            <w:pPr>
              <w:widowControl/>
              <w:jc w:val="center"/>
              <w:rPr>
                <w:rFonts w:ascii="宋体" w:hAnsi="宋体" w:cs="宋体"/>
                <w:color w:val="000000"/>
                <w:sz w:val="20"/>
                <w:szCs w:val="20"/>
              </w:rPr>
            </w:pPr>
            <w:r>
              <w:rPr>
                <w:rFonts w:hint="eastAsia" w:ascii="宋体" w:hAnsi="宋体" w:cs="宋体"/>
                <w:color w:val="000000"/>
                <w:kern w:val="0"/>
                <w:sz w:val="24"/>
              </w:rPr>
              <w:t>对工作的促进作用</w:t>
            </w:r>
          </w:p>
        </w:tc>
        <w:tc>
          <w:tcPr>
            <w:tcW w:w="1808" w:type="dxa"/>
            <w:tcBorders>
              <w:top w:val="nil"/>
              <w:left w:val="nil"/>
              <w:bottom w:val="single" w:color="auto" w:sz="8" w:space="0"/>
              <w:right w:val="single" w:color="auto" w:sz="8" w:space="0"/>
            </w:tcBorders>
            <w:shd w:val="clear" w:color="000000" w:fill="FFFFFF"/>
            <w:noWrap w:val="0"/>
            <w:vAlign w:val="center"/>
          </w:tcPr>
          <w:p>
            <w:pPr>
              <w:widowControl/>
              <w:jc w:val="center"/>
              <w:rPr>
                <w:rFonts w:ascii="宋体" w:hAnsi="宋体" w:cs="宋体"/>
                <w:color w:val="000000"/>
                <w:sz w:val="20"/>
                <w:szCs w:val="20"/>
              </w:rPr>
            </w:pPr>
            <w:r>
              <w:rPr>
                <w:rFonts w:hint="eastAsia" w:ascii="宋体" w:hAnsi="宋体" w:cs="宋体"/>
                <w:color w:val="000000"/>
                <w:kern w:val="0"/>
                <w:sz w:val="24"/>
              </w:rPr>
              <w:t>方便群众，保证各项工作快捷有序运行</w:t>
            </w:r>
          </w:p>
        </w:tc>
        <w:tc>
          <w:tcPr>
            <w:tcW w:w="1930" w:type="dxa"/>
            <w:tcBorders>
              <w:top w:val="nil"/>
              <w:left w:val="nil"/>
              <w:bottom w:val="single" w:color="auto" w:sz="8" w:space="0"/>
              <w:right w:val="single" w:color="auto" w:sz="8" w:space="0"/>
            </w:tcBorders>
            <w:shd w:val="clear" w:color="000000" w:fill="FFFFFF"/>
            <w:noWrap w:val="0"/>
            <w:vAlign w:val="center"/>
          </w:tcPr>
          <w:p>
            <w:pPr>
              <w:widowControl/>
              <w:jc w:val="center"/>
              <w:rPr>
                <w:rFonts w:ascii="宋体" w:hAnsi="宋体" w:cs="宋体"/>
                <w:color w:val="000000"/>
                <w:sz w:val="20"/>
                <w:szCs w:val="20"/>
              </w:rPr>
            </w:pPr>
            <w:r>
              <w:rPr>
                <w:rFonts w:hint="eastAsia" w:ascii="宋体" w:hAnsi="宋体" w:cs="宋体"/>
                <w:color w:val="000000"/>
                <w:kern w:val="0"/>
                <w:sz w:val="24"/>
              </w:rPr>
              <w:t>方便群众，实现了各项工作快捷有序运行</w:t>
            </w:r>
          </w:p>
        </w:tc>
      </w:tr>
    </w:tbl>
    <w:tbl>
      <w:tblPr>
        <w:tblStyle w:val="14"/>
        <w:tblpPr w:leftFromText="180" w:rightFromText="180" w:vertAnchor="text" w:horzAnchor="page" w:tblpX="1281" w:tblpY="660"/>
        <w:tblOverlap w:val="never"/>
        <w:tblW w:w="968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977"/>
        <w:gridCol w:w="1142"/>
        <w:gridCol w:w="1635"/>
        <w:gridCol w:w="1189"/>
        <w:gridCol w:w="1628"/>
        <w:gridCol w:w="211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9683" w:type="dxa"/>
            <w:gridSpan w:val="6"/>
            <w:tcBorders>
              <w:top w:val="nil"/>
              <w:left w:val="nil"/>
              <w:bottom w:val="nil"/>
              <w:right w:val="nil"/>
            </w:tcBorders>
            <w:shd w:val="clear" w:color="auto" w:fill="auto"/>
            <w:vAlign w:val="center"/>
          </w:tcPr>
          <w:p>
            <w:pPr>
              <w:keepNext w:val="0"/>
              <w:keepLines w:val="0"/>
              <w:widowControl/>
              <w:suppressLineNumbers w:val="0"/>
              <w:spacing w:beforeAutospacing="0"/>
              <w:jc w:val="center"/>
              <w:textAlignment w:val="center"/>
              <w:rPr>
                <w:rFonts w:hint="eastAsia" w:ascii="宋体" w:hAnsi="宋体" w:eastAsia="宋体" w:cs="宋体"/>
                <w:b/>
                <w:i w:val="0"/>
                <w:color w:val="auto"/>
                <w:sz w:val="32"/>
                <w:szCs w:val="32"/>
                <w:u w:val="none"/>
              </w:rPr>
            </w:pPr>
            <w:r>
              <w:rPr>
                <w:rFonts w:hint="eastAsia" w:ascii="宋体" w:hAnsi="宋体" w:eastAsia="宋体" w:cs="宋体"/>
                <w:b/>
                <w:i w:val="0"/>
                <w:color w:val="auto"/>
                <w:sz w:val="32"/>
                <w:szCs w:val="32"/>
                <w:highlight w:val="none"/>
                <w:u w:val="none"/>
                <w:lang w:val="en-US" w:eastAsia="zh-CN"/>
              </w:rPr>
              <w:t>2021年广元市抗击新冠肺炎先进个人奖励项目绩效目标自评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4" w:hRule="atLeast"/>
        </w:trPr>
        <w:tc>
          <w:tcPr>
            <w:tcW w:w="3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主管部门及代码</w:t>
            </w:r>
          </w:p>
        </w:tc>
        <w:tc>
          <w:tcPr>
            <w:tcW w:w="28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default" w:ascii="宋体" w:hAnsi="宋体" w:eastAsia="宋体" w:cs="宋体"/>
                <w:i w:val="0"/>
                <w:color w:val="auto"/>
                <w:kern w:val="2"/>
                <w:sz w:val="24"/>
                <w:szCs w:val="24"/>
                <w:highlight w:val="none"/>
                <w:u w:val="none"/>
                <w:lang w:val="en-US" w:eastAsia="zh-CN" w:bidi="ar-SA"/>
              </w:rPr>
            </w:pPr>
            <w:r>
              <w:rPr>
                <w:rFonts w:hint="eastAsia" w:ascii="宋体" w:hAnsi="宋体" w:cs="宋体"/>
                <w:sz w:val="24"/>
                <w:lang w:val="en-US" w:eastAsia="zh-CN"/>
              </w:rPr>
              <w:t>303</w:t>
            </w:r>
            <w:r>
              <w:rPr>
                <w:rFonts w:hint="eastAsia" w:ascii="宋体" w:hAnsi="宋体" w:cs="宋体"/>
                <w:sz w:val="24"/>
                <w:lang w:eastAsia="zh-CN"/>
              </w:rPr>
              <w:t>旺苍县人力资源和社会保障局</w:t>
            </w:r>
          </w:p>
        </w:tc>
        <w:tc>
          <w:tcPr>
            <w:tcW w:w="1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实施单位</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cs="宋体"/>
                <w:sz w:val="24"/>
                <w:lang w:eastAsia="zh-CN"/>
              </w:rPr>
              <w:t>旺苍县人力资源和社会保障局机关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1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项目预算</w:t>
            </w:r>
            <w:r>
              <w:rPr>
                <w:rFonts w:hint="eastAsia" w:ascii="宋体" w:hAnsi="宋体" w:eastAsia="宋体" w:cs="宋体"/>
                <w:i w:val="0"/>
                <w:color w:val="auto"/>
                <w:kern w:val="0"/>
                <w:sz w:val="24"/>
                <w:szCs w:val="24"/>
                <w:u w:val="none"/>
                <w:lang w:val="en-US" w:eastAsia="zh-CN" w:bidi="ar"/>
              </w:rPr>
              <w:br w:type="textWrapping"/>
            </w:r>
            <w:r>
              <w:rPr>
                <w:rFonts w:hint="eastAsia" w:ascii="宋体" w:hAnsi="宋体" w:eastAsia="宋体" w:cs="宋体"/>
                <w:i w:val="0"/>
                <w:color w:val="auto"/>
                <w:kern w:val="0"/>
                <w:sz w:val="24"/>
                <w:szCs w:val="24"/>
                <w:u w:val="none"/>
                <w:lang w:val="en-US" w:eastAsia="zh-CN" w:bidi="ar"/>
              </w:rPr>
              <w:t>执行情况</w:t>
            </w:r>
            <w:r>
              <w:rPr>
                <w:rFonts w:hint="eastAsia" w:ascii="宋体" w:hAnsi="宋体" w:eastAsia="宋体" w:cs="宋体"/>
                <w:i w:val="0"/>
                <w:color w:val="auto"/>
                <w:kern w:val="0"/>
                <w:sz w:val="24"/>
                <w:szCs w:val="24"/>
                <w:u w:val="none"/>
                <w:lang w:val="en-US" w:eastAsia="zh-CN" w:bidi="ar"/>
              </w:rPr>
              <w:br w:type="textWrapping"/>
            </w:r>
            <w:r>
              <w:rPr>
                <w:rFonts w:hint="eastAsia" w:ascii="宋体" w:hAnsi="宋体" w:eastAsia="宋体" w:cs="宋体"/>
                <w:i w:val="0"/>
                <w:color w:val="auto"/>
                <w:kern w:val="0"/>
                <w:sz w:val="24"/>
                <w:szCs w:val="24"/>
                <w:u w:val="none"/>
                <w:lang w:val="en-US" w:eastAsia="zh-CN" w:bidi="ar"/>
              </w:rPr>
              <w:t>（万元）</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 xml:space="preserve"> 预算数：</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default" w:ascii="宋体" w:hAnsi="宋体" w:eastAsia="宋体" w:cs="宋体"/>
                <w:i w:val="0"/>
                <w:color w:val="auto"/>
                <w:sz w:val="24"/>
                <w:szCs w:val="24"/>
                <w:u w:val="none"/>
                <w:lang w:val="en-US" w:eastAsia="zh-CN"/>
              </w:rPr>
            </w:pPr>
            <w:r>
              <w:rPr>
                <w:rFonts w:hint="eastAsia" w:ascii="宋体" w:hAnsi="宋体" w:cs="宋体"/>
                <w:i w:val="0"/>
                <w:color w:val="auto"/>
                <w:sz w:val="24"/>
                <w:szCs w:val="24"/>
                <w:u w:val="none"/>
                <w:lang w:val="en-US" w:eastAsia="zh-CN"/>
              </w:rPr>
              <w:t>5.5</w:t>
            </w:r>
          </w:p>
        </w:tc>
        <w:tc>
          <w:tcPr>
            <w:tcW w:w="1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 xml:space="preserve"> 执行数：</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u w:val="none"/>
                <w:lang w:val="en-US" w:eastAsia="zh-CN"/>
              </w:rPr>
            </w:pPr>
            <w:r>
              <w:rPr>
                <w:rFonts w:hint="eastAsia" w:ascii="宋体" w:hAnsi="宋体" w:cs="宋体"/>
                <w:i w:val="0"/>
                <w:color w:val="auto"/>
                <w:sz w:val="24"/>
                <w:szCs w:val="24"/>
                <w:u w:val="none"/>
                <w:lang w:val="en-US" w:eastAsia="zh-CN"/>
              </w:rPr>
              <w:t>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6" w:hRule="atLeast"/>
        </w:trPr>
        <w:tc>
          <w:tcPr>
            <w:tcW w:w="3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u w:val="none"/>
                <w:lang w:val="en-US" w:eastAsia="zh-CN" w:bidi="ar"/>
              </w:rPr>
            </w:pPr>
            <w:r>
              <w:rPr>
                <w:rFonts w:hint="eastAsia" w:ascii="宋体" w:hAnsi="宋体" w:eastAsia="宋体" w:cs="宋体"/>
                <w:i w:val="0"/>
                <w:color w:val="auto"/>
                <w:kern w:val="0"/>
                <w:sz w:val="24"/>
                <w:szCs w:val="24"/>
                <w:u w:val="none"/>
                <w:lang w:val="en-US" w:eastAsia="zh-CN" w:bidi="ar"/>
              </w:rPr>
              <w:t>其中：</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财政拨款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default" w:ascii="宋体" w:hAnsi="宋体" w:eastAsia="宋体" w:cs="宋体"/>
                <w:i w:val="0"/>
                <w:color w:val="auto"/>
                <w:sz w:val="24"/>
                <w:szCs w:val="24"/>
                <w:u w:val="none"/>
                <w:lang w:val="en-US" w:eastAsia="zh-CN"/>
              </w:rPr>
            </w:pPr>
            <w:r>
              <w:rPr>
                <w:rFonts w:hint="eastAsia" w:ascii="宋体" w:hAnsi="宋体" w:cs="宋体"/>
                <w:i w:val="0"/>
                <w:color w:val="auto"/>
                <w:sz w:val="24"/>
                <w:szCs w:val="24"/>
                <w:u w:val="none"/>
                <w:lang w:val="en-US" w:eastAsia="zh-CN"/>
              </w:rPr>
              <w:t>5.5</w:t>
            </w:r>
          </w:p>
        </w:tc>
        <w:tc>
          <w:tcPr>
            <w:tcW w:w="1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u w:val="none"/>
                <w:lang w:val="en-US" w:eastAsia="zh-CN" w:bidi="ar"/>
              </w:rPr>
            </w:pPr>
            <w:r>
              <w:rPr>
                <w:rFonts w:hint="eastAsia" w:ascii="宋体" w:hAnsi="宋体" w:eastAsia="宋体" w:cs="宋体"/>
                <w:i w:val="0"/>
                <w:color w:val="auto"/>
                <w:kern w:val="0"/>
                <w:sz w:val="24"/>
                <w:szCs w:val="24"/>
                <w:u w:val="none"/>
                <w:lang w:val="en-US" w:eastAsia="zh-CN" w:bidi="ar"/>
              </w:rPr>
              <w:t>其中：</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财政拨款</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宋体" w:hAnsi="宋体" w:eastAsia="宋体" w:cs="宋体"/>
                <w:i w:val="0"/>
                <w:color w:val="auto"/>
                <w:sz w:val="24"/>
                <w:szCs w:val="24"/>
                <w:u w:val="none"/>
                <w:lang w:val="en-US" w:eastAsia="zh-CN"/>
              </w:rPr>
            </w:pPr>
            <w:r>
              <w:rPr>
                <w:rFonts w:hint="eastAsia" w:ascii="宋体" w:hAnsi="宋体" w:cs="宋体"/>
                <w:i w:val="0"/>
                <w:color w:val="auto"/>
                <w:sz w:val="24"/>
                <w:szCs w:val="24"/>
                <w:u w:val="none"/>
                <w:lang w:val="en-US" w:eastAsia="zh-CN"/>
              </w:rPr>
              <w:t>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其他资金</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p>
        </w:tc>
        <w:tc>
          <w:tcPr>
            <w:tcW w:w="1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其他资金</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7" w:hRule="atLeast"/>
        </w:trPr>
        <w:tc>
          <w:tcPr>
            <w:tcW w:w="19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u w:val="none"/>
                <w:lang w:val="en-US" w:eastAsia="zh-CN" w:bidi="ar"/>
              </w:rPr>
            </w:pPr>
            <w:r>
              <w:rPr>
                <w:rFonts w:hint="eastAsia" w:ascii="宋体" w:hAnsi="宋体" w:eastAsia="宋体" w:cs="宋体"/>
                <w:i w:val="0"/>
                <w:color w:val="auto"/>
                <w:kern w:val="0"/>
                <w:sz w:val="24"/>
                <w:szCs w:val="24"/>
                <w:u w:val="none"/>
                <w:lang w:val="en-US" w:eastAsia="zh-CN" w:bidi="ar"/>
              </w:rPr>
              <w:t>年度总体目标</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完成情况</w:t>
            </w: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预期目标</w:t>
            </w:r>
          </w:p>
        </w:tc>
        <w:tc>
          <w:tcPr>
            <w:tcW w:w="37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7" w:hRule="atLeast"/>
        </w:trPr>
        <w:tc>
          <w:tcPr>
            <w:tcW w:w="19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u w:val="none"/>
              </w:rPr>
            </w:pP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top"/>
              <w:rPr>
                <w:rFonts w:hint="eastAsia" w:ascii="宋体" w:hAnsi="宋体" w:eastAsia="宋体" w:cs="宋体"/>
                <w:i w:val="0"/>
                <w:color w:val="auto"/>
                <w:sz w:val="24"/>
                <w:szCs w:val="24"/>
                <w:u w:val="none"/>
                <w:lang w:eastAsia="zh-CN"/>
              </w:rPr>
            </w:pPr>
            <w:r>
              <w:rPr>
                <w:rFonts w:hint="eastAsia" w:ascii="宋体" w:hAnsi="宋体" w:eastAsia="宋体" w:cs="宋体"/>
                <w:i w:val="0"/>
                <w:color w:val="auto"/>
                <w:kern w:val="0"/>
                <w:sz w:val="24"/>
                <w:szCs w:val="24"/>
                <w:u w:val="none"/>
                <w:lang w:val="en-US" w:eastAsia="zh-CN" w:bidi="ar"/>
              </w:rPr>
              <w:t>新冠肺炎</w:t>
            </w:r>
            <w:r>
              <w:rPr>
                <w:rFonts w:hint="eastAsia" w:ascii="宋体" w:hAnsi="宋体" w:cs="宋体"/>
                <w:i w:val="0"/>
                <w:color w:val="auto"/>
                <w:kern w:val="0"/>
                <w:sz w:val="24"/>
                <w:szCs w:val="24"/>
                <w:u w:val="none"/>
                <w:lang w:val="en-US" w:eastAsia="zh-CN" w:bidi="ar"/>
              </w:rPr>
              <w:t>疫情是新中国成立以来我遭遇的传播速度最快、感染范围最广、防控难度最大的一次重大突发公共卫生事件，为大力弘扬伟大抗疫精神，表彰抗击新冠肺炎疫情的</w:t>
            </w:r>
            <w:r>
              <w:rPr>
                <w:rFonts w:hint="eastAsia" w:ascii="宋体" w:hAnsi="宋体" w:eastAsia="宋体" w:cs="宋体"/>
                <w:i w:val="0"/>
                <w:color w:val="auto"/>
                <w:kern w:val="0"/>
                <w:sz w:val="24"/>
                <w:szCs w:val="24"/>
                <w:u w:val="none"/>
                <w:lang w:val="en-US" w:eastAsia="zh-CN" w:bidi="ar"/>
              </w:rPr>
              <w:t>先进个人奖励</w:t>
            </w:r>
            <w:r>
              <w:rPr>
                <w:rFonts w:hint="eastAsia" w:ascii="宋体" w:hAnsi="宋体" w:cs="宋体"/>
                <w:i w:val="0"/>
                <w:color w:val="auto"/>
                <w:kern w:val="0"/>
                <w:sz w:val="24"/>
                <w:szCs w:val="24"/>
                <w:u w:val="none"/>
                <w:lang w:val="en-US" w:eastAsia="zh-CN" w:bidi="ar"/>
              </w:rPr>
              <w:t>。</w:t>
            </w:r>
          </w:p>
        </w:tc>
        <w:tc>
          <w:tcPr>
            <w:tcW w:w="3740" w:type="dxa"/>
            <w:gridSpan w:val="2"/>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top"/>
              <w:rPr>
                <w:rFonts w:hint="eastAsia" w:ascii="宋体" w:hAnsi="宋体" w:cs="宋体"/>
                <w:i w:val="0"/>
                <w:color w:val="auto"/>
                <w:kern w:val="0"/>
                <w:sz w:val="24"/>
                <w:szCs w:val="2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top"/>
              <w:rPr>
                <w:rFonts w:hint="eastAsia" w:ascii="宋体" w:hAnsi="宋体" w:eastAsia="宋体" w:cs="宋体"/>
                <w:i w:val="0"/>
                <w:color w:val="auto"/>
                <w:sz w:val="24"/>
                <w:szCs w:val="24"/>
                <w:u w:val="none"/>
              </w:rPr>
            </w:pPr>
            <w:r>
              <w:rPr>
                <w:rFonts w:hint="eastAsia" w:ascii="宋体" w:hAnsi="宋体" w:cs="宋体"/>
                <w:i w:val="0"/>
                <w:color w:val="auto"/>
                <w:kern w:val="0"/>
                <w:sz w:val="24"/>
                <w:szCs w:val="24"/>
                <w:u w:val="none"/>
                <w:lang w:val="en-US" w:eastAsia="zh-CN" w:bidi="ar"/>
              </w:rPr>
              <w:t>为大力弘扬伟大抗疫精神，表彰抗击新冠肺炎疫情的11名</w:t>
            </w:r>
            <w:r>
              <w:rPr>
                <w:rFonts w:hint="eastAsia" w:ascii="宋体" w:hAnsi="宋体" w:eastAsia="宋体" w:cs="宋体"/>
                <w:i w:val="0"/>
                <w:color w:val="auto"/>
                <w:kern w:val="0"/>
                <w:sz w:val="24"/>
                <w:szCs w:val="24"/>
                <w:u w:val="none"/>
                <w:lang w:val="en-US" w:eastAsia="zh-CN" w:bidi="ar"/>
              </w:rPr>
              <w:t>先进个人奖励</w:t>
            </w:r>
            <w:r>
              <w:rPr>
                <w:rFonts w:hint="eastAsia" w:ascii="宋体" w:hAnsi="宋体" w:cs="宋体"/>
                <w:i w:val="0"/>
                <w:color w:val="auto"/>
                <w:kern w:val="0"/>
                <w:sz w:val="24"/>
                <w:szCs w:val="24"/>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1977"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年度绩效指标完成情况</w:t>
            </w:r>
          </w:p>
        </w:tc>
        <w:tc>
          <w:tcPr>
            <w:tcW w:w="1142"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kern w:val="0"/>
                <w:sz w:val="28"/>
                <w:szCs w:val="28"/>
                <w:u w:val="none"/>
                <w:lang w:val="en-US" w:eastAsia="zh-CN" w:bidi="ar"/>
              </w:rPr>
            </w:pPr>
            <w:r>
              <w:rPr>
                <w:rFonts w:hint="eastAsia" w:ascii="仿宋_GB2312" w:hAnsi="仿宋_GB2312" w:eastAsia="仿宋_GB2312" w:cs="仿宋_GB2312"/>
                <w:i w:val="0"/>
                <w:color w:val="auto"/>
                <w:kern w:val="0"/>
                <w:sz w:val="28"/>
                <w:szCs w:val="28"/>
                <w:u w:val="none"/>
                <w:lang w:val="en-US" w:eastAsia="zh-CN" w:bidi="ar"/>
              </w:rPr>
              <w:t>一级</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kern w:val="0"/>
                <w:sz w:val="28"/>
                <w:szCs w:val="28"/>
                <w:u w:val="none"/>
                <w:lang w:val="en-US" w:eastAsia="zh-CN" w:bidi="ar"/>
              </w:rPr>
            </w:pPr>
            <w:r>
              <w:rPr>
                <w:rFonts w:hint="eastAsia" w:ascii="仿宋_GB2312" w:hAnsi="仿宋_GB2312" w:eastAsia="仿宋_GB2312" w:cs="仿宋_GB2312"/>
                <w:i w:val="0"/>
                <w:color w:val="auto"/>
                <w:kern w:val="0"/>
                <w:sz w:val="28"/>
                <w:szCs w:val="28"/>
                <w:u w:val="none"/>
                <w:lang w:val="en-US" w:eastAsia="zh-CN" w:bidi="ar"/>
              </w:rPr>
              <w:t>二级</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kern w:val="0"/>
                <w:sz w:val="28"/>
                <w:szCs w:val="28"/>
                <w:u w:val="none"/>
                <w:lang w:val="en-US" w:eastAsia="zh-CN" w:bidi="ar"/>
              </w:rPr>
            </w:pPr>
            <w:r>
              <w:rPr>
                <w:rFonts w:hint="eastAsia" w:ascii="仿宋_GB2312" w:hAnsi="仿宋_GB2312" w:eastAsia="仿宋_GB2312" w:cs="仿宋_GB2312"/>
                <w:i w:val="0"/>
                <w:color w:val="auto"/>
                <w:kern w:val="0"/>
                <w:sz w:val="28"/>
                <w:szCs w:val="28"/>
                <w:u w:val="none"/>
                <w:lang w:val="en-US" w:eastAsia="zh-CN" w:bidi="ar"/>
              </w:rPr>
              <w:t>三级</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指标</w:t>
            </w:r>
          </w:p>
        </w:tc>
        <w:tc>
          <w:tcPr>
            <w:tcW w:w="16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预期指标值</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实际完成指标值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15"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完成</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color w:val="auto"/>
                <w:kern w:val="0"/>
                <w:sz w:val="24"/>
                <w:szCs w:val="24"/>
                <w:u w:val="none"/>
                <w:lang w:val="en-US" w:eastAsia="zh-CN"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color w:val="auto"/>
                <w:kern w:val="0"/>
                <w:sz w:val="24"/>
                <w:szCs w:val="24"/>
                <w:u w:val="none"/>
                <w:lang w:val="en-US" w:eastAsia="zh-CN" w:bidi="ar"/>
              </w:rPr>
              <w:t>数量指标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lang w:eastAsia="zh-CN"/>
              </w:rPr>
            </w:pPr>
            <w:r>
              <w:rPr>
                <w:rFonts w:hint="eastAsia" w:ascii="仿宋_GB2312" w:hAnsi="仿宋_GB2312" w:eastAsia="仿宋_GB2312" w:cs="仿宋_GB2312"/>
                <w:i w:val="0"/>
                <w:color w:val="auto"/>
                <w:sz w:val="24"/>
                <w:szCs w:val="24"/>
                <w:u w:val="none"/>
                <w:lang w:eastAsia="zh-CN"/>
              </w:rPr>
              <w:t>先进个人</w:t>
            </w:r>
          </w:p>
        </w:tc>
        <w:tc>
          <w:tcPr>
            <w:tcW w:w="16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default" w:ascii="仿宋_GB2312" w:hAnsi="仿宋_GB2312" w:eastAsia="仿宋_GB2312" w:cs="仿宋_GB2312"/>
                <w:i w:val="0"/>
                <w:color w:val="auto"/>
                <w:sz w:val="24"/>
                <w:szCs w:val="24"/>
                <w:u w:val="none"/>
                <w:lang w:val="en-US" w:eastAsia="zh-CN"/>
              </w:rPr>
            </w:pPr>
            <w:r>
              <w:rPr>
                <w:rFonts w:hint="eastAsia" w:ascii="仿宋_GB2312" w:hAnsi="仿宋_GB2312" w:eastAsia="仿宋_GB2312" w:cs="仿宋_GB2312"/>
                <w:i w:val="0"/>
                <w:color w:val="auto"/>
                <w:sz w:val="24"/>
                <w:szCs w:val="24"/>
                <w:u w:val="none"/>
                <w:lang w:val="en-US" w:eastAsia="zh-CN"/>
              </w:rPr>
              <w:t>11人</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default" w:ascii="仿宋_GB2312" w:hAnsi="仿宋_GB2312" w:eastAsia="仿宋_GB2312" w:cs="仿宋_GB2312"/>
                <w:i w:val="0"/>
                <w:color w:val="auto"/>
                <w:sz w:val="24"/>
                <w:szCs w:val="24"/>
                <w:u w:val="none"/>
                <w:lang w:val="en-US" w:eastAsia="zh-CN"/>
              </w:rPr>
            </w:pPr>
            <w:r>
              <w:rPr>
                <w:rFonts w:hint="eastAsia" w:ascii="仿宋_GB2312" w:hAnsi="仿宋_GB2312" w:eastAsia="仿宋_GB2312" w:cs="仿宋_GB2312"/>
                <w:i w:val="0"/>
                <w:color w:val="auto"/>
                <w:sz w:val="24"/>
                <w:szCs w:val="24"/>
                <w:u w:val="none"/>
                <w:lang w:val="en-US" w:eastAsia="zh-CN"/>
              </w:rPr>
              <w:t>11人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4"/>
                <w:szCs w:val="24"/>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color w:val="auto"/>
                <w:kern w:val="0"/>
                <w:sz w:val="24"/>
                <w:szCs w:val="24"/>
                <w:u w:val="none"/>
                <w:lang w:val="en-US" w:eastAsia="zh-CN" w:bidi="ar"/>
              </w:rPr>
              <w:t>质量指标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lang w:eastAsia="zh-CN"/>
              </w:rPr>
            </w:pPr>
            <w:r>
              <w:rPr>
                <w:rFonts w:hint="eastAsia" w:ascii="仿宋_GB2312" w:hAnsi="仿宋_GB2312" w:eastAsia="仿宋_GB2312" w:cs="仿宋_GB2312"/>
                <w:i w:val="0"/>
                <w:color w:val="auto"/>
                <w:sz w:val="24"/>
                <w:szCs w:val="24"/>
                <w:u w:val="none"/>
                <w:lang w:eastAsia="zh-CN"/>
              </w:rPr>
              <w:t>效果服务</w:t>
            </w:r>
          </w:p>
        </w:tc>
        <w:tc>
          <w:tcPr>
            <w:tcW w:w="16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lang w:eastAsia="zh-CN"/>
              </w:rPr>
            </w:pPr>
            <w:r>
              <w:rPr>
                <w:rFonts w:hint="eastAsia" w:ascii="仿宋_GB2312" w:hAnsi="仿宋_GB2312" w:eastAsia="仿宋_GB2312" w:cs="仿宋_GB2312"/>
                <w:i w:val="0"/>
                <w:color w:val="auto"/>
                <w:sz w:val="24"/>
                <w:szCs w:val="24"/>
                <w:u w:val="none"/>
                <w:lang w:eastAsia="zh-CN"/>
              </w:rPr>
              <w:t>充分发挥模范带头作用</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color w:val="auto"/>
                <w:sz w:val="24"/>
                <w:szCs w:val="24"/>
                <w:u w:val="none"/>
                <w:lang w:eastAsia="zh-CN"/>
              </w:rPr>
              <w:t>充分发挥模范带头作用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4"/>
                <w:szCs w:val="24"/>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color w:val="auto"/>
                <w:kern w:val="0"/>
                <w:sz w:val="24"/>
                <w:szCs w:val="24"/>
                <w:u w:val="none"/>
                <w:lang w:val="en-US" w:eastAsia="zh-CN" w:bidi="ar"/>
              </w:rPr>
              <w:t>时效指标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lang w:eastAsia="zh-CN"/>
              </w:rPr>
            </w:pPr>
            <w:r>
              <w:rPr>
                <w:rFonts w:hint="eastAsia" w:ascii="仿宋_GB2312" w:hAnsi="仿宋_GB2312" w:eastAsia="仿宋_GB2312" w:cs="仿宋_GB2312"/>
                <w:i w:val="0"/>
                <w:color w:val="auto"/>
                <w:sz w:val="24"/>
                <w:szCs w:val="24"/>
                <w:u w:val="none"/>
                <w:lang w:eastAsia="zh-CN"/>
              </w:rPr>
              <w:t>完成时间</w:t>
            </w:r>
          </w:p>
        </w:tc>
        <w:tc>
          <w:tcPr>
            <w:tcW w:w="16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lang w:val="en-US" w:eastAsia="zh-CN"/>
              </w:rPr>
            </w:pPr>
            <w:r>
              <w:rPr>
                <w:rFonts w:hint="eastAsia" w:ascii="仿宋_GB2312" w:hAnsi="仿宋_GB2312" w:eastAsia="仿宋_GB2312" w:cs="仿宋_GB2312"/>
                <w:i w:val="0"/>
                <w:color w:val="auto"/>
                <w:sz w:val="24"/>
                <w:szCs w:val="24"/>
                <w:u w:val="none"/>
                <w:lang w:val="en-US" w:eastAsia="zh-CN"/>
              </w:rPr>
              <w:t>5月底前</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color w:val="auto"/>
                <w:sz w:val="24"/>
                <w:szCs w:val="24"/>
                <w:u w:val="none"/>
                <w:lang w:val="en-US" w:eastAsia="zh-CN"/>
              </w:rPr>
              <w:t>5月底前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4"/>
                <w:szCs w:val="24"/>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color w:val="auto"/>
                <w:kern w:val="0"/>
                <w:sz w:val="24"/>
                <w:szCs w:val="24"/>
                <w:u w:val="none"/>
                <w:lang w:val="en-US" w:eastAsia="zh-CN" w:bidi="ar"/>
              </w:rPr>
              <w:t>成本指标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lang w:eastAsia="zh-CN"/>
              </w:rPr>
            </w:pPr>
            <w:r>
              <w:rPr>
                <w:rFonts w:hint="eastAsia" w:ascii="仿宋_GB2312" w:hAnsi="仿宋_GB2312" w:eastAsia="仿宋_GB2312" w:cs="仿宋_GB2312"/>
                <w:i w:val="0"/>
                <w:color w:val="auto"/>
                <w:sz w:val="24"/>
                <w:szCs w:val="24"/>
                <w:u w:val="none"/>
                <w:lang w:eastAsia="zh-CN"/>
              </w:rPr>
              <w:t>奖金</w:t>
            </w:r>
          </w:p>
        </w:tc>
        <w:tc>
          <w:tcPr>
            <w:tcW w:w="16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default" w:ascii="仿宋_GB2312" w:hAnsi="仿宋_GB2312" w:eastAsia="仿宋_GB2312" w:cs="仿宋_GB2312"/>
                <w:i w:val="0"/>
                <w:color w:val="auto"/>
                <w:sz w:val="24"/>
                <w:szCs w:val="24"/>
                <w:u w:val="none"/>
                <w:lang w:val="en-US" w:eastAsia="zh-CN"/>
              </w:rPr>
            </w:pPr>
            <w:r>
              <w:rPr>
                <w:rFonts w:hint="eastAsia" w:ascii="仿宋_GB2312" w:hAnsi="仿宋_GB2312" w:eastAsia="仿宋_GB2312" w:cs="仿宋_GB2312"/>
                <w:i w:val="0"/>
                <w:color w:val="auto"/>
                <w:sz w:val="24"/>
                <w:szCs w:val="24"/>
                <w:u w:val="none"/>
                <w:lang w:val="en-US" w:eastAsia="zh-CN"/>
              </w:rPr>
              <w:t>5000元/人</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rPr>
            </w:pPr>
            <w:r>
              <w:rPr>
                <w:rFonts w:hint="eastAsia" w:ascii="仿宋_GB2312" w:hAnsi="仿宋_GB2312" w:eastAsia="仿宋_GB2312" w:cs="仿宋_GB2312"/>
                <w:i w:val="0"/>
                <w:color w:val="auto"/>
                <w:sz w:val="24"/>
                <w:szCs w:val="24"/>
                <w:u w:val="none"/>
                <w:lang w:val="en-US" w:eastAsia="zh-CN"/>
              </w:rPr>
              <w:t>5000元/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90"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效益</w:t>
            </w:r>
            <w:r>
              <w:rPr>
                <w:rFonts w:hint="eastAsia" w:ascii="仿宋_GB2312" w:hAnsi="仿宋_GB2312" w:eastAsia="仿宋_GB2312" w:cs="仿宋_GB2312"/>
                <w:i w:val="0"/>
                <w:color w:val="auto"/>
                <w:kern w:val="0"/>
                <w:sz w:val="24"/>
                <w:szCs w:val="24"/>
                <w:u w:val="none"/>
                <w:lang w:val="en-US" w:eastAsia="zh-CN" w:bidi="ar"/>
              </w:rPr>
              <w:br w:type="textWrapping"/>
            </w:r>
            <w:r>
              <w:rPr>
                <w:rFonts w:hint="eastAsia" w:ascii="仿宋_GB2312" w:hAnsi="仿宋_GB2312" w:eastAsia="仿宋_GB2312" w:cs="仿宋_GB2312"/>
                <w:i w:val="0"/>
                <w:color w:val="auto"/>
                <w:kern w:val="0"/>
                <w:sz w:val="24"/>
                <w:szCs w:val="24"/>
                <w:u w:val="none"/>
                <w:lang w:val="en-US" w:eastAsia="zh-CN" w:bidi="ar"/>
              </w:rPr>
              <w:t>指标</w:t>
            </w:r>
          </w:p>
        </w:tc>
        <w:tc>
          <w:tcPr>
            <w:tcW w:w="1635" w:type="dxa"/>
            <w:tcBorders>
              <w:top w:val="single" w:color="000000" w:sz="4" w:space="0"/>
              <w:left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社会效益  指标</w:t>
            </w:r>
          </w:p>
        </w:tc>
        <w:tc>
          <w:tcPr>
            <w:tcW w:w="1189" w:type="dxa"/>
            <w:tcBorders>
              <w:top w:val="single" w:color="000000" w:sz="4" w:space="0"/>
              <w:left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bottom"/>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 xml:space="preserve">社会效益  </w:t>
            </w:r>
          </w:p>
        </w:tc>
        <w:tc>
          <w:tcPr>
            <w:tcW w:w="1628" w:type="dxa"/>
            <w:tcBorders>
              <w:top w:val="single" w:color="000000" w:sz="4" w:space="0"/>
              <w:left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为全市经济社会高质量发展作出新的更大贡献</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4"/>
                <w:szCs w:val="24"/>
                <w:u w:val="none"/>
                <w:lang w:val="en-US" w:eastAsia="zh-CN" w:bidi="ar"/>
              </w:rPr>
              <w:t>为全市经济社会高质量发展作出新的更大贡献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0"/>
                <w:sz w:val="24"/>
                <w:szCs w:val="24"/>
                <w:u w:val="none"/>
                <w:lang w:val="en-US" w:eastAsia="zh-CN" w:bidi="ar"/>
              </w:rPr>
            </w:pPr>
          </w:p>
        </w:tc>
        <w:tc>
          <w:tcPr>
            <w:tcW w:w="1635" w:type="dxa"/>
            <w:tcBorders>
              <w:top w:val="single" w:color="000000" w:sz="4" w:space="0"/>
              <w:left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可持续影响 指标</w:t>
            </w:r>
          </w:p>
        </w:tc>
        <w:tc>
          <w:tcPr>
            <w:tcW w:w="1189" w:type="dxa"/>
            <w:tcBorders>
              <w:top w:val="single" w:color="000000" w:sz="4" w:space="0"/>
              <w:left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 xml:space="preserve">可持续影响 </w:t>
            </w:r>
          </w:p>
        </w:tc>
        <w:tc>
          <w:tcPr>
            <w:tcW w:w="1628" w:type="dxa"/>
            <w:tcBorders>
              <w:top w:val="single" w:color="000000" w:sz="4" w:space="0"/>
              <w:left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sz w:val="24"/>
                <w:szCs w:val="24"/>
                <w:u w:val="none"/>
                <w:lang w:eastAsia="zh-CN"/>
              </w:rPr>
              <w:t>充分发挥模范带头作用</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sz w:val="24"/>
                <w:szCs w:val="24"/>
                <w:u w:val="none"/>
                <w:lang w:eastAsia="zh-CN"/>
              </w:rPr>
              <w:t>充分发挥模范带头作用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977"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满意</w:t>
            </w:r>
            <w:r>
              <w:rPr>
                <w:rFonts w:hint="eastAsia" w:ascii="仿宋_GB2312" w:hAnsi="仿宋_GB2312" w:eastAsia="仿宋_GB2312" w:cs="仿宋_GB2312"/>
                <w:i w:val="0"/>
                <w:color w:val="auto"/>
                <w:kern w:val="0"/>
                <w:sz w:val="28"/>
                <w:szCs w:val="28"/>
                <w:u w:val="none"/>
                <w:lang w:val="en-US" w:eastAsia="zh-CN" w:bidi="ar"/>
              </w:rPr>
              <w:br w:type="textWrapping"/>
            </w:r>
            <w:r>
              <w:rPr>
                <w:rFonts w:hint="eastAsia" w:ascii="仿宋_GB2312" w:hAnsi="仿宋_GB2312" w:eastAsia="仿宋_GB2312" w:cs="仿宋_GB2312"/>
                <w:i w:val="0"/>
                <w:color w:val="auto"/>
                <w:kern w:val="0"/>
                <w:sz w:val="28"/>
                <w:szCs w:val="28"/>
                <w:u w:val="none"/>
                <w:lang w:val="en-US" w:eastAsia="zh-CN" w:bidi="ar"/>
              </w:rPr>
              <w:t>度指标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lang w:val="en-US" w:eastAsia="zh-CN"/>
              </w:rPr>
            </w:pPr>
            <w:r>
              <w:rPr>
                <w:rFonts w:hint="eastAsia" w:ascii="仿宋_GB2312" w:hAnsi="仿宋_GB2312" w:eastAsia="仿宋_GB2312" w:cs="仿宋_GB2312"/>
                <w:i w:val="0"/>
                <w:color w:val="auto"/>
                <w:sz w:val="24"/>
                <w:szCs w:val="24"/>
                <w:u w:val="none"/>
                <w:lang w:val="en-US" w:eastAsia="zh-CN"/>
              </w:rPr>
              <w:t>满意度</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lang w:eastAsia="zh-CN"/>
              </w:rPr>
            </w:pPr>
            <w:r>
              <w:rPr>
                <w:rFonts w:hint="eastAsia" w:ascii="仿宋_GB2312" w:hAnsi="仿宋_GB2312" w:eastAsia="仿宋_GB2312" w:cs="仿宋_GB2312"/>
                <w:i w:val="0"/>
                <w:color w:val="auto"/>
                <w:sz w:val="24"/>
                <w:szCs w:val="24"/>
                <w:u w:val="none"/>
                <w:lang w:val="en-US" w:eastAsia="zh-CN"/>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4"/>
                <w:szCs w:val="24"/>
                <w:u w:val="none"/>
                <w:lang w:eastAsia="zh-CN"/>
              </w:rPr>
            </w:pPr>
            <w:r>
              <w:rPr>
                <w:rFonts w:hint="eastAsia" w:ascii="仿宋_GB2312" w:hAnsi="仿宋_GB2312" w:eastAsia="仿宋_GB2312" w:cs="仿宋_GB2312"/>
                <w:i w:val="0"/>
                <w:color w:val="auto"/>
                <w:sz w:val="24"/>
                <w:szCs w:val="24"/>
                <w:u w:val="none"/>
                <w:lang w:eastAsia="zh-CN"/>
              </w:rPr>
              <w:t>社会公众满意度</w:t>
            </w:r>
          </w:p>
        </w:tc>
        <w:tc>
          <w:tcPr>
            <w:tcW w:w="1628"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default" w:ascii="仿宋_GB2312" w:hAnsi="仿宋_GB2312" w:eastAsia="仿宋_GB2312" w:cs="仿宋_GB2312"/>
                <w:i w:val="0"/>
                <w:color w:val="auto"/>
                <w:sz w:val="24"/>
                <w:szCs w:val="24"/>
                <w:u w:val="none"/>
                <w:lang w:val="en-US" w:eastAsia="zh-CN"/>
              </w:rPr>
            </w:pPr>
            <w:r>
              <w:rPr>
                <w:rFonts w:hint="eastAsia" w:ascii="仿宋_GB2312" w:hAnsi="仿宋_GB2312" w:eastAsia="仿宋_GB2312" w:cs="仿宋_GB2312"/>
                <w:i w:val="0"/>
                <w:color w:val="auto"/>
                <w:sz w:val="24"/>
                <w:szCs w:val="24"/>
                <w:u w:val="none"/>
                <w:lang w:val="en-US" w:eastAsia="zh-CN"/>
              </w:rPr>
              <w:t>≥98%</w:t>
            </w:r>
          </w:p>
        </w:tc>
        <w:tc>
          <w:tcPr>
            <w:tcW w:w="211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宋体" w:hAnsi="宋体" w:eastAsia="宋体" w:cs="宋体"/>
                <w:i w:val="0"/>
                <w:iCs w:val="0"/>
                <w:color w:val="000000"/>
                <w:kern w:val="0"/>
                <w:sz w:val="22"/>
                <w:szCs w:val="22"/>
                <w:u w:val="none"/>
                <w:lang w:val="en-US" w:eastAsia="zh-CN" w:bidi="ar"/>
              </w:rPr>
              <w:t>≥98%</w:t>
            </w:r>
          </w:p>
        </w:tc>
      </w:tr>
    </w:tbl>
    <w:p>
      <w:pPr>
        <w:pStyle w:val="6"/>
        <w:rPr>
          <w:rFonts w:hint="default" w:eastAsia="仿宋_GB2312"/>
          <w:lang w:val="en-US" w:eastAsia="zh-CN"/>
        </w:rPr>
      </w:pPr>
      <w:r>
        <w:rPr>
          <w:rFonts w:hint="eastAsia"/>
          <w:lang w:eastAsia="zh-CN"/>
        </w:rPr>
        <w:t>附件</w:t>
      </w:r>
      <w:r>
        <w:rPr>
          <w:rFonts w:hint="eastAsia"/>
          <w:lang w:val="en-US" w:eastAsia="zh-CN"/>
        </w:rPr>
        <w:t>5</w:t>
      </w:r>
    </w:p>
    <w:p>
      <w:pPr>
        <w:pStyle w:val="6"/>
        <w:rPr>
          <w:rFonts w:hint="eastAsia"/>
        </w:rPr>
      </w:pPr>
    </w:p>
    <w:p>
      <w:pPr>
        <w:pStyle w:val="6"/>
        <w:rPr>
          <w:rFonts w:hint="eastAsia"/>
        </w:rPr>
      </w:pPr>
    </w:p>
    <w:p>
      <w:pPr>
        <w:pStyle w:val="6"/>
        <w:rPr>
          <w:rFonts w:hint="eastAsia"/>
        </w:rPr>
      </w:pPr>
    </w:p>
    <w:p>
      <w:pPr>
        <w:spacing w:line="600" w:lineRule="exact"/>
        <w:jc w:val="both"/>
        <w:outlineLvl w:val="0"/>
        <w:rPr>
          <w:rFonts w:hint="eastAsia" w:ascii="黑体" w:hAnsi="黑体" w:eastAsia="黑体"/>
          <w:sz w:val="44"/>
          <w:szCs w:val="44"/>
        </w:rPr>
      </w:pPr>
    </w:p>
    <w:p>
      <w:pPr>
        <w:spacing w:line="600" w:lineRule="exact"/>
        <w:ind w:firstLine="2640" w:firstLineChars="600"/>
        <w:jc w:val="both"/>
        <w:outlineLvl w:val="0"/>
        <w:rPr>
          <w:rFonts w:ascii="仿宋" w:hAnsi="仿宋" w:eastAsia="仿宋"/>
        </w:rPr>
      </w:pPr>
      <w:bookmarkStart w:id="75" w:name="_Toc9329"/>
      <w:r>
        <w:rPr>
          <w:rFonts w:hint="eastAsia" w:ascii="黑体" w:hAnsi="黑体" w:eastAsia="黑体"/>
          <w:sz w:val="44"/>
          <w:szCs w:val="44"/>
        </w:rPr>
        <w:t>第</w:t>
      </w:r>
      <w:r>
        <w:rPr>
          <w:rStyle w:val="26"/>
          <w:rFonts w:hint="eastAsia" w:ascii="黑体" w:hAnsi="黑体" w:eastAsia="黑体"/>
          <w:b w:val="0"/>
        </w:rPr>
        <w:t>五部分 附表</w:t>
      </w:r>
      <w:bookmarkEnd w:id="67"/>
      <w:bookmarkEnd w:id="71"/>
      <w:bookmarkEnd w:id="75"/>
      <w:bookmarkStart w:id="76" w:name="_Toc15396619"/>
    </w:p>
    <w:p>
      <w:pPr>
        <w:pStyle w:val="4"/>
        <w:rPr>
          <w:rFonts w:ascii="仿宋" w:hAnsi="仿宋" w:eastAsia="仿宋"/>
        </w:rPr>
      </w:pPr>
      <w:bookmarkStart w:id="77" w:name="_Toc23984"/>
      <w:r>
        <w:rPr>
          <w:rFonts w:hint="eastAsia" w:ascii="仿宋" w:hAnsi="仿宋" w:eastAsia="仿宋"/>
          <w:b w:val="0"/>
        </w:rPr>
        <w:t>一、收</w:t>
      </w:r>
      <w:r>
        <w:rPr>
          <w:rStyle w:val="27"/>
          <w:rFonts w:hint="eastAsia" w:ascii="仿宋" w:hAnsi="仿宋" w:eastAsia="仿宋"/>
          <w:b w:val="0"/>
          <w:bCs w:val="0"/>
        </w:rPr>
        <w:t>入支出决算总表</w:t>
      </w:r>
      <w:bookmarkEnd w:id="76"/>
      <w:bookmarkEnd w:id="77"/>
    </w:p>
    <w:p>
      <w:pPr>
        <w:pStyle w:val="4"/>
        <w:rPr>
          <w:rFonts w:ascii="仿宋" w:hAnsi="仿宋" w:eastAsia="仿宋"/>
        </w:rPr>
      </w:pPr>
      <w:bookmarkStart w:id="78" w:name="_Toc15396620"/>
      <w:bookmarkStart w:id="79" w:name="_Toc30171"/>
      <w:r>
        <w:rPr>
          <w:rFonts w:hint="eastAsia" w:ascii="仿宋" w:hAnsi="仿宋" w:eastAsia="仿宋"/>
          <w:b w:val="0"/>
        </w:rPr>
        <w:t>二、收</w:t>
      </w:r>
      <w:r>
        <w:rPr>
          <w:rStyle w:val="27"/>
          <w:rFonts w:hint="eastAsia" w:ascii="仿宋" w:hAnsi="仿宋" w:eastAsia="仿宋"/>
          <w:b w:val="0"/>
          <w:bCs w:val="0"/>
        </w:rPr>
        <w:t>入决算表</w:t>
      </w:r>
      <w:bookmarkEnd w:id="78"/>
      <w:bookmarkEnd w:id="79"/>
    </w:p>
    <w:p>
      <w:pPr>
        <w:pStyle w:val="4"/>
        <w:rPr>
          <w:rFonts w:ascii="仿宋" w:hAnsi="仿宋" w:eastAsia="仿宋"/>
        </w:rPr>
      </w:pPr>
      <w:bookmarkStart w:id="80" w:name="_Toc15396621"/>
      <w:bookmarkStart w:id="81" w:name="_Toc18454"/>
      <w:r>
        <w:rPr>
          <w:rStyle w:val="27"/>
          <w:rFonts w:hint="eastAsia" w:ascii="仿宋" w:hAnsi="仿宋" w:eastAsia="仿宋"/>
          <w:b w:val="0"/>
          <w:bCs w:val="0"/>
        </w:rPr>
        <w:t>三、</w:t>
      </w:r>
      <w:r>
        <w:rPr>
          <w:rFonts w:hint="eastAsia" w:ascii="仿宋" w:hAnsi="仿宋" w:eastAsia="仿宋"/>
          <w:b w:val="0"/>
        </w:rPr>
        <w:t>支</w:t>
      </w:r>
      <w:r>
        <w:rPr>
          <w:rStyle w:val="27"/>
          <w:rFonts w:hint="eastAsia" w:ascii="仿宋" w:hAnsi="仿宋" w:eastAsia="仿宋"/>
          <w:b w:val="0"/>
          <w:bCs w:val="0"/>
        </w:rPr>
        <w:t>出决算表</w:t>
      </w:r>
      <w:bookmarkEnd w:id="80"/>
      <w:bookmarkEnd w:id="81"/>
    </w:p>
    <w:p>
      <w:pPr>
        <w:pStyle w:val="4"/>
        <w:rPr>
          <w:rFonts w:ascii="仿宋" w:hAnsi="仿宋" w:eastAsia="仿宋"/>
          <w:b w:val="0"/>
        </w:rPr>
      </w:pPr>
      <w:bookmarkStart w:id="82" w:name="_Toc3554"/>
      <w:bookmarkStart w:id="83" w:name="_Toc15396622"/>
      <w:r>
        <w:rPr>
          <w:rStyle w:val="27"/>
          <w:rFonts w:hint="eastAsia" w:ascii="仿宋" w:hAnsi="仿宋" w:eastAsia="仿宋"/>
          <w:b w:val="0"/>
          <w:bCs w:val="0"/>
        </w:rPr>
        <w:t>四、</w:t>
      </w:r>
      <w:r>
        <w:rPr>
          <w:rFonts w:hint="eastAsia" w:ascii="仿宋" w:hAnsi="仿宋" w:eastAsia="仿宋"/>
          <w:b w:val="0"/>
        </w:rPr>
        <w:t>财</w:t>
      </w:r>
      <w:r>
        <w:rPr>
          <w:rStyle w:val="27"/>
          <w:rFonts w:hint="eastAsia" w:ascii="仿宋" w:hAnsi="仿宋" w:eastAsia="仿宋"/>
          <w:b w:val="0"/>
          <w:bCs w:val="0"/>
        </w:rPr>
        <w:t>政拨款收入支出决算总表</w:t>
      </w:r>
      <w:bookmarkEnd w:id="82"/>
      <w:bookmarkEnd w:id="83"/>
    </w:p>
    <w:p>
      <w:pPr>
        <w:pStyle w:val="4"/>
        <w:rPr>
          <w:rStyle w:val="27"/>
          <w:rFonts w:ascii="仿宋" w:hAnsi="仿宋" w:eastAsia="仿宋"/>
          <w:b w:val="0"/>
          <w:bCs w:val="0"/>
        </w:rPr>
      </w:pPr>
      <w:bookmarkStart w:id="84" w:name="_Toc8436"/>
      <w:bookmarkStart w:id="85" w:name="_Toc15396623"/>
      <w:r>
        <w:rPr>
          <w:rStyle w:val="27"/>
          <w:rFonts w:hint="eastAsia" w:ascii="仿宋" w:hAnsi="仿宋" w:eastAsia="仿宋"/>
          <w:b w:val="0"/>
          <w:bCs w:val="0"/>
        </w:rPr>
        <w:t>五、</w:t>
      </w:r>
      <w:r>
        <w:rPr>
          <w:rFonts w:hint="eastAsia" w:ascii="仿宋" w:hAnsi="仿宋" w:eastAsia="仿宋"/>
          <w:b w:val="0"/>
        </w:rPr>
        <w:t>财</w:t>
      </w:r>
      <w:r>
        <w:rPr>
          <w:rStyle w:val="27"/>
          <w:rFonts w:hint="eastAsia" w:ascii="仿宋" w:hAnsi="仿宋" w:eastAsia="仿宋"/>
          <w:b w:val="0"/>
          <w:bCs w:val="0"/>
        </w:rPr>
        <w:t>政拨款支出决算明细表</w:t>
      </w:r>
      <w:bookmarkEnd w:id="84"/>
      <w:bookmarkEnd w:id="85"/>
      <w:bookmarkStart w:id="86" w:name="_Toc15396624"/>
    </w:p>
    <w:p>
      <w:pPr>
        <w:pStyle w:val="4"/>
        <w:rPr>
          <w:rFonts w:ascii="仿宋" w:hAnsi="仿宋" w:eastAsia="仿宋"/>
        </w:rPr>
      </w:pPr>
      <w:bookmarkStart w:id="87" w:name="_Toc11402"/>
      <w:r>
        <w:rPr>
          <w:rStyle w:val="27"/>
          <w:rFonts w:hint="eastAsia" w:ascii="仿宋" w:hAnsi="仿宋" w:eastAsia="仿宋"/>
          <w:b w:val="0"/>
          <w:bCs w:val="0"/>
        </w:rPr>
        <w:t>六、</w:t>
      </w:r>
      <w:r>
        <w:rPr>
          <w:rFonts w:hint="eastAsia" w:ascii="仿宋" w:hAnsi="仿宋" w:eastAsia="仿宋"/>
          <w:b w:val="0"/>
        </w:rPr>
        <w:t>一</w:t>
      </w:r>
      <w:r>
        <w:rPr>
          <w:rStyle w:val="27"/>
          <w:rFonts w:hint="eastAsia" w:ascii="仿宋" w:hAnsi="仿宋" w:eastAsia="仿宋"/>
          <w:b w:val="0"/>
          <w:bCs w:val="0"/>
        </w:rPr>
        <w:t>般公共预算财政拨款支出决算表</w:t>
      </w:r>
      <w:bookmarkEnd w:id="86"/>
      <w:bookmarkEnd w:id="87"/>
    </w:p>
    <w:p>
      <w:pPr>
        <w:pStyle w:val="4"/>
        <w:rPr>
          <w:rFonts w:ascii="仿宋" w:hAnsi="仿宋" w:eastAsia="仿宋"/>
        </w:rPr>
      </w:pPr>
      <w:bookmarkStart w:id="88" w:name="_Toc15396625"/>
      <w:bookmarkStart w:id="89" w:name="_Toc9431"/>
      <w:r>
        <w:rPr>
          <w:rStyle w:val="27"/>
          <w:rFonts w:hint="eastAsia" w:ascii="仿宋" w:hAnsi="仿宋" w:eastAsia="仿宋"/>
          <w:b w:val="0"/>
          <w:bCs w:val="0"/>
        </w:rPr>
        <w:t>七、</w:t>
      </w:r>
      <w:r>
        <w:rPr>
          <w:rFonts w:hint="eastAsia" w:ascii="仿宋" w:hAnsi="仿宋" w:eastAsia="仿宋"/>
          <w:b w:val="0"/>
        </w:rPr>
        <w:t>一</w:t>
      </w:r>
      <w:r>
        <w:rPr>
          <w:rStyle w:val="27"/>
          <w:rFonts w:hint="eastAsia" w:ascii="仿宋" w:hAnsi="仿宋" w:eastAsia="仿宋"/>
          <w:b w:val="0"/>
          <w:bCs w:val="0"/>
        </w:rPr>
        <w:t>般公共预算财政拨款支出决算明细表</w:t>
      </w:r>
      <w:bookmarkEnd w:id="88"/>
      <w:bookmarkEnd w:id="89"/>
    </w:p>
    <w:p>
      <w:pPr>
        <w:pStyle w:val="4"/>
        <w:rPr>
          <w:rFonts w:ascii="仿宋" w:hAnsi="仿宋" w:eastAsia="仿宋"/>
        </w:rPr>
      </w:pPr>
      <w:bookmarkStart w:id="90" w:name="_Toc15396626"/>
      <w:bookmarkStart w:id="91" w:name="_Toc28279"/>
      <w:r>
        <w:rPr>
          <w:rStyle w:val="27"/>
          <w:rFonts w:hint="eastAsia" w:ascii="仿宋" w:hAnsi="仿宋" w:eastAsia="仿宋"/>
          <w:b w:val="0"/>
          <w:bCs w:val="0"/>
        </w:rPr>
        <w:t>八、</w:t>
      </w:r>
      <w:r>
        <w:rPr>
          <w:rFonts w:hint="eastAsia" w:ascii="仿宋" w:hAnsi="仿宋" w:eastAsia="仿宋"/>
          <w:b w:val="0"/>
        </w:rPr>
        <w:t>一</w:t>
      </w:r>
      <w:r>
        <w:rPr>
          <w:rStyle w:val="27"/>
          <w:rFonts w:hint="eastAsia" w:ascii="仿宋" w:hAnsi="仿宋" w:eastAsia="仿宋"/>
          <w:b w:val="0"/>
          <w:bCs w:val="0"/>
        </w:rPr>
        <w:t>般公共预算财政拨款基本支出决算表</w:t>
      </w:r>
      <w:bookmarkEnd w:id="90"/>
      <w:bookmarkEnd w:id="91"/>
    </w:p>
    <w:p>
      <w:pPr>
        <w:pStyle w:val="4"/>
        <w:rPr>
          <w:rFonts w:ascii="仿宋" w:hAnsi="仿宋" w:eastAsia="仿宋"/>
        </w:rPr>
      </w:pPr>
      <w:bookmarkStart w:id="92" w:name="_Toc15396627"/>
      <w:bookmarkStart w:id="93" w:name="_Toc12015"/>
      <w:r>
        <w:rPr>
          <w:rStyle w:val="27"/>
          <w:rFonts w:hint="eastAsia" w:ascii="仿宋" w:hAnsi="仿宋" w:eastAsia="仿宋"/>
          <w:b w:val="0"/>
          <w:bCs w:val="0"/>
        </w:rPr>
        <w:t>九、</w:t>
      </w:r>
      <w:r>
        <w:rPr>
          <w:rFonts w:hint="eastAsia" w:ascii="仿宋" w:hAnsi="仿宋" w:eastAsia="仿宋"/>
          <w:b w:val="0"/>
        </w:rPr>
        <w:t>一</w:t>
      </w:r>
      <w:r>
        <w:rPr>
          <w:rStyle w:val="27"/>
          <w:rFonts w:hint="eastAsia" w:ascii="仿宋" w:hAnsi="仿宋" w:eastAsia="仿宋"/>
          <w:b w:val="0"/>
          <w:bCs w:val="0"/>
        </w:rPr>
        <w:t>般公共预算财政拨款项目支出决算表</w:t>
      </w:r>
      <w:bookmarkEnd w:id="92"/>
      <w:bookmarkEnd w:id="93"/>
    </w:p>
    <w:p>
      <w:pPr>
        <w:pStyle w:val="4"/>
        <w:rPr>
          <w:rFonts w:ascii="仿宋" w:hAnsi="仿宋" w:eastAsia="仿宋"/>
        </w:rPr>
      </w:pPr>
      <w:bookmarkStart w:id="94" w:name="_Toc14002"/>
      <w:bookmarkStart w:id="95" w:name="_Toc15396628"/>
      <w:r>
        <w:rPr>
          <w:rStyle w:val="27"/>
          <w:rFonts w:hint="eastAsia" w:ascii="仿宋" w:hAnsi="仿宋" w:eastAsia="仿宋"/>
          <w:b w:val="0"/>
          <w:bCs w:val="0"/>
        </w:rPr>
        <w:t>十、</w:t>
      </w:r>
      <w:r>
        <w:rPr>
          <w:rFonts w:hint="eastAsia" w:ascii="仿宋" w:hAnsi="仿宋" w:eastAsia="仿宋"/>
          <w:b w:val="0"/>
        </w:rPr>
        <w:t>一</w:t>
      </w:r>
      <w:r>
        <w:rPr>
          <w:rStyle w:val="27"/>
          <w:rFonts w:hint="eastAsia" w:ascii="仿宋" w:hAnsi="仿宋" w:eastAsia="仿宋"/>
          <w:b w:val="0"/>
          <w:bCs w:val="0"/>
        </w:rPr>
        <w:t>般公共预算财政拨款“三公”经费支出决算表</w:t>
      </w:r>
      <w:bookmarkEnd w:id="94"/>
      <w:bookmarkEnd w:id="95"/>
    </w:p>
    <w:p>
      <w:pPr>
        <w:pStyle w:val="4"/>
        <w:rPr>
          <w:rFonts w:ascii="仿宋" w:hAnsi="仿宋" w:eastAsia="仿宋"/>
        </w:rPr>
      </w:pPr>
      <w:bookmarkStart w:id="96" w:name="_Toc15396629"/>
      <w:bookmarkStart w:id="97" w:name="_Toc8275"/>
      <w:r>
        <w:rPr>
          <w:rStyle w:val="27"/>
          <w:rFonts w:hint="eastAsia" w:ascii="仿宋" w:hAnsi="仿宋" w:eastAsia="仿宋"/>
          <w:b w:val="0"/>
          <w:bCs w:val="0"/>
        </w:rPr>
        <w:t>十一、</w:t>
      </w:r>
      <w:r>
        <w:rPr>
          <w:rFonts w:hint="eastAsia" w:ascii="仿宋" w:hAnsi="仿宋" w:eastAsia="仿宋"/>
          <w:b w:val="0"/>
        </w:rPr>
        <w:t>政</w:t>
      </w:r>
      <w:r>
        <w:rPr>
          <w:rStyle w:val="27"/>
          <w:rFonts w:hint="eastAsia" w:ascii="仿宋" w:hAnsi="仿宋" w:eastAsia="仿宋"/>
          <w:b w:val="0"/>
          <w:bCs w:val="0"/>
        </w:rPr>
        <w:t>府性基金预算财政拨款收入支出决算表</w:t>
      </w:r>
      <w:bookmarkEnd w:id="96"/>
      <w:bookmarkEnd w:id="97"/>
    </w:p>
    <w:p>
      <w:pPr>
        <w:pStyle w:val="4"/>
        <w:rPr>
          <w:rFonts w:ascii="仿宋" w:hAnsi="仿宋" w:eastAsia="仿宋"/>
        </w:rPr>
      </w:pPr>
      <w:bookmarkStart w:id="98" w:name="_Toc2913"/>
      <w:bookmarkStart w:id="99" w:name="_Toc15396630"/>
      <w:r>
        <w:rPr>
          <w:rStyle w:val="27"/>
          <w:rFonts w:hint="eastAsia" w:ascii="仿宋" w:hAnsi="仿宋" w:eastAsia="仿宋"/>
          <w:b w:val="0"/>
          <w:bCs w:val="0"/>
        </w:rPr>
        <w:t>十二、</w:t>
      </w:r>
      <w:r>
        <w:rPr>
          <w:rFonts w:hint="eastAsia" w:ascii="仿宋" w:hAnsi="仿宋" w:eastAsia="仿宋"/>
          <w:b w:val="0"/>
        </w:rPr>
        <w:t>政</w:t>
      </w:r>
      <w:r>
        <w:rPr>
          <w:rStyle w:val="27"/>
          <w:rFonts w:hint="eastAsia" w:ascii="仿宋" w:hAnsi="仿宋" w:eastAsia="仿宋"/>
          <w:b w:val="0"/>
          <w:bCs w:val="0"/>
        </w:rPr>
        <w:t>府性基金预算财政拨款“三公”经费支出决算表</w:t>
      </w:r>
      <w:bookmarkEnd w:id="98"/>
      <w:bookmarkEnd w:id="99"/>
    </w:p>
    <w:p>
      <w:pPr>
        <w:pStyle w:val="4"/>
        <w:rPr>
          <w:rStyle w:val="27"/>
          <w:rFonts w:ascii="仿宋" w:hAnsi="仿宋" w:eastAsia="仿宋"/>
          <w:b w:val="0"/>
          <w:bCs w:val="0"/>
        </w:rPr>
      </w:pPr>
      <w:bookmarkStart w:id="100" w:name="_Toc15396631"/>
      <w:bookmarkStart w:id="101" w:name="_Toc4697"/>
      <w:r>
        <w:rPr>
          <w:rStyle w:val="27"/>
          <w:rFonts w:hint="eastAsia" w:ascii="仿宋" w:hAnsi="仿宋" w:eastAsia="仿宋"/>
          <w:b w:val="0"/>
          <w:bCs w:val="0"/>
        </w:rPr>
        <w:t>十三、</w:t>
      </w:r>
      <w:r>
        <w:rPr>
          <w:rFonts w:hint="eastAsia" w:ascii="仿宋" w:hAnsi="仿宋" w:eastAsia="仿宋"/>
          <w:b w:val="0"/>
        </w:rPr>
        <w:t>国</w:t>
      </w:r>
      <w:r>
        <w:rPr>
          <w:rStyle w:val="27"/>
          <w:rFonts w:hint="eastAsia" w:ascii="仿宋" w:hAnsi="仿宋" w:eastAsia="仿宋"/>
          <w:b w:val="0"/>
          <w:bCs w:val="0"/>
        </w:rPr>
        <w:t>有资本经营预算财政拨款收入支出决算表</w:t>
      </w:r>
      <w:bookmarkEnd w:id="100"/>
      <w:bookmarkEnd w:id="101"/>
    </w:p>
    <w:p>
      <w:pPr>
        <w:rPr>
          <w:rFonts w:eastAsia="仿宋"/>
        </w:rPr>
      </w:pPr>
      <w:bookmarkStart w:id="102" w:name="_Toc9530"/>
      <w:r>
        <w:rPr>
          <w:rStyle w:val="27"/>
          <w:rFonts w:hint="eastAsia" w:ascii="仿宋" w:hAnsi="仿宋" w:eastAsia="仿宋"/>
          <w:b w:val="0"/>
          <w:bCs w:val="0"/>
        </w:rPr>
        <w:t>十四、国有资本经营预算财政拨款支出决算表</w:t>
      </w:r>
      <w:bookmarkEnd w:id="102"/>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auto"/>
    <w:pitch w:val="default"/>
    <w:sig w:usb0="E0002AFF" w:usb1="C0007841" w:usb2="00000009" w:usb3="00000000" w:csb0="400001FF" w:csb1="FFFF0000"/>
  </w:font>
  <w:font w:name="宋体">
    <w:panose1 w:val="02010600030101010101"/>
    <w:charset w:val="81"/>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9"/>
          <w:jc w:val="center"/>
        </w:pPr>
        <w:r>
          <w:fldChar w:fldCharType="begin"/>
        </w:r>
        <w:r>
          <w:instrText xml:space="preserve">PAGE   \* MERGEFORMAT</w:instrText>
        </w:r>
        <w:r>
          <w:fldChar w:fldCharType="separate"/>
        </w:r>
        <w:r>
          <w:rPr>
            <w:lang w:val="zh-CN"/>
          </w:rPr>
          <w:t>17</w:t>
        </w:r>
        <w:r>
          <w:rPr>
            <w:lang w:val="zh-CN"/>
          </w:rP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E2FA047D"/>
    <w:multiLevelType w:val="singleLevel"/>
    <w:tmpl w:val="E2FA047D"/>
    <w:lvl w:ilvl="0" w:tentative="0">
      <w:start w:val="3"/>
      <w:numFmt w:val="chineseCounting"/>
      <w:suff w:val="space"/>
      <w:lvlText w:val="第%1部分"/>
      <w:lvlJc w:val="left"/>
      <w:rPr>
        <w:rFonts w:hint="eastAsia" w:ascii="黑体" w:hAnsi="黑体" w:eastAsia="黑体" w:cs="黑体"/>
        <w:sz w:val="44"/>
        <w:szCs w:val="44"/>
      </w:rPr>
    </w:lvl>
  </w:abstractNum>
  <w:abstractNum w:abstractNumId="2">
    <w:nsid w:val="11EA7361"/>
    <w:multiLevelType w:val="multilevel"/>
    <w:tmpl w:val="11EA7361"/>
    <w:lvl w:ilvl="0" w:tentative="0">
      <w:start w:val="1"/>
      <w:numFmt w:val="japaneseCounting"/>
      <w:lvlText w:val="%1、"/>
      <w:lvlJc w:val="left"/>
      <w:pPr>
        <w:ind w:left="672" w:hanging="672"/>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BlMjYxYjljNmFjZDRmZDBlMTlkOWQwZWFlODNmNWQifQ=="/>
  </w:docVars>
  <w:rsids>
    <w:rsidRoot w:val="00F1361C"/>
    <w:rsid w:val="000222C6"/>
    <w:rsid w:val="0002549F"/>
    <w:rsid w:val="000468DB"/>
    <w:rsid w:val="000576E8"/>
    <w:rsid w:val="0006487A"/>
    <w:rsid w:val="00065F8F"/>
    <w:rsid w:val="00067AB5"/>
    <w:rsid w:val="00070A43"/>
    <w:rsid w:val="000768F2"/>
    <w:rsid w:val="0009184B"/>
    <w:rsid w:val="00094236"/>
    <w:rsid w:val="0009593C"/>
    <w:rsid w:val="00097322"/>
    <w:rsid w:val="000A6A92"/>
    <w:rsid w:val="000B047F"/>
    <w:rsid w:val="000B5923"/>
    <w:rsid w:val="000B5A48"/>
    <w:rsid w:val="000B6608"/>
    <w:rsid w:val="000B6FF3"/>
    <w:rsid w:val="000C3467"/>
    <w:rsid w:val="000C3CA6"/>
    <w:rsid w:val="000D1267"/>
    <w:rsid w:val="000D1D50"/>
    <w:rsid w:val="000D1FB4"/>
    <w:rsid w:val="000D5782"/>
    <w:rsid w:val="000E6613"/>
    <w:rsid w:val="000E7119"/>
    <w:rsid w:val="000F0A13"/>
    <w:rsid w:val="0010765E"/>
    <w:rsid w:val="00113E03"/>
    <w:rsid w:val="00114E9B"/>
    <w:rsid w:val="00120B2E"/>
    <w:rsid w:val="00142216"/>
    <w:rsid w:val="00144D6A"/>
    <w:rsid w:val="0014729F"/>
    <w:rsid w:val="00157BAB"/>
    <w:rsid w:val="001654D1"/>
    <w:rsid w:val="00171E7A"/>
    <w:rsid w:val="00174518"/>
    <w:rsid w:val="0018106D"/>
    <w:rsid w:val="00182E47"/>
    <w:rsid w:val="001877A7"/>
    <w:rsid w:val="00187DDD"/>
    <w:rsid w:val="00191536"/>
    <w:rsid w:val="00196687"/>
    <w:rsid w:val="001B1CB4"/>
    <w:rsid w:val="001C0962"/>
    <w:rsid w:val="001C1D8E"/>
    <w:rsid w:val="001D4719"/>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0808"/>
    <w:rsid w:val="002B2613"/>
    <w:rsid w:val="002C1111"/>
    <w:rsid w:val="002D653D"/>
    <w:rsid w:val="002D6D05"/>
    <w:rsid w:val="002E67DE"/>
    <w:rsid w:val="002F1818"/>
    <w:rsid w:val="002F567B"/>
    <w:rsid w:val="00312B4E"/>
    <w:rsid w:val="003215CA"/>
    <w:rsid w:val="003216A9"/>
    <w:rsid w:val="00335A74"/>
    <w:rsid w:val="0034676D"/>
    <w:rsid w:val="0036561B"/>
    <w:rsid w:val="0037013F"/>
    <w:rsid w:val="00374D2E"/>
    <w:rsid w:val="00377860"/>
    <w:rsid w:val="00380C92"/>
    <w:rsid w:val="003967D9"/>
    <w:rsid w:val="003A484F"/>
    <w:rsid w:val="003A4883"/>
    <w:rsid w:val="003B0BE0"/>
    <w:rsid w:val="003B0C1B"/>
    <w:rsid w:val="003B1ED7"/>
    <w:rsid w:val="003B688C"/>
    <w:rsid w:val="003C0291"/>
    <w:rsid w:val="003C35C7"/>
    <w:rsid w:val="003C39AE"/>
    <w:rsid w:val="003C7B60"/>
    <w:rsid w:val="003D0C0F"/>
    <w:rsid w:val="003D1FB2"/>
    <w:rsid w:val="003D66DA"/>
    <w:rsid w:val="003E1310"/>
    <w:rsid w:val="003E6F55"/>
    <w:rsid w:val="003F28E8"/>
    <w:rsid w:val="003F638C"/>
    <w:rsid w:val="00402A78"/>
    <w:rsid w:val="00406254"/>
    <w:rsid w:val="004223DE"/>
    <w:rsid w:val="00434489"/>
    <w:rsid w:val="00437085"/>
    <w:rsid w:val="00443880"/>
    <w:rsid w:val="004464F4"/>
    <w:rsid w:val="00471401"/>
    <w:rsid w:val="00473F31"/>
    <w:rsid w:val="0048263A"/>
    <w:rsid w:val="00487565"/>
    <w:rsid w:val="00487E5D"/>
    <w:rsid w:val="004A711F"/>
    <w:rsid w:val="004B199D"/>
    <w:rsid w:val="004B4690"/>
    <w:rsid w:val="004C7D24"/>
    <w:rsid w:val="004E0A2D"/>
    <w:rsid w:val="004E206B"/>
    <w:rsid w:val="004E6DF7"/>
    <w:rsid w:val="004F0FBD"/>
    <w:rsid w:val="00505A47"/>
    <w:rsid w:val="00512FDA"/>
    <w:rsid w:val="00520DA0"/>
    <w:rsid w:val="00522588"/>
    <w:rsid w:val="005375ED"/>
    <w:rsid w:val="005533ED"/>
    <w:rsid w:val="005572FF"/>
    <w:rsid w:val="005664BB"/>
    <w:rsid w:val="00566FFA"/>
    <w:rsid w:val="0057481D"/>
    <w:rsid w:val="00576468"/>
    <w:rsid w:val="0058486E"/>
    <w:rsid w:val="00585B33"/>
    <w:rsid w:val="0059014D"/>
    <w:rsid w:val="00594A8C"/>
    <w:rsid w:val="005A0578"/>
    <w:rsid w:val="005A36F9"/>
    <w:rsid w:val="005B5C64"/>
    <w:rsid w:val="005C5337"/>
    <w:rsid w:val="005C6BD0"/>
    <w:rsid w:val="005D1C8B"/>
    <w:rsid w:val="005D468D"/>
    <w:rsid w:val="005D5CED"/>
    <w:rsid w:val="005F1A4C"/>
    <w:rsid w:val="005F28C9"/>
    <w:rsid w:val="00605688"/>
    <w:rsid w:val="006070AF"/>
    <w:rsid w:val="00607E6C"/>
    <w:rsid w:val="00610018"/>
    <w:rsid w:val="006101B1"/>
    <w:rsid w:val="00614E44"/>
    <w:rsid w:val="00617937"/>
    <w:rsid w:val="00617B4C"/>
    <w:rsid w:val="0062270A"/>
    <w:rsid w:val="00622830"/>
    <w:rsid w:val="00623DA0"/>
    <w:rsid w:val="00630AEF"/>
    <w:rsid w:val="006325F8"/>
    <w:rsid w:val="00633463"/>
    <w:rsid w:val="00634C9A"/>
    <w:rsid w:val="006440E4"/>
    <w:rsid w:val="006621D4"/>
    <w:rsid w:val="0066343B"/>
    <w:rsid w:val="00664777"/>
    <w:rsid w:val="00665F34"/>
    <w:rsid w:val="00670A94"/>
    <w:rsid w:val="006748A4"/>
    <w:rsid w:val="00681A31"/>
    <w:rsid w:val="00683E73"/>
    <w:rsid w:val="006A3141"/>
    <w:rsid w:val="006A3519"/>
    <w:rsid w:val="006A5E34"/>
    <w:rsid w:val="006B2422"/>
    <w:rsid w:val="006B2B9A"/>
    <w:rsid w:val="006B6AAF"/>
    <w:rsid w:val="006C1937"/>
    <w:rsid w:val="006E7BDB"/>
    <w:rsid w:val="006F020C"/>
    <w:rsid w:val="007127B7"/>
    <w:rsid w:val="0071798E"/>
    <w:rsid w:val="007416B6"/>
    <w:rsid w:val="00741911"/>
    <w:rsid w:val="00746F48"/>
    <w:rsid w:val="0075404D"/>
    <w:rsid w:val="00760FFA"/>
    <w:rsid w:val="0076182A"/>
    <w:rsid w:val="00767B7E"/>
    <w:rsid w:val="007770C3"/>
    <w:rsid w:val="00784D24"/>
    <w:rsid w:val="00785FBA"/>
    <w:rsid w:val="00786E4A"/>
    <w:rsid w:val="007875EB"/>
    <w:rsid w:val="0079426B"/>
    <w:rsid w:val="007A0B96"/>
    <w:rsid w:val="007B4F3F"/>
    <w:rsid w:val="007B6885"/>
    <w:rsid w:val="007D1682"/>
    <w:rsid w:val="007D312A"/>
    <w:rsid w:val="007D3F19"/>
    <w:rsid w:val="007E23B0"/>
    <w:rsid w:val="007E23E5"/>
    <w:rsid w:val="007E5D3C"/>
    <w:rsid w:val="007F1991"/>
    <w:rsid w:val="007F2C2F"/>
    <w:rsid w:val="007F55FC"/>
    <w:rsid w:val="007F5665"/>
    <w:rsid w:val="00800112"/>
    <w:rsid w:val="00813348"/>
    <w:rsid w:val="008253BB"/>
    <w:rsid w:val="0083706E"/>
    <w:rsid w:val="008408F6"/>
    <w:rsid w:val="008423A5"/>
    <w:rsid w:val="00846BD5"/>
    <w:rsid w:val="00850625"/>
    <w:rsid w:val="00852549"/>
    <w:rsid w:val="00853718"/>
    <w:rsid w:val="00854294"/>
    <w:rsid w:val="00855221"/>
    <w:rsid w:val="00860645"/>
    <w:rsid w:val="008633FE"/>
    <w:rsid w:val="00871F71"/>
    <w:rsid w:val="00872FD8"/>
    <w:rsid w:val="00885AF4"/>
    <w:rsid w:val="008939CD"/>
    <w:rsid w:val="00897B73"/>
    <w:rsid w:val="008A6F86"/>
    <w:rsid w:val="008B432F"/>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57B0F"/>
    <w:rsid w:val="00962DD9"/>
    <w:rsid w:val="0097099F"/>
    <w:rsid w:val="00971997"/>
    <w:rsid w:val="00971FFC"/>
    <w:rsid w:val="00973D7E"/>
    <w:rsid w:val="0098660A"/>
    <w:rsid w:val="009931C3"/>
    <w:rsid w:val="009944FD"/>
    <w:rsid w:val="009B1228"/>
    <w:rsid w:val="009B2C43"/>
    <w:rsid w:val="009B4EAE"/>
    <w:rsid w:val="009B7573"/>
    <w:rsid w:val="009C22F4"/>
    <w:rsid w:val="009C2A4B"/>
    <w:rsid w:val="009C2E98"/>
    <w:rsid w:val="009D3447"/>
    <w:rsid w:val="009D4711"/>
    <w:rsid w:val="009D4DEF"/>
    <w:rsid w:val="009F1185"/>
    <w:rsid w:val="009F18CD"/>
    <w:rsid w:val="009F2A13"/>
    <w:rsid w:val="009F7527"/>
    <w:rsid w:val="00A04EB0"/>
    <w:rsid w:val="00A102D6"/>
    <w:rsid w:val="00A13CC1"/>
    <w:rsid w:val="00A16847"/>
    <w:rsid w:val="00A17F83"/>
    <w:rsid w:val="00A237D8"/>
    <w:rsid w:val="00A268C4"/>
    <w:rsid w:val="00A307CD"/>
    <w:rsid w:val="00A331C8"/>
    <w:rsid w:val="00A35013"/>
    <w:rsid w:val="00A364CB"/>
    <w:rsid w:val="00A36872"/>
    <w:rsid w:val="00A40A00"/>
    <w:rsid w:val="00A4142F"/>
    <w:rsid w:val="00A422EB"/>
    <w:rsid w:val="00A45BB7"/>
    <w:rsid w:val="00A5263D"/>
    <w:rsid w:val="00A56DF2"/>
    <w:rsid w:val="00A56E6E"/>
    <w:rsid w:val="00A67AB5"/>
    <w:rsid w:val="00A733B2"/>
    <w:rsid w:val="00A741C2"/>
    <w:rsid w:val="00A7618C"/>
    <w:rsid w:val="00A91760"/>
    <w:rsid w:val="00A93B00"/>
    <w:rsid w:val="00A93C21"/>
    <w:rsid w:val="00AB64C9"/>
    <w:rsid w:val="00AC3C6A"/>
    <w:rsid w:val="00AD443D"/>
    <w:rsid w:val="00AD5620"/>
    <w:rsid w:val="00AD656B"/>
    <w:rsid w:val="00AD7C1B"/>
    <w:rsid w:val="00AE16BA"/>
    <w:rsid w:val="00AE1EBE"/>
    <w:rsid w:val="00AF2283"/>
    <w:rsid w:val="00B03C9D"/>
    <w:rsid w:val="00B060AE"/>
    <w:rsid w:val="00B10517"/>
    <w:rsid w:val="00B10E3E"/>
    <w:rsid w:val="00B14E76"/>
    <w:rsid w:val="00B15A6F"/>
    <w:rsid w:val="00B161B8"/>
    <w:rsid w:val="00B2048C"/>
    <w:rsid w:val="00B23CCE"/>
    <w:rsid w:val="00B310B9"/>
    <w:rsid w:val="00B35F3F"/>
    <w:rsid w:val="00B36CBB"/>
    <w:rsid w:val="00B425E0"/>
    <w:rsid w:val="00B440AA"/>
    <w:rsid w:val="00B44B70"/>
    <w:rsid w:val="00B53C56"/>
    <w:rsid w:val="00B5635D"/>
    <w:rsid w:val="00B57DAF"/>
    <w:rsid w:val="00B72EC6"/>
    <w:rsid w:val="00B77EA6"/>
    <w:rsid w:val="00B81598"/>
    <w:rsid w:val="00B81F33"/>
    <w:rsid w:val="00B841F1"/>
    <w:rsid w:val="00B913D0"/>
    <w:rsid w:val="00B944D6"/>
    <w:rsid w:val="00BA6467"/>
    <w:rsid w:val="00BB4DF0"/>
    <w:rsid w:val="00BC289F"/>
    <w:rsid w:val="00BC2D50"/>
    <w:rsid w:val="00BC5361"/>
    <w:rsid w:val="00BC5460"/>
    <w:rsid w:val="00BC6B50"/>
    <w:rsid w:val="00BD0D95"/>
    <w:rsid w:val="00BD0E25"/>
    <w:rsid w:val="00BD1C27"/>
    <w:rsid w:val="00BE00F4"/>
    <w:rsid w:val="00BF5BD6"/>
    <w:rsid w:val="00C03E31"/>
    <w:rsid w:val="00C1499C"/>
    <w:rsid w:val="00C33E72"/>
    <w:rsid w:val="00C354B2"/>
    <w:rsid w:val="00C35554"/>
    <w:rsid w:val="00C42709"/>
    <w:rsid w:val="00C533CC"/>
    <w:rsid w:val="00C5751C"/>
    <w:rsid w:val="00C61BFC"/>
    <w:rsid w:val="00C62B85"/>
    <w:rsid w:val="00C65438"/>
    <w:rsid w:val="00C87FD8"/>
    <w:rsid w:val="00C91381"/>
    <w:rsid w:val="00C91CBB"/>
    <w:rsid w:val="00CA0A2F"/>
    <w:rsid w:val="00CB4E70"/>
    <w:rsid w:val="00CC09B6"/>
    <w:rsid w:val="00CC666F"/>
    <w:rsid w:val="00CD1E3F"/>
    <w:rsid w:val="00CE44F6"/>
    <w:rsid w:val="00CE49DA"/>
    <w:rsid w:val="00CE4A84"/>
    <w:rsid w:val="00CE7B61"/>
    <w:rsid w:val="00CF5DE8"/>
    <w:rsid w:val="00D00095"/>
    <w:rsid w:val="00D114F0"/>
    <w:rsid w:val="00D20620"/>
    <w:rsid w:val="00D24E54"/>
    <w:rsid w:val="00D254F7"/>
    <w:rsid w:val="00D26091"/>
    <w:rsid w:val="00D2685C"/>
    <w:rsid w:val="00D33F3C"/>
    <w:rsid w:val="00D34E7C"/>
    <w:rsid w:val="00D35489"/>
    <w:rsid w:val="00D36AFE"/>
    <w:rsid w:val="00D51276"/>
    <w:rsid w:val="00D65F49"/>
    <w:rsid w:val="00D7035F"/>
    <w:rsid w:val="00D730BE"/>
    <w:rsid w:val="00DA5433"/>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362CB"/>
    <w:rsid w:val="00E472B1"/>
    <w:rsid w:val="00E50624"/>
    <w:rsid w:val="00E568DF"/>
    <w:rsid w:val="00E64269"/>
    <w:rsid w:val="00E82267"/>
    <w:rsid w:val="00E83FC7"/>
    <w:rsid w:val="00E853CE"/>
    <w:rsid w:val="00E867B6"/>
    <w:rsid w:val="00EA010F"/>
    <w:rsid w:val="00EC7A9D"/>
    <w:rsid w:val="00ED1B63"/>
    <w:rsid w:val="00ED3C1F"/>
    <w:rsid w:val="00ED4085"/>
    <w:rsid w:val="00ED420E"/>
    <w:rsid w:val="00ED6FBE"/>
    <w:rsid w:val="00EE2F57"/>
    <w:rsid w:val="00EF4C34"/>
    <w:rsid w:val="00EF77C6"/>
    <w:rsid w:val="00F03F0C"/>
    <w:rsid w:val="00F05438"/>
    <w:rsid w:val="00F07E0A"/>
    <w:rsid w:val="00F1361C"/>
    <w:rsid w:val="00F156F0"/>
    <w:rsid w:val="00F160C7"/>
    <w:rsid w:val="00F2408F"/>
    <w:rsid w:val="00F240E9"/>
    <w:rsid w:val="00F3513F"/>
    <w:rsid w:val="00F3533D"/>
    <w:rsid w:val="00F36D8F"/>
    <w:rsid w:val="00F417B1"/>
    <w:rsid w:val="00F44561"/>
    <w:rsid w:val="00F45853"/>
    <w:rsid w:val="00F54202"/>
    <w:rsid w:val="00F56815"/>
    <w:rsid w:val="00F602DF"/>
    <w:rsid w:val="00F754A1"/>
    <w:rsid w:val="00F81FD9"/>
    <w:rsid w:val="00F841AA"/>
    <w:rsid w:val="00F84A94"/>
    <w:rsid w:val="00F87E96"/>
    <w:rsid w:val="00F96D8B"/>
    <w:rsid w:val="00FA23E8"/>
    <w:rsid w:val="00FA62B4"/>
    <w:rsid w:val="00FC6E74"/>
    <w:rsid w:val="00FC7625"/>
    <w:rsid w:val="00FD3CC1"/>
    <w:rsid w:val="00FF1E02"/>
    <w:rsid w:val="00FF30B4"/>
    <w:rsid w:val="01761E20"/>
    <w:rsid w:val="02392C65"/>
    <w:rsid w:val="05A06898"/>
    <w:rsid w:val="07771A8F"/>
    <w:rsid w:val="08D4742C"/>
    <w:rsid w:val="09AF58B9"/>
    <w:rsid w:val="0A2032A3"/>
    <w:rsid w:val="0B8A37D8"/>
    <w:rsid w:val="0C394176"/>
    <w:rsid w:val="0D041BDB"/>
    <w:rsid w:val="0D241E6A"/>
    <w:rsid w:val="10C055FF"/>
    <w:rsid w:val="118107EC"/>
    <w:rsid w:val="11DD6519"/>
    <w:rsid w:val="13392CAD"/>
    <w:rsid w:val="140B3B20"/>
    <w:rsid w:val="15433117"/>
    <w:rsid w:val="16BB723D"/>
    <w:rsid w:val="16C80323"/>
    <w:rsid w:val="170242E4"/>
    <w:rsid w:val="18015F3F"/>
    <w:rsid w:val="185C05C7"/>
    <w:rsid w:val="191A70DD"/>
    <w:rsid w:val="1A722312"/>
    <w:rsid w:val="1BD36EA5"/>
    <w:rsid w:val="1BE8440E"/>
    <w:rsid w:val="1C695E88"/>
    <w:rsid w:val="1D155CEE"/>
    <w:rsid w:val="1E29229C"/>
    <w:rsid w:val="1EB12291"/>
    <w:rsid w:val="20F57F95"/>
    <w:rsid w:val="240371BF"/>
    <w:rsid w:val="25C741E6"/>
    <w:rsid w:val="26CB54E5"/>
    <w:rsid w:val="27842671"/>
    <w:rsid w:val="29FD04D3"/>
    <w:rsid w:val="2ABE7A3E"/>
    <w:rsid w:val="2C6273B8"/>
    <w:rsid w:val="2EFA178C"/>
    <w:rsid w:val="2F2D3702"/>
    <w:rsid w:val="2FF21688"/>
    <w:rsid w:val="30725F8B"/>
    <w:rsid w:val="30B46D73"/>
    <w:rsid w:val="319F7F4E"/>
    <w:rsid w:val="34BC594F"/>
    <w:rsid w:val="37700F58"/>
    <w:rsid w:val="384F501C"/>
    <w:rsid w:val="395D6E46"/>
    <w:rsid w:val="39AE70AB"/>
    <w:rsid w:val="3A7D08EB"/>
    <w:rsid w:val="3A89411B"/>
    <w:rsid w:val="3B0B75FD"/>
    <w:rsid w:val="3C0C0783"/>
    <w:rsid w:val="3C123EEE"/>
    <w:rsid w:val="3F795B0E"/>
    <w:rsid w:val="3F9F3A96"/>
    <w:rsid w:val="40B9606A"/>
    <w:rsid w:val="41A73354"/>
    <w:rsid w:val="424D323F"/>
    <w:rsid w:val="43141E3B"/>
    <w:rsid w:val="473A3C60"/>
    <w:rsid w:val="48D63EB8"/>
    <w:rsid w:val="493C27E9"/>
    <w:rsid w:val="496E7CAC"/>
    <w:rsid w:val="496F39ED"/>
    <w:rsid w:val="49FF41D3"/>
    <w:rsid w:val="4A185DC8"/>
    <w:rsid w:val="4A7C1911"/>
    <w:rsid w:val="4BCB5E91"/>
    <w:rsid w:val="4BE068DB"/>
    <w:rsid w:val="4BF6002B"/>
    <w:rsid w:val="4C33094E"/>
    <w:rsid w:val="4E047094"/>
    <w:rsid w:val="4EBA2A97"/>
    <w:rsid w:val="4ECE2238"/>
    <w:rsid w:val="4F4E406D"/>
    <w:rsid w:val="4F6E7116"/>
    <w:rsid w:val="514258B1"/>
    <w:rsid w:val="51DB4B86"/>
    <w:rsid w:val="51E87E4E"/>
    <w:rsid w:val="5504121F"/>
    <w:rsid w:val="55333C3E"/>
    <w:rsid w:val="55874E88"/>
    <w:rsid w:val="565200F4"/>
    <w:rsid w:val="587A4EC7"/>
    <w:rsid w:val="5A4E4C30"/>
    <w:rsid w:val="5A861D85"/>
    <w:rsid w:val="5AF26258"/>
    <w:rsid w:val="5B733E48"/>
    <w:rsid w:val="5BF9214C"/>
    <w:rsid w:val="5DEF5780"/>
    <w:rsid w:val="60211EDB"/>
    <w:rsid w:val="63E807CA"/>
    <w:rsid w:val="64CA39A1"/>
    <w:rsid w:val="65CB4B59"/>
    <w:rsid w:val="65F431CC"/>
    <w:rsid w:val="66003DE9"/>
    <w:rsid w:val="664E34EF"/>
    <w:rsid w:val="66501EFB"/>
    <w:rsid w:val="66B04CC4"/>
    <w:rsid w:val="67D9099A"/>
    <w:rsid w:val="685D0364"/>
    <w:rsid w:val="68617FD7"/>
    <w:rsid w:val="69C67F6C"/>
    <w:rsid w:val="6AA737F0"/>
    <w:rsid w:val="6BB26A32"/>
    <w:rsid w:val="6C4A05C8"/>
    <w:rsid w:val="6D705D3E"/>
    <w:rsid w:val="6D806684"/>
    <w:rsid w:val="6DD35512"/>
    <w:rsid w:val="71C414CA"/>
    <w:rsid w:val="72734D90"/>
    <w:rsid w:val="73340E3E"/>
    <w:rsid w:val="788B4D6D"/>
    <w:rsid w:val="79E7B28D"/>
    <w:rsid w:val="7D483AE5"/>
    <w:rsid w:val="7DCC2736"/>
    <w:rsid w:val="7DDA3A12"/>
    <w:rsid w:val="7E7A4D71"/>
    <w:rsid w:val="7F9F20EE"/>
    <w:rsid w:val="9E3A10E2"/>
    <w:rsid w:val="F2E1F9D4"/>
    <w:rsid w:val="F788081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qFormat="1" w:uiPriority="0" w:semiHidden="0"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6"/>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7"/>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0"/>
    <w:unhideWhenUsed/>
    <w:qFormat/>
    <w:uiPriority w:val="9"/>
    <w:pPr>
      <w:keepNext/>
      <w:keepLines/>
      <w:spacing w:before="260" w:after="260" w:line="416" w:lineRule="auto"/>
      <w:outlineLvl w:val="2"/>
    </w:pPr>
    <w:rPr>
      <w:b/>
      <w:bCs/>
      <w:sz w:val="32"/>
      <w:szCs w:val="32"/>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6">
    <w:name w:val="Body Text"/>
    <w:basedOn w:val="1"/>
    <w:link w:val="23"/>
    <w:qFormat/>
    <w:uiPriority w:val="99"/>
    <w:pPr>
      <w:spacing w:beforeLines="30"/>
    </w:pPr>
    <w:rPr>
      <w:rFonts w:ascii="仿宋_GB2312" w:eastAsia="仿宋_GB2312"/>
      <w:kern w:val="0"/>
      <w:sz w:val="30"/>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29"/>
    <w:semiHidden/>
    <w:unhideWhenUsed/>
    <w:qFormat/>
    <w:uiPriority w:val="99"/>
    <w:rPr>
      <w:sz w:val="18"/>
      <w:szCs w:val="18"/>
    </w:rPr>
  </w:style>
  <w:style w:type="paragraph" w:styleId="9">
    <w:name w:val="footer"/>
    <w:basedOn w:val="1"/>
    <w:link w:val="21"/>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19"/>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able of figures"/>
    <w:basedOn w:val="1"/>
    <w:next w:val="1"/>
    <w:unhideWhenUsed/>
    <w:qFormat/>
    <w:uiPriority w:val="0"/>
    <w:pPr>
      <w:ind w:left="200" w:leftChars="200" w:hanging="200" w:hangingChars="200"/>
    </w:pPr>
    <w:rPr>
      <w:rFonts w:hint="eastAsia"/>
    </w:rPr>
  </w:style>
  <w:style w:type="paragraph" w:styleId="12">
    <w:name w:val="toc 2"/>
    <w:basedOn w:val="1"/>
    <w:next w:val="1"/>
    <w:unhideWhenUsed/>
    <w:qFormat/>
    <w:uiPriority w:val="39"/>
    <w:pPr>
      <w:tabs>
        <w:tab w:val="right" w:leader="dot" w:pos="8296"/>
      </w:tabs>
      <w:ind w:left="420" w:leftChars="200"/>
    </w:pPr>
  </w:style>
  <w:style w:type="paragraph" w:styleId="13">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character" w:styleId="16">
    <w:name w:val="Strong"/>
    <w:basedOn w:val="15"/>
    <w:qFormat/>
    <w:uiPriority w:val="99"/>
    <w:rPr>
      <w:b/>
    </w:rPr>
  </w:style>
  <w:style w:type="character" w:styleId="17">
    <w:name w:val="Hyperlink"/>
    <w:basedOn w:val="15"/>
    <w:unhideWhenUsed/>
    <w:qFormat/>
    <w:uiPriority w:val="99"/>
    <w:rPr>
      <w:color w:val="0000FF" w:themeColor="hyperlink"/>
      <w:u w:val="single"/>
      <w14:textFill>
        <w14:solidFill>
          <w14:schemeClr w14:val="hlink"/>
        </w14:solidFill>
      </w14:textFill>
    </w:rPr>
  </w:style>
  <w:style w:type="character" w:customStyle="1" w:styleId="18">
    <w:name w:val="Header Char"/>
    <w:basedOn w:val="15"/>
    <w:semiHidden/>
    <w:qFormat/>
    <w:uiPriority w:val="99"/>
    <w:rPr>
      <w:rFonts w:ascii="Times New Roman" w:hAnsi="Times New Roman"/>
      <w:sz w:val="18"/>
      <w:szCs w:val="18"/>
    </w:rPr>
  </w:style>
  <w:style w:type="character" w:customStyle="1" w:styleId="19">
    <w:name w:val="页眉 Char"/>
    <w:link w:val="10"/>
    <w:semiHidden/>
    <w:qFormat/>
    <w:locked/>
    <w:uiPriority w:val="99"/>
    <w:rPr>
      <w:sz w:val="18"/>
    </w:rPr>
  </w:style>
  <w:style w:type="character" w:customStyle="1" w:styleId="20">
    <w:name w:val="Footer Char"/>
    <w:basedOn w:val="15"/>
    <w:semiHidden/>
    <w:qFormat/>
    <w:uiPriority w:val="99"/>
    <w:rPr>
      <w:rFonts w:ascii="Times New Roman" w:hAnsi="Times New Roman"/>
      <w:sz w:val="18"/>
      <w:szCs w:val="18"/>
    </w:rPr>
  </w:style>
  <w:style w:type="character" w:customStyle="1" w:styleId="21">
    <w:name w:val="页脚 Char"/>
    <w:link w:val="9"/>
    <w:qFormat/>
    <w:locked/>
    <w:uiPriority w:val="99"/>
    <w:rPr>
      <w:sz w:val="18"/>
    </w:rPr>
  </w:style>
  <w:style w:type="character" w:customStyle="1" w:styleId="22">
    <w:name w:val="Body Text Char"/>
    <w:basedOn w:val="15"/>
    <w:semiHidden/>
    <w:qFormat/>
    <w:uiPriority w:val="99"/>
    <w:rPr>
      <w:rFonts w:ascii="Times New Roman" w:hAnsi="Times New Roman"/>
      <w:szCs w:val="24"/>
    </w:rPr>
  </w:style>
  <w:style w:type="character" w:customStyle="1" w:styleId="23">
    <w:name w:val="正文文本 Char"/>
    <w:link w:val="6"/>
    <w:qFormat/>
    <w:locked/>
    <w:uiPriority w:val="99"/>
    <w:rPr>
      <w:rFonts w:ascii="仿宋_GB2312" w:hAnsi="Times New Roman" w:eastAsia="仿宋_GB2312"/>
      <w:sz w:val="24"/>
    </w:rPr>
  </w:style>
  <w:style w:type="paragraph" w:customStyle="1" w:styleId="24">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5">
    <w:name w:val="List Paragraph"/>
    <w:basedOn w:val="1"/>
    <w:qFormat/>
    <w:uiPriority w:val="34"/>
    <w:pPr>
      <w:ind w:firstLine="420" w:firstLineChars="200"/>
    </w:pPr>
  </w:style>
  <w:style w:type="character" w:customStyle="1" w:styleId="26">
    <w:name w:val="标题 1 Char"/>
    <w:basedOn w:val="15"/>
    <w:link w:val="3"/>
    <w:qFormat/>
    <w:uiPriority w:val="9"/>
    <w:rPr>
      <w:rFonts w:ascii="Times New Roman" w:hAnsi="Times New Roman"/>
      <w:b/>
      <w:bCs/>
      <w:kern w:val="44"/>
      <w:sz w:val="44"/>
      <w:szCs w:val="44"/>
    </w:rPr>
  </w:style>
  <w:style w:type="character" w:customStyle="1" w:styleId="27">
    <w:name w:val="标题 2 Char"/>
    <w:basedOn w:val="15"/>
    <w:link w:val="4"/>
    <w:qFormat/>
    <w:uiPriority w:val="9"/>
    <w:rPr>
      <w:rFonts w:asciiTheme="majorHAnsi" w:hAnsiTheme="majorHAnsi" w:eastAsiaTheme="majorEastAsia" w:cstheme="majorBidi"/>
      <w:b/>
      <w:bCs/>
      <w:kern w:val="2"/>
      <w:sz w:val="32"/>
      <w:szCs w:val="32"/>
    </w:rPr>
  </w:style>
  <w:style w:type="paragraph" w:customStyle="1" w:styleId="28">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9">
    <w:name w:val="批注框文本 Char"/>
    <w:basedOn w:val="15"/>
    <w:link w:val="8"/>
    <w:semiHidden/>
    <w:qFormat/>
    <w:uiPriority w:val="99"/>
    <w:rPr>
      <w:rFonts w:ascii="Times New Roman" w:hAnsi="Times New Roman"/>
      <w:kern w:val="2"/>
      <w:sz w:val="18"/>
      <w:szCs w:val="18"/>
    </w:rPr>
  </w:style>
  <w:style w:type="character" w:customStyle="1" w:styleId="30">
    <w:name w:val="标题 3 Char"/>
    <w:basedOn w:val="15"/>
    <w:link w:val="5"/>
    <w:qFormat/>
    <w:uiPriority w:val="9"/>
    <w:rPr>
      <w:rFonts w:ascii="Times New Roman" w:hAnsi="Times New Roman"/>
      <w:b/>
      <w:bCs/>
      <w:kern w:val="2"/>
      <w:sz w:val="32"/>
      <w:szCs w:val="32"/>
    </w:rPr>
  </w:style>
  <w:style w:type="paragraph" w:customStyle="1" w:styleId="31">
    <w:name w:val="TOC 标题2"/>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32">
    <w:name w:val="WPSOffice手动目录 1"/>
    <w:qFormat/>
    <w:uiPriority w:val="0"/>
    <w:pPr>
      <w:ind w:leftChars="0"/>
    </w:pPr>
    <w:rPr>
      <w:rFonts w:ascii="Times New Roman" w:hAnsi="Times New Roman" w:eastAsia="宋体" w:cs="Times New Roman"/>
      <w:sz w:val="20"/>
      <w:szCs w:val="20"/>
    </w:rPr>
  </w:style>
  <w:style w:type="paragraph" w:customStyle="1" w:styleId="33">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四川省财政厅</Company>
  <Pages>33</Pages>
  <Words>13330</Words>
  <Characters>14279</Characters>
  <Lines>10</Lines>
  <Paragraphs>25</Paragraphs>
  <TotalTime>2</TotalTime>
  <ScaleCrop>false</ScaleCrop>
  <LinksUpToDate>false</LinksUpToDate>
  <CharactersWithSpaces>15047</CharactersWithSpaces>
  <Application>WPS Office_11.8.6.11825_F1E327BC-269C-435d-A152-05C5408002CA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2022-10-09T08:45:00Z</dcterms:created>
  <dc:creator>曹颖</dc:creator>
  <cp:lastModifiedBy>向红桔</cp:lastModifiedBy>
  <cp:lastPrinted>2022-10-14T03:30:00Z</cp:lastPrinted>
  <dcterms:modified xsi:type="dcterms:W3CDTF">2024-12-02T03:09:40Z</dcterms:modified>
  <dc:title>四川省***</dc:title>
  <cp:revision>139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2052-11.8.6.11825</vt:lpwstr>
  </property>
  <property fmtid="{D5CDD505-2E9C-101B-9397-08002B2CF9AE}" pid="3" name="ICV">
    <vt:lpwstr>295E102161564004895310BC439EC55C_13</vt:lpwstr>
  </property>
</Properties>
</file>