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9"/>
        <w:rPr>
          <w:rFonts w:hint="default" w:ascii="方正小标宋简体" w:hAnsi="宋体" w:eastAsia="方正小标宋简体"/>
          <w:color w:val="auto"/>
          <w:sz w:val="72"/>
          <w:szCs w:val="72"/>
          <w:highlight w:val="none"/>
          <w:lang w:val="en-US" w:eastAsia="zh-CN"/>
        </w:rPr>
      </w:pPr>
      <w:bookmarkStart w:id="0" w:name="_Toc15377425"/>
      <w:bookmarkStart w:id="1" w:name="_Toc15396475"/>
      <w:bookmarkStart w:id="2" w:name="_Toc15378441"/>
      <w:bookmarkStart w:id="3" w:name="_Toc15377193"/>
      <w:bookmarkStart w:id="4" w:name="_Toc15396597"/>
      <w:bookmarkStart w:id="5" w:name="_Toc15306267"/>
    </w:p>
    <w:p>
      <w:pPr>
        <w:pStyle w:val="2"/>
        <w:rPr>
          <w:rFonts w:hint="default"/>
          <w:lang w:val="en-US" w:eastAsia="zh-CN"/>
        </w:rPr>
      </w:pPr>
    </w:p>
    <w:p>
      <w:pPr>
        <w:spacing w:line="600" w:lineRule="exact"/>
        <w:jc w:val="center"/>
        <w:outlineLvl w:val="9"/>
        <w:rPr>
          <w:rFonts w:ascii="方正小标宋简体" w:hAnsi="宋体" w:eastAsia="方正小标宋简体"/>
          <w:color w:val="auto"/>
          <w:sz w:val="72"/>
          <w:szCs w:val="72"/>
          <w:highlight w:val="none"/>
        </w:rPr>
      </w:pPr>
    </w:p>
    <w:p>
      <w:pPr>
        <w:spacing w:line="600" w:lineRule="exact"/>
        <w:jc w:val="center"/>
        <w:outlineLvl w:val="9"/>
        <w:rPr>
          <w:rFonts w:ascii="方正小标宋简体" w:hAnsi="宋体" w:eastAsia="方正小标宋简体"/>
          <w:color w:val="auto"/>
          <w:sz w:val="72"/>
          <w:szCs w:val="72"/>
          <w:highlight w:val="none"/>
        </w:rPr>
      </w:pPr>
    </w:p>
    <w:p>
      <w:pPr>
        <w:spacing w:line="600" w:lineRule="exact"/>
        <w:jc w:val="center"/>
        <w:outlineLvl w:val="9"/>
        <w:rPr>
          <w:rFonts w:ascii="方正小标宋简体" w:hAnsi="宋体" w:eastAsia="方正小标宋简体"/>
          <w:color w:val="auto"/>
          <w:sz w:val="72"/>
          <w:szCs w:val="72"/>
          <w:highlight w:val="none"/>
        </w:rPr>
      </w:pPr>
    </w:p>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bookmarkStart w:id="6" w:name="_Toc17179"/>
      <w:bookmarkStart w:id="7" w:name="_Toc18778"/>
      <w:r>
        <w:rPr>
          <w:rFonts w:hint="eastAsia" w:ascii="方正小标宋简体" w:hAnsi="方正小标宋简体" w:eastAsia="方正小标宋简体" w:cs="方正小标宋简体"/>
          <w:color w:val="auto"/>
          <w:sz w:val="72"/>
          <w:szCs w:val="72"/>
          <w:highlight w:val="none"/>
        </w:rPr>
        <w:t>20</w:t>
      </w:r>
      <w:r>
        <w:rPr>
          <w:rFonts w:hint="eastAsia" w:ascii="方正小标宋简体" w:hAnsi="方正小标宋简体" w:eastAsia="方正小标宋简体" w:cs="方正小标宋简体"/>
          <w:color w:val="auto"/>
          <w:sz w:val="72"/>
          <w:szCs w:val="72"/>
          <w:highlight w:val="none"/>
          <w:lang w:val="en-US" w:eastAsia="zh-CN"/>
        </w:rPr>
        <w:t>21</w:t>
      </w:r>
      <w:r>
        <w:rPr>
          <w:rFonts w:hint="eastAsia" w:ascii="方正小标宋简体" w:hAnsi="方正小标宋简体" w:eastAsia="方正小标宋简体" w:cs="方正小标宋简体"/>
          <w:color w:val="auto"/>
          <w:sz w:val="72"/>
          <w:szCs w:val="72"/>
          <w:highlight w:val="none"/>
        </w:rPr>
        <w:t>年度</w:t>
      </w:r>
      <w:bookmarkEnd w:id="0"/>
      <w:bookmarkEnd w:id="1"/>
      <w:bookmarkEnd w:id="2"/>
      <w:bookmarkEnd w:id="3"/>
      <w:bookmarkEnd w:id="4"/>
      <w:bookmarkEnd w:id="6"/>
      <w:bookmarkEnd w:id="7"/>
    </w:p>
    <w:bookmarkEnd w:id="5"/>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bookmarkStart w:id="8" w:name="_Toc15396476"/>
      <w:bookmarkStart w:id="9" w:name="_Toc15306268"/>
      <w:bookmarkStart w:id="10" w:name="_Toc15377194"/>
      <w:bookmarkStart w:id="11" w:name="_Toc15396598"/>
      <w:bookmarkStart w:id="12" w:name="_Toc15377426"/>
      <w:bookmarkStart w:id="13" w:name="_Toc18593"/>
      <w:bookmarkStart w:id="14" w:name="_Toc2716"/>
      <w:bookmarkStart w:id="15" w:name="_Toc15378442"/>
      <w:r>
        <w:rPr>
          <w:rFonts w:hint="eastAsia" w:ascii="方正小标宋简体" w:hAnsi="方正小标宋简体" w:eastAsia="方正小标宋简体" w:cs="方正小标宋简体"/>
          <w:color w:val="auto"/>
          <w:sz w:val="72"/>
          <w:szCs w:val="72"/>
          <w:highlight w:val="none"/>
          <w:lang w:val="en-US" w:eastAsia="zh-CN"/>
        </w:rPr>
        <w:t>旺苍县经济合作事务中心</w:t>
      </w:r>
      <w:r>
        <w:rPr>
          <w:rFonts w:hint="eastAsia" w:ascii="方正小标宋简体" w:hAnsi="方正小标宋简体" w:eastAsia="方正小标宋简体" w:cs="方正小标宋简体"/>
          <w:color w:val="auto"/>
          <w:sz w:val="72"/>
          <w:szCs w:val="72"/>
          <w:highlight w:val="none"/>
        </w:rPr>
        <w:t>部门决算</w:t>
      </w:r>
      <w:bookmarkEnd w:id="8"/>
      <w:bookmarkEnd w:id="9"/>
      <w:bookmarkEnd w:id="10"/>
      <w:bookmarkEnd w:id="11"/>
      <w:bookmarkEnd w:id="12"/>
      <w:bookmarkEnd w:id="13"/>
      <w:bookmarkEnd w:id="14"/>
      <w:bookmarkEnd w:id="15"/>
    </w:p>
    <w:p>
      <w:pPr>
        <w:widowControl/>
        <w:jc w:val="center"/>
        <w:rPr>
          <w:rFonts w:hint="eastAsia" w:ascii="黑体" w:hAnsi="黑体" w:eastAsia="黑体"/>
          <w:color w:val="auto"/>
          <w:sz w:val="48"/>
          <w:szCs w:val="48"/>
          <w:highlight w:val="none"/>
        </w:rPr>
        <w:sectPr>
          <w:headerReference r:id="rId3" w:type="default"/>
          <w:pgSz w:w="11906" w:h="16838"/>
          <w:pgMar w:top="1440" w:right="1800" w:bottom="1440" w:left="1800" w:header="851" w:footer="992" w:gutter="0"/>
          <w:pgNumType w:fmt="numberInDash" w:start="1"/>
          <w:cols w:space="425" w:num="1"/>
          <w:titlePg/>
          <w:docGrid w:type="lines" w:linePitch="312" w:charSpace="0"/>
        </w:sectPr>
      </w:pPr>
    </w:p>
    <w:p>
      <w:pPr>
        <w:widowControl/>
        <w:jc w:val="center"/>
        <w:rPr>
          <w:rFonts w:ascii="黑体" w:hAnsi="黑体" w:eastAsia="黑体" w:cstheme="minorBidi"/>
          <w:color w:val="auto"/>
          <w:sz w:val="28"/>
          <w:szCs w:val="28"/>
          <w:highlight w:val="none"/>
        </w:rPr>
      </w:pPr>
      <w:r>
        <w:rPr>
          <w:rFonts w:hint="eastAsia" w:ascii="黑体" w:hAnsi="黑体" w:eastAsia="黑体"/>
          <w:color w:val="auto"/>
          <w:sz w:val="48"/>
          <w:szCs w:val="48"/>
          <w:highlight w:val="none"/>
        </w:rPr>
        <w:t>目</w:t>
      </w:r>
      <w:r>
        <w:rPr>
          <w:rFonts w:hint="eastAsia" w:ascii="黑体" w:hAnsi="黑体" w:eastAsia="黑体"/>
          <w:color w:val="auto"/>
          <w:sz w:val="48"/>
          <w:szCs w:val="48"/>
          <w:highlight w:val="none"/>
          <w:lang w:val="en-US" w:eastAsia="zh-CN"/>
        </w:rPr>
        <w:t xml:space="preserve">  </w:t>
      </w:r>
      <w:r>
        <w:rPr>
          <w:rFonts w:hint="eastAsia" w:ascii="黑体" w:hAnsi="黑体" w:eastAsia="黑体"/>
          <w:color w:val="auto"/>
          <w:sz w:val="48"/>
          <w:szCs w:val="48"/>
          <w:highlight w:val="none"/>
        </w:rPr>
        <w:t>录</w:t>
      </w:r>
    </w:p>
    <w:p>
      <w:pPr>
        <w:pStyle w:val="11"/>
        <w:rPr>
          <w:color w:val="auto"/>
          <w:highlight w:val="none"/>
        </w:rPr>
      </w:pPr>
      <w:r>
        <w:rPr>
          <w:rFonts w:hint="eastAsia"/>
          <w:color w:val="auto"/>
          <w:highlight w:val="none"/>
        </w:rPr>
        <w:t>公开时间：20</w:t>
      </w:r>
      <w:r>
        <w:rPr>
          <w:rFonts w:hint="eastAsia"/>
          <w:color w:val="auto"/>
          <w:highlight w:val="none"/>
          <w:lang w:val="en-US" w:eastAsia="zh-CN"/>
        </w:rPr>
        <w:t>22</w:t>
      </w:r>
      <w:r>
        <w:rPr>
          <w:rFonts w:hint="eastAsia"/>
          <w:color w:val="auto"/>
          <w:highlight w:val="none"/>
        </w:rPr>
        <w:t>年</w:t>
      </w:r>
      <w:r>
        <w:rPr>
          <w:rFonts w:hint="eastAsia"/>
          <w:color w:val="auto"/>
          <w:highlight w:val="none"/>
          <w:lang w:val="en-US" w:eastAsia="zh-CN"/>
        </w:rPr>
        <w:t>9</w:t>
      </w:r>
      <w:r>
        <w:rPr>
          <w:rFonts w:hint="eastAsia"/>
          <w:color w:val="auto"/>
          <w:highlight w:val="none"/>
        </w:rPr>
        <w:t>月</w:t>
      </w:r>
      <w:r>
        <w:rPr>
          <w:rFonts w:hint="eastAsia"/>
          <w:color w:val="auto"/>
          <w:highlight w:val="none"/>
          <w:lang w:val="en-US" w:eastAsia="zh-CN"/>
        </w:rPr>
        <w:t>27</w:t>
      </w:r>
      <w:r>
        <w:rPr>
          <w:rFonts w:hint="eastAsia"/>
          <w:color w:val="auto"/>
          <w:highlight w:val="none"/>
        </w:rPr>
        <w:t>日</w:t>
      </w:r>
    </w:p>
    <w:sdt>
      <w:sdtPr>
        <w:rPr>
          <w:rFonts w:ascii="宋体" w:hAnsi="宋体" w:eastAsia="宋体" w:cs="Times New Roman"/>
          <w:kern w:val="2"/>
          <w:sz w:val="21"/>
          <w:szCs w:val="24"/>
          <w:lang w:val="en-US" w:eastAsia="zh-CN" w:bidi="ar-SA"/>
        </w:rPr>
        <w:id w:val="147456647"/>
        <w15:color w:val="DBDBDB"/>
        <w:docPartObj>
          <w:docPartGallery w:val="Table of Contents"/>
          <w:docPartUnique/>
        </w:docPartObj>
      </w:sdtPr>
      <w:sdtEndPr>
        <w:rPr>
          <w:rFonts w:ascii="宋体" w:hAnsi="宋体" w:eastAsia="宋体" w:cs="Times New Roman"/>
          <w:b/>
          <w:kern w:val="2"/>
          <w:sz w:val="28"/>
          <w:szCs w:val="28"/>
          <w:lang w:val="en-US" w:eastAsia="zh-CN" w:bidi="ar-SA"/>
        </w:rPr>
      </w:sdtEndPr>
      <w:sdtContent>
        <w:p>
          <w:pPr>
            <w:keepNext w:val="0"/>
            <w:keepLines w:val="0"/>
            <w:pageBreakBefore w:val="0"/>
            <w:kinsoku/>
            <w:wordWrap/>
            <w:overflowPunct/>
            <w:topLinePunct w:val="0"/>
            <w:autoSpaceDE/>
            <w:autoSpaceDN/>
            <w:bidi w:val="0"/>
            <w:adjustRightInd/>
            <w:snapToGrid/>
            <w:spacing w:line="300" w:lineRule="exact"/>
            <w:textAlignment w:val="auto"/>
            <w:rPr>
              <w:rFonts w:ascii="Times New Roman" w:hAnsi="Times New Roman" w:eastAsia="宋体" w:cs="Times New Roman"/>
              <w:b/>
              <w:kern w:val="2"/>
              <w:sz w:val="28"/>
              <w:szCs w:val="28"/>
              <w:lang w:val="en-US" w:eastAsia="zh-CN" w:bidi="ar-SA"/>
            </w:rPr>
          </w:pPr>
          <w:r>
            <w:rPr>
              <w:sz w:val="28"/>
              <w:szCs w:val="28"/>
            </w:rPr>
            <w:fldChar w:fldCharType="begin"/>
          </w:r>
          <w:r>
            <w:rPr>
              <w:sz w:val="28"/>
              <w:szCs w:val="28"/>
            </w:rPr>
            <w:instrText xml:space="preserve">TOC \o "1-2" \h \u </w:instrText>
          </w:r>
          <w:r>
            <w:rPr>
              <w:sz w:val="28"/>
              <w:szCs w:val="28"/>
            </w:rPr>
            <w:fldChar w:fldCharType="separate"/>
          </w:r>
        </w:p>
        <w:p>
          <w:pPr>
            <w:pStyle w:val="11"/>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jc w:val="both"/>
            <w:textAlignment w:val="auto"/>
          </w:pPr>
          <w:r>
            <w:rPr>
              <w:szCs w:val="28"/>
            </w:rPr>
            <w:fldChar w:fldCharType="begin"/>
          </w:r>
          <w:r>
            <w:rPr>
              <w:szCs w:val="28"/>
            </w:rPr>
            <w:instrText xml:space="preserve"> HYPERLINK \l _Toc25368 </w:instrText>
          </w:r>
          <w:r>
            <w:rPr>
              <w:szCs w:val="28"/>
            </w:rPr>
            <w:fldChar w:fldCharType="separate"/>
          </w:r>
          <w:r>
            <w:rPr>
              <w:rFonts w:hint="eastAsia" w:ascii="黑体" w:hAnsi="黑体" w:eastAsia="黑体"/>
              <w:highlight w:val="none"/>
            </w:rPr>
            <w:t xml:space="preserve">第一部分 </w:t>
          </w:r>
          <w:r>
            <w:rPr>
              <w:rFonts w:hint="eastAsia" w:ascii="黑体" w:hAnsi="黑体" w:eastAsia="黑体"/>
              <w:bCs w:val="0"/>
              <w:highlight w:val="none"/>
            </w:rPr>
            <w:t>部门概况</w:t>
          </w:r>
          <w:r>
            <w:tab/>
          </w:r>
          <w:r>
            <w:fldChar w:fldCharType="begin"/>
          </w:r>
          <w:r>
            <w:instrText xml:space="preserve"> PAGEREF _Toc25368 \h </w:instrText>
          </w:r>
          <w:r>
            <w:fldChar w:fldCharType="separate"/>
          </w:r>
          <w:r>
            <w:t>- 1 -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_Toc3980 </w:instrText>
          </w:r>
          <w:r>
            <w:rPr>
              <w:szCs w:val="28"/>
            </w:rPr>
            <w:fldChar w:fldCharType="separate"/>
          </w:r>
          <w:r>
            <w:rPr>
              <w:rFonts w:hint="eastAsia" w:ascii="黑体" w:hAnsi="黑体" w:eastAsia="黑体"/>
              <w:highlight w:val="none"/>
            </w:rPr>
            <w:t>一、基</w:t>
          </w:r>
          <w:r>
            <w:rPr>
              <w:rFonts w:hint="eastAsia" w:ascii="黑体" w:hAnsi="黑体" w:eastAsia="黑体"/>
              <w:bCs w:val="0"/>
              <w:highlight w:val="none"/>
            </w:rPr>
            <w:t>本职能及主要工作</w:t>
          </w:r>
          <w:r>
            <w:tab/>
          </w:r>
          <w:r>
            <w:fldChar w:fldCharType="begin"/>
          </w:r>
          <w:r>
            <w:instrText xml:space="preserve"> PAGEREF _Toc3980 \h </w:instrText>
          </w:r>
          <w:r>
            <w:fldChar w:fldCharType="separate"/>
          </w:r>
          <w:r>
            <w:t>- 1 -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_Toc2152 </w:instrText>
          </w:r>
          <w:r>
            <w:rPr>
              <w:szCs w:val="28"/>
            </w:rPr>
            <w:fldChar w:fldCharType="separate"/>
          </w:r>
          <w:r>
            <w:rPr>
              <w:rFonts w:hint="eastAsia" w:ascii="黑体" w:eastAsia="黑体"/>
              <w:highlight w:val="none"/>
            </w:rPr>
            <w:t>二、</w:t>
          </w:r>
          <w:r>
            <w:rPr>
              <w:rFonts w:hint="eastAsia" w:ascii="黑体" w:hAnsi="黑体" w:eastAsia="黑体"/>
              <w:highlight w:val="none"/>
            </w:rPr>
            <w:t>机</w:t>
          </w:r>
          <w:r>
            <w:rPr>
              <w:rFonts w:hint="eastAsia" w:ascii="黑体" w:hAnsi="黑体" w:eastAsia="黑体"/>
              <w:bCs w:val="0"/>
              <w:highlight w:val="none"/>
            </w:rPr>
            <w:t>构设置</w:t>
          </w:r>
          <w:r>
            <w:tab/>
          </w:r>
          <w:r>
            <w:fldChar w:fldCharType="begin"/>
          </w:r>
          <w:r>
            <w:instrText xml:space="preserve"> PAGEREF _Toc2152 \h </w:instrText>
          </w:r>
          <w:r>
            <w:fldChar w:fldCharType="separate"/>
          </w:r>
          <w:r>
            <w:t>- 3 -</w:t>
          </w:r>
          <w:r>
            <w:fldChar w:fldCharType="end"/>
          </w:r>
          <w:r>
            <w:rPr>
              <w:szCs w:val="28"/>
            </w:rPr>
            <w:fldChar w:fldCharType="end"/>
          </w:r>
        </w:p>
        <w:p>
          <w:pPr>
            <w:pStyle w:val="11"/>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_Toc854 </w:instrText>
          </w:r>
          <w:r>
            <w:rPr>
              <w:szCs w:val="28"/>
            </w:rPr>
            <w:fldChar w:fldCharType="separate"/>
          </w:r>
          <w:r>
            <w:rPr>
              <w:rFonts w:hint="eastAsia" w:ascii="黑体" w:hAnsi="黑体" w:eastAsia="黑体"/>
              <w:bCs/>
              <w:highlight w:val="none"/>
            </w:rPr>
            <w:t xml:space="preserve">第二部分 </w:t>
          </w:r>
          <w:r>
            <w:rPr>
              <w:rFonts w:hint="eastAsia" w:ascii="黑体" w:hAnsi="黑体" w:eastAsia="黑体"/>
              <w:bCs/>
              <w:highlight w:val="none"/>
              <w:lang w:val="en-US" w:eastAsia="zh-CN"/>
            </w:rPr>
            <w:t>2021年度</w:t>
          </w:r>
          <w:r>
            <w:rPr>
              <w:rFonts w:hint="eastAsia" w:ascii="黑体" w:hAnsi="黑体" w:eastAsia="黑体"/>
              <w:bCs/>
              <w:highlight w:val="none"/>
            </w:rPr>
            <w:t>部门决算情况说明</w:t>
          </w:r>
          <w:r>
            <w:tab/>
          </w:r>
          <w:r>
            <w:fldChar w:fldCharType="begin"/>
          </w:r>
          <w:r>
            <w:instrText xml:space="preserve"> PAGEREF _Toc854 \h </w:instrText>
          </w:r>
          <w:r>
            <w:fldChar w:fldCharType="separate"/>
          </w:r>
          <w:r>
            <w:t>- 4 -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_Toc378 </w:instrText>
          </w:r>
          <w:r>
            <w:rPr>
              <w:szCs w:val="28"/>
            </w:rPr>
            <w:fldChar w:fldCharType="separate"/>
          </w:r>
          <w:r>
            <w:rPr>
              <w:rFonts w:hint="default" w:ascii="黑体" w:hAnsi="黑体" w:eastAsia="黑体"/>
            </w:rPr>
            <w:t xml:space="preserve">一、 </w:t>
          </w:r>
          <w:r>
            <w:rPr>
              <w:rFonts w:hint="eastAsia" w:ascii="黑体" w:hAnsi="黑体" w:eastAsia="黑体"/>
              <w:szCs w:val="32"/>
              <w:highlight w:val="none"/>
            </w:rPr>
            <w:t>收</w:t>
          </w:r>
          <w:r>
            <w:rPr>
              <w:rFonts w:hint="eastAsia" w:ascii="黑体" w:hAnsi="黑体" w:eastAsia="黑体"/>
              <w:highlight w:val="none"/>
            </w:rPr>
            <w:t>入支出决算总体情况说明</w:t>
          </w:r>
          <w:r>
            <w:tab/>
          </w:r>
          <w:r>
            <w:fldChar w:fldCharType="begin"/>
          </w:r>
          <w:r>
            <w:instrText xml:space="preserve"> PAGEREF _Toc378 \h </w:instrText>
          </w:r>
          <w:r>
            <w:fldChar w:fldCharType="separate"/>
          </w:r>
          <w:r>
            <w:t>- 4 -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_Toc7160 </w:instrText>
          </w:r>
          <w:r>
            <w:rPr>
              <w:szCs w:val="28"/>
            </w:rPr>
            <w:fldChar w:fldCharType="separate"/>
          </w:r>
          <w:r>
            <w:rPr>
              <w:rFonts w:hint="default" w:ascii="黑体" w:hAnsi="黑体" w:eastAsia="黑体"/>
            </w:rPr>
            <w:t xml:space="preserve">二、 </w:t>
          </w:r>
          <w:r>
            <w:rPr>
              <w:rFonts w:hint="eastAsia" w:ascii="黑体" w:hAnsi="黑体" w:eastAsia="黑体"/>
              <w:szCs w:val="32"/>
              <w:highlight w:val="none"/>
            </w:rPr>
            <w:t>收</w:t>
          </w:r>
          <w:r>
            <w:rPr>
              <w:rFonts w:hint="eastAsia" w:ascii="黑体" w:hAnsi="黑体" w:eastAsia="黑体"/>
              <w:highlight w:val="none"/>
            </w:rPr>
            <w:t>入决算情况说明</w:t>
          </w:r>
          <w:r>
            <w:tab/>
          </w:r>
          <w:r>
            <w:fldChar w:fldCharType="begin"/>
          </w:r>
          <w:r>
            <w:instrText xml:space="preserve"> PAGEREF _Toc7160 \h </w:instrText>
          </w:r>
          <w:r>
            <w:fldChar w:fldCharType="separate"/>
          </w:r>
          <w:r>
            <w:t>- 4 -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_Toc23844 </w:instrText>
          </w:r>
          <w:r>
            <w:rPr>
              <w:szCs w:val="28"/>
            </w:rPr>
            <w:fldChar w:fldCharType="separate"/>
          </w:r>
          <w:r>
            <w:rPr>
              <w:rFonts w:hint="default" w:ascii="黑体" w:hAnsi="黑体" w:eastAsia="黑体"/>
            </w:rPr>
            <w:t xml:space="preserve">三、 </w:t>
          </w:r>
          <w:r>
            <w:rPr>
              <w:rFonts w:hint="eastAsia" w:ascii="黑体" w:hAnsi="黑体" w:eastAsia="黑体"/>
              <w:szCs w:val="32"/>
              <w:highlight w:val="none"/>
            </w:rPr>
            <w:t>支</w:t>
          </w:r>
          <w:r>
            <w:rPr>
              <w:rFonts w:hint="eastAsia" w:ascii="黑体" w:hAnsi="黑体" w:eastAsia="黑体"/>
              <w:highlight w:val="none"/>
            </w:rPr>
            <w:t>出决算情况说明</w:t>
          </w:r>
          <w:r>
            <w:tab/>
          </w:r>
          <w:r>
            <w:fldChar w:fldCharType="begin"/>
          </w:r>
          <w:r>
            <w:instrText xml:space="preserve"> PAGEREF _Toc23844 \h </w:instrText>
          </w:r>
          <w:r>
            <w:fldChar w:fldCharType="separate"/>
          </w:r>
          <w:r>
            <w:t>- 5 -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_Toc4970 </w:instrText>
          </w:r>
          <w:r>
            <w:rPr>
              <w:szCs w:val="28"/>
            </w:rPr>
            <w:fldChar w:fldCharType="separate"/>
          </w:r>
          <w:r>
            <w:rPr>
              <w:rFonts w:hint="eastAsia" w:ascii="黑体" w:hAnsi="黑体" w:eastAsia="黑体"/>
              <w:szCs w:val="32"/>
              <w:highlight w:val="none"/>
            </w:rPr>
            <w:t>四、财</w:t>
          </w:r>
          <w:r>
            <w:rPr>
              <w:rFonts w:hint="eastAsia" w:ascii="黑体" w:hAnsi="黑体" w:eastAsia="黑体"/>
              <w:highlight w:val="none"/>
            </w:rPr>
            <w:t>政拨款收入支出决算总体情况说明</w:t>
          </w:r>
          <w:r>
            <w:tab/>
          </w:r>
          <w:r>
            <w:fldChar w:fldCharType="begin"/>
          </w:r>
          <w:r>
            <w:instrText xml:space="preserve"> PAGEREF _Toc4970 \h </w:instrText>
          </w:r>
          <w:r>
            <w:fldChar w:fldCharType="separate"/>
          </w:r>
          <w:r>
            <w:t>- 6 -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_Toc1013 </w:instrText>
          </w:r>
          <w:r>
            <w:rPr>
              <w:szCs w:val="28"/>
            </w:rPr>
            <w:fldChar w:fldCharType="separate"/>
          </w:r>
          <w:r>
            <w:rPr>
              <w:rFonts w:hint="eastAsia" w:ascii="黑体" w:hAnsi="黑体" w:eastAsia="黑体"/>
              <w:szCs w:val="32"/>
              <w:highlight w:val="none"/>
            </w:rPr>
            <w:t>五、一</w:t>
          </w:r>
          <w:r>
            <w:rPr>
              <w:rFonts w:hint="eastAsia" w:ascii="黑体" w:hAnsi="黑体" w:eastAsia="黑体"/>
              <w:highlight w:val="none"/>
            </w:rPr>
            <w:t>般公共预算财政拨款支出决算情况说明</w:t>
          </w:r>
          <w:r>
            <w:tab/>
          </w:r>
          <w:r>
            <w:fldChar w:fldCharType="begin"/>
          </w:r>
          <w:r>
            <w:instrText xml:space="preserve"> PAGEREF _Toc1013 \h </w:instrText>
          </w:r>
          <w:r>
            <w:fldChar w:fldCharType="separate"/>
          </w:r>
          <w:r>
            <w:t>- 6 -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_Toc27521 </w:instrText>
          </w:r>
          <w:r>
            <w:rPr>
              <w:szCs w:val="28"/>
            </w:rPr>
            <w:fldChar w:fldCharType="separate"/>
          </w:r>
          <w:r>
            <w:rPr>
              <w:rFonts w:hint="eastAsia" w:ascii="黑体" w:eastAsia="黑体"/>
              <w:szCs w:val="32"/>
              <w:highlight w:val="none"/>
            </w:rPr>
            <w:t>六、</w:t>
          </w:r>
          <w:r>
            <w:rPr>
              <w:rFonts w:hint="eastAsia" w:ascii="黑体" w:hAnsi="黑体" w:eastAsia="黑体"/>
              <w:szCs w:val="32"/>
              <w:highlight w:val="none"/>
            </w:rPr>
            <w:t>一</w:t>
          </w:r>
          <w:r>
            <w:rPr>
              <w:rFonts w:hint="eastAsia" w:ascii="黑体" w:hAnsi="黑体" w:eastAsia="黑体"/>
              <w:highlight w:val="none"/>
            </w:rPr>
            <w:t>般公共预算财政拨款基本支出决算情况说明</w:t>
          </w:r>
          <w:r>
            <w:tab/>
          </w:r>
          <w:r>
            <w:fldChar w:fldCharType="begin"/>
          </w:r>
          <w:r>
            <w:instrText xml:space="preserve"> PAGEREF _Toc27521 \h </w:instrText>
          </w:r>
          <w:r>
            <w:fldChar w:fldCharType="separate"/>
          </w:r>
          <w:r>
            <w:t>- 9 -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_Toc26758 </w:instrText>
          </w:r>
          <w:r>
            <w:rPr>
              <w:szCs w:val="28"/>
            </w:rPr>
            <w:fldChar w:fldCharType="separate"/>
          </w:r>
          <w:r>
            <w:rPr>
              <w:rFonts w:hint="eastAsia" w:ascii="黑体" w:eastAsia="黑体"/>
              <w:szCs w:val="32"/>
              <w:highlight w:val="none"/>
            </w:rPr>
            <w:t>七、</w:t>
          </w:r>
          <w:r>
            <w:rPr>
              <w:rFonts w:hint="eastAsia" w:ascii="黑体" w:hAnsi="黑体" w:eastAsia="黑体"/>
              <w:highlight w:val="none"/>
            </w:rPr>
            <w:t>“三公”经费财政拨款支出决算情况说明</w:t>
          </w:r>
          <w:r>
            <w:tab/>
          </w:r>
          <w:r>
            <w:fldChar w:fldCharType="begin"/>
          </w:r>
          <w:r>
            <w:instrText xml:space="preserve"> PAGEREF _Toc26758 \h </w:instrText>
          </w:r>
          <w:r>
            <w:fldChar w:fldCharType="separate"/>
          </w:r>
          <w:r>
            <w:t>- 9 -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_Toc22428 </w:instrText>
          </w:r>
          <w:r>
            <w:rPr>
              <w:szCs w:val="28"/>
            </w:rPr>
            <w:fldChar w:fldCharType="separate"/>
          </w:r>
          <w:r>
            <w:rPr>
              <w:rFonts w:hint="eastAsia" w:ascii="黑体" w:eastAsia="黑体"/>
              <w:szCs w:val="32"/>
              <w:highlight w:val="none"/>
            </w:rPr>
            <w:t>八、</w:t>
          </w:r>
          <w:r>
            <w:rPr>
              <w:rFonts w:hint="eastAsia" w:ascii="黑体" w:hAnsi="黑体" w:eastAsia="黑体"/>
              <w:highlight w:val="none"/>
            </w:rPr>
            <w:t>政府性基金预算支出决算情况说明</w:t>
          </w:r>
          <w:r>
            <w:tab/>
          </w:r>
          <w:r>
            <w:fldChar w:fldCharType="begin"/>
          </w:r>
          <w:r>
            <w:instrText xml:space="preserve"> PAGEREF _Toc22428 \h </w:instrText>
          </w:r>
          <w:r>
            <w:fldChar w:fldCharType="separate"/>
          </w:r>
          <w:r>
            <w:t>- 10 -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_Toc29978 </w:instrText>
          </w:r>
          <w:r>
            <w:rPr>
              <w:szCs w:val="28"/>
            </w:rPr>
            <w:fldChar w:fldCharType="separate"/>
          </w:r>
          <w:r>
            <w:rPr>
              <w:rFonts w:hint="eastAsia" w:ascii="黑体" w:hAnsi="黑体" w:eastAsia="黑体"/>
            </w:rPr>
            <w:t xml:space="preserve">九、 </w:t>
          </w:r>
          <w:r>
            <w:rPr>
              <w:rFonts w:hint="eastAsia" w:ascii="黑体" w:hAnsi="黑体" w:eastAsia="黑体"/>
              <w:highlight w:val="none"/>
            </w:rPr>
            <w:t>国有资本经营预算支出决算情况说明</w:t>
          </w:r>
          <w:r>
            <w:tab/>
          </w:r>
          <w:r>
            <w:fldChar w:fldCharType="begin"/>
          </w:r>
          <w:r>
            <w:instrText xml:space="preserve"> PAGEREF _Toc29978 \h </w:instrText>
          </w:r>
          <w:r>
            <w:fldChar w:fldCharType="separate"/>
          </w:r>
          <w:r>
            <w:t>- 11 -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_Toc17616 </w:instrText>
          </w:r>
          <w:r>
            <w:rPr>
              <w:szCs w:val="28"/>
            </w:rPr>
            <w:fldChar w:fldCharType="separate"/>
          </w:r>
          <w:r>
            <w:rPr>
              <w:rFonts w:hint="eastAsia" w:ascii="黑体" w:hAnsi="黑体" w:eastAsia="黑体"/>
            </w:rPr>
            <w:t xml:space="preserve">十、 </w:t>
          </w:r>
          <w:r>
            <w:rPr>
              <w:rFonts w:hint="eastAsia" w:ascii="黑体" w:hAnsi="黑体" w:eastAsia="黑体"/>
              <w:highlight w:val="none"/>
              <w:lang w:val="en-US" w:eastAsia="zh-CN"/>
            </w:rPr>
            <w:t>预算绩效管理情况</w:t>
          </w:r>
          <w:r>
            <w:tab/>
          </w:r>
          <w:r>
            <w:fldChar w:fldCharType="begin"/>
          </w:r>
          <w:r>
            <w:instrText xml:space="preserve"> PAGEREF _Toc17616 \h </w:instrText>
          </w:r>
          <w:r>
            <w:fldChar w:fldCharType="separate"/>
          </w:r>
          <w:r>
            <w:t>- 11 -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_Toc25545 </w:instrText>
          </w:r>
          <w:r>
            <w:rPr>
              <w:szCs w:val="28"/>
            </w:rPr>
            <w:fldChar w:fldCharType="separate"/>
          </w:r>
          <w:r>
            <w:rPr>
              <w:rFonts w:hint="eastAsia" w:ascii="黑体" w:hAnsi="黑体" w:eastAsia="黑体"/>
            </w:rPr>
            <w:t xml:space="preserve">十一、 </w:t>
          </w:r>
          <w:r>
            <w:rPr>
              <w:rFonts w:hint="eastAsia" w:ascii="黑体" w:hAnsi="黑体" w:eastAsia="黑体"/>
              <w:highlight w:val="none"/>
            </w:rPr>
            <w:t>其他重要事项的情况说明</w:t>
          </w:r>
          <w:r>
            <w:tab/>
          </w:r>
          <w:r>
            <w:fldChar w:fldCharType="begin"/>
          </w:r>
          <w:r>
            <w:instrText xml:space="preserve"> PAGEREF _Toc25545 \h </w:instrText>
          </w:r>
          <w:r>
            <w:fldChar w:fldCharType="separate"/>
          </w:r>
          <w:r>
            <w:t>- 18 -</w:t>
          </w:r>
          <w:r>
            <w:fldChar w:fldCharType="end"/>
          </w:r>
          <w:r>
            <w:rPr>
              <w:szCs w:val="28"/>
            </w:rPr>
            <w:fldChar w:fldCharType="end"/>
          </w:r>
        </w:p>
        <w:p>
          <w:pPr>
            <w:pStyle w:val="11"/>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_Toc2177 </w:instrText>
          </w:r>
          <w:r>
            <w:rPr>
              <w:szCs w:val="28"/>
            </w:rPr>
            <w:fldChar w:fldCharType="separate"/>
          </w:r>
          <w:r>
            <w:rPr>
              <w:rFonts w:hint="eastAsia" w:ascii="黑体" w:hAnsi="黑体" w:eastAsia="黑体"/>
            </w:rPr>
            <w:t xml:space="preserve">第三部分 </w:t>
          </w:r>
          <w:r>
            <w:rPr>
              <w:rFonts w:hint="eastAsia" w:ascii="黑体" w:hAnsi="黑体" w:eastAsia="黑体"/>
              <w:szCs w:val="44"/>
              <w:highlight w:val="none"/>
            </w:rPr>
            <w:t>名</w:t>
          </w:r>
          <w:r>
            <w:rPr>
              <w:rFonts w:hint="eastAsia" w:ascii="黑体" w:hAnsi="黑体" w:eastAsia="黑体"/>
              <w:highlight w:val="none"/>
            </w:rPr>
            <w:t>词解释</w:t>
          </w:r>
          <w:r>
            <w:tab/>
          </w:r>
          <w:r>
            <w:fldChar w:fldCharType="begin"/>
          </w:r>
          <w:r>
            <w:instrText xml:space="preserve"> PAGEREF _Toc2177 \h </w:instrText>
          </w:r>
          <w:r>
            <w:fldChar w:fldCharType="separate"/>
          </w:r>
          <w:r>
            <w:t>- 19 -</w:t>
          </w:r>
          <w:r>
            <w:fldChar w:fldCharType="end"/>
          </w:r>
          <w:r>
            <w:rPr>
              <w:szCs w:val="28"/>
            </w:rPr>
            <w:fldChar w:fldCharType="end"/>
          </w:r>
        </w:p>
        <w:p>
          <w:pPr>
            <w:pStyle w:val="11"/>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_Toc10871 </w:instrText>
          </w:r>
          <w:r>
            <w:rPr>
              <w:szCs w:val="28"/>
            </w:rPr>
            <w:fldChar w:fldCharType="separate"/>
          </w:r>
          <w:r>
            <w:rPr>
              <w:rFonts w:hint="eastAsia" w:ascii="黑体" w:hAnsi="黑体" w:eastAsia="黑体"/>
              <w:szCs w:val="44"/>
              <w:highlight w:val="none"/>
            </w:rPr>
            <w:t>第</w:t>
          </w:r>
          <w:r>
            <w:rPr>
              <w:rFonts w:hint="eastAsia" w:ascii="黑体" w:hAnsi="黑体" w:eastAsia="黑体"/>
              <w:highlight w:val="none"/>
            </w:rPr>
            <w:t>四部分 附件</w:t>
          </w:r>
          <w:r>
            <w:tab/>
          </w:r>
          <w:r>
            <w:fldChar w:fldCharType="begin"/>
          </w:r>
          <w:r>
            <w:instrText xml:space="preserve"> PAGEREF _Toc10871 \h </w:instrText>
          </w:r>
          <w:r>
            <w:fldChar w:fldCharType="separate"/>
          </w:r>
          <w:r>
            <w:t>- 22 -</w:t>
          </w:r>
          <w:r>
            <w:fldChar w:fldCharType="end"/>
          </w:r>
          <w:r>
            <w:rPr>
              <w:szCs w:val="28"/>
            </w:rPr>
            <w:fldChar w:fldCharType="end"/>
          </w:r>
        </w:p>
        <w:p>
          <w:pPr>
            <w:pStyle w:val="11"/>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_Toc15629 </w:instrText>
          </w:r>
          <w:r>
            <w:rPr>
              <w:szCs w:val="28"/>
            </w:rPr>
            <w:fldChar w:fldCharType="separate"/>
          </w:r>
          <w:r>
            <w:rPr>
              <w:rFonts w:hint="eastAsia" w:ascii="黑体" w:hAnsi="黑体" w:eastAsia="黑体"/>
              <w:szCs w:val="44"/>
              <w:highlight w:val="none"/>
            </w:rPr>
            <w:t>第</w:t>
          </w:r>
          <w:r>
            <w:rPr>
              <w:rFonts w:hint="eastAsia" w:ascii="黑体" w:hAnsi="黑体" w:eastAsia="黑体"/>
              <w:highlight w:val="none"/>
            </w:rPr>
            <w:t>五部分 附表</w:t>
          </w:r>
          <w:r>
            <w:tab/>
          </w:r>
          <w:r>
            <w:fldChar w:fldCharType="begin"/>
          </w:r>
          <w:r>
            <w:instrText xml:space="preserve"> PAGEREF _Toc15629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_Toc3628 </w:instrText>
          </w:r>
          <w:r>
            <w:rPr>
              <w:szCs w:val="28"/>
            </w:rPr>
            <w:fldChar w:fldCharType="separate"/>
          </w:r>
          <w:r>
            <w:rPr>
              <w:rFonts w:hint="eastAsia" w:ascii="仿宋" w:hAnsi="仿宋" w:eastAsia="仿宋"/>
              <w:highlight w:val="none"/>
            </w:rPr>
            <w:t>一、收</w:t>
          </w:r>
          <w:r>
            <w:rPr>
              <w:rFonts w:hint="eastAsia" w:ascii="仿宋" w:hAnsi="仿宋" w:eastAsia="仿宋"/>
              <w:bCs w:val="0"/>
              <w:highlight w:val="none"/>
            </w:rPr>
            <w:t>入支出决算总表</w:t>
          </w:r>
          <w:r>
            <w:tab/>
          </w:r>
          <w:r>
            <w:fldChar w:fldCharType="begin"/>
          </w:r>
          <w:r>
            <w:instrText xml:space="preserve"> PAGEREF _Toc3628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_Toc4313 </w:instrText>
          </w:r>
          <w:r>
            <w:rPr>
              <w:szCs w:val="28"/>
            </w:rPr>
            <w:fldChar w:fldCharType="separate"/>
          </w:r>
          <w:r>
            <w:rPr>
              <w:rFonts w:hint="eastAsia" w:ascii="仿宋" w:hAnsi="仿宋" w:eastAsia="仿宋"/>
              <w:highlight w:val="none"/>
            </w:rPr>
            <w:t>二、收</w:t>
          </w:r>
          <w:r>
            <w:rPr>
              <w:rFonts w:hint="eastAsia" w:ascii="仿宋" w:hAnsi="仿宋" w:eastAsia="仿宋"/>
              <w:bCs w:val="0"/>
              <w:highlight w:val="none"/>
            </w:rPr>
            <w:t>入决算表</w:t>
          </w:r>
          <w:r>
            <w:tab/>
          </w:r>
          <w:r>
            <w:fldChar w:fldCharType="begin"/>
          </w:r>
          <w:r>
            <w:instrText xml:space="preserve"> PAGEREF _Toc4313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_Toc8100 </w:instrText>
          </w:r>
          <w:r>
            <w:rPr>
              <w:szCs w:val="28"/>
            </w:rPr>
            <w:fldChar w:fldCharType="separate"/>
          </w:r>
          <w:r>
            <w:rPr>
              <w:rFonts w:hint="eastAsia" w:ascii="仿宋" w:hAnsi="仿宋" w:eastAsia="仿宋"/>
              <w:bCs w:val="0"/>
              <w:highlight w:val="none"/>
            </w:rPr>
            <w:t>三、</w:t>
          </w:r>
          <w:r>
            <w:rPr>
              <w:rFonts w:hint="eastAsia" w:ascii="仿宋" w:hAnsi="仿宋" w:eastAsia="仿宋"/>
              <w:highlight w:val="none"/>
            </w:rPr>
            <w:t>支</w:t>
          </w:r>
          <w:r>
            <w:rPr>
              <w:rFonts w:hint="eastAsia" w:ascii="仿宋" w:hAnsi="仿宋" w:eastAsia="仿宋"/>
              <w:bCs w:val="0"/>
              <w:highlight w:val="none"/>
            </w:rPr>
            <w:t>出决算表</w:t>
          </w:r>
          <w:r>
            <w:tab/>
          </w:r>
          <w:r>
            <w:fldChar w:fldCharType="begin"/>
          </w:r>
          <w:r>
            <w:instrText xml:space="preserve"> PAGEREF _Toc8100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_Toc1018 </w:instrText>
          </w:r>
          <w:r>
            <w:rPr>
              <w:szCs w:val="28"/>
            </w:rPr>
            <w:fldChar w:fldCharType="separate"/>
          </w:r>
          <w:r>
            <w:rPr>
              <w:rFonts w:hint="eastAsia" w:ascii="仿宋" w:hAnsi="仿宋" w:eastAsia="仿宋"/>
              <w:bCs w:val="0"/>
              <w:highlight w:val="none"/>
            </w:rPr>
            <w:t>四、</w:t>
          </w:r>
          <w:r>
            <w:rPr>
              <w:rFonts w:hint="eastAsia" w:ascii="仿宋" w:hAnsi="仿宋" w:eastAsia="仿宋"/>
              <w:highlight w:val="none"/>
            </w:rPr>
            <w:t>财</w:t>
          </w:r>
          <w:r>
            <w:rPr>
              <w:rFonts w:hint="eastAsia" w:ascii="仿宋" w:hAnsi="仿宋" w:eastAsia="仿宋"/>
              <w:bCs w:val="0"/>
              <w:highlight w:val="none"/>
            </w:rPr>
            <w:t>政拨款收入支出决算总表</w:t>
          </w:r>
          <w:r>
            <w:tab/>
          </w:r>
          <w:r>
            <w:fldChar w:fldCharType="begin"/>
          </w:r>
          <w:r>
            <w:instrText xml:space="preserve"> PAGEREF _Toc1018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_Toc25929 </w:instrText>
          </w:r>
          <w:r>
            <w:rPr>
              <w:szCs w:val="28"/>
            </w:rPr>
            <w:fldChar w:fldCharType="separate"/>
          </w:r>
          <w:r>
            <w:rPr>
              <w:rFonts w:hint="eastAsia" w:ascii="仿宋" w:hAnsi="仿宋" w:eastAsia="仿宋"/>
              <w:bCs w:val="0"/>
              <w:highlight w:val="none"/>
            </w:rPr>
            <w:t>五、</w:t>
          </w:r>
          <w:r>
            <w:rPr>
              <w:rFonts w:hint="eastAsia" w:ascii="仿宋" w:hAnsi="仿宋" w:eastAsia="仿宋"/>
              <w:highlight w:val="none"/>
            </w:rPr>
            <w:t>财</w:t>
          </w:r>
          <w:r>
            <w:rPr>
              <w:rFonts w:hint="eastAsia" w:ascii="仿宋" w:hAnsi="仿宋" w:eastAsia="仿宋"/>
              <w:bCs w:val="0"/>
              <w:highlight w:val="none"/>
            </w:rPr>
            <w:t>政拨款支出决算明细表</w:t>
          </w:r>
          <w:r>
            <w:tab/>
          </w:r>
          <w:r>
            <w:fldChar w:fldCharType="begin"/>
          </w:r>
          <w:r>
            <w:instrText xml:space="preserve"> PAGEREF _Toc25929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_Toc5404 </w:instrText>
          </w:r>
          <w:r>
            <w:rPr>
              <w:szCs w:val="28"/>
            </w:rPr>
            <w:fldChar w:fldCharType="separate"/>
          </w:r>
          <w:r>
            <w:rPr>
              <w:rFonts w:hint="eastAsia" w:ascii="仿宋" w:hAnsi="仿宋" w:eastAsia="仿宋"/>
              <w:bCs w:val="0"/>
              <w:highlight w:val="none"/>
            </w:rPr>
            <w:t>六、</w:t>
          </w:r>
          <w:r>
            <w:rPr>
              <w:rFonts w:hint="eastAsia" w:ascii="仿宋" w:hAnsi="仿宋" w:eastAsia="仿宋"/>
              <w:highlight w:val="none"/>
            </w:rPr>
            <w:t>一</w:t>
          </w:r>
          <w:r>
            <w:rPr>
              <w:rFonts w:hint="eastAsia" w:ascii="仿宋" w:hAnsi="仿宋" w:eastAsia="仿宋"/>
              <w:bCs w:val="0"/>
              <w:highlight w:val="none"/>
            </w:rPr>
            <w:t>般公共预算财政拨款支出决算表</w:t>
          </w:r>
          <w:r>
            <w:tab/>
          </w:r>
          <w:r>
            <w:fldChar w:fldCharType="begin"/>
          </w:r>
          <w:r>
            <w:instrText xml:space="preserve"> PAGEREF _Toc5404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_Toc20050 </w:instrText>
          </w:r>
          <w:r>
            <w:rPr>
              <w:szCs w:val="28"/>
            </w:rPr>
            <w:fldChar w:fldCharType="separate"/>
          </w:r>
          <w:r>
            <w:rPr>
              <w:rFonts w:hint="eastAsia" w:ascii="仿宋" w:hAnsi="仿宋" w:eastAsia="仿宋"/>
              <w:bCs w:val="0"/>
              <w:highlight w:val="none"/>
            </w:rPr>
            <w:t>七、</w:t>
          </w:r>
          <w:r>
            <w:rPr>
              <w:rFonts w:hint="eastAsia" w:ascii="仿宋" w:hAnsi="仿宋" w:eastAsia="仿宋"/>
              <w:highlight w:val="none"/>
            </w:rPr>
            <w:t>一</w:t>
          </w:r>
          <w:r>
            <w:rPr>
              <w:rFonts w:hint="eastAsia" w:ascii="仿宋" w:hAnsi="仿宋" w:eastAsia="仿宋"/>
              <w:bCs w:val="0"/>
              <w:highlight w:val="none"/>
            </w:rPr>
            <w:t>般公共预算财政拨款支出决算明细表</w:t>
          </w:r>
          <w:r>
            <w:tab/>
          </w:r>
          <w:r>
            <w:fldChar w:fldCharType="begin"/>
          </w:r>
          <w:r>
            <w:instrText xml:space="preserve"> PAGEREF _Toc20050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_Toc15569 </w:instrText>
          </w:r>
          <w:r>
            <w:rPr>
              <w:szCs w:val="28"/>
            </w:rPr>
            <w:fldChar w:fldCharType="separate"/>
          </w:r>
          <w:r>
            <w:rPr>
              <w:rFonts w:hint="eastAsia" w:ascii="仿宋" w:hAnsi="仿宋" w:eastAsia="仿宋"/>
              <w:bCs w:val="0"/>
              <w:highlight w:val="none"/>
            </w:rPr>
            <w:t>八、</w:t>
          </w:r>
          <w:r>
            <w:rPr>
              <w:rFonts w:hint="eastAsia" w:ascii="仿宋" w:hAnsi="仿宋" w:eastAsia="仿宋"/>
              <w:highlight w:val="none"/>
            </w:rPr>
            <w:t>一</w:t>
          </w:r>
          <w:r>
            <w:rPr>
              <w:rFonts w:hint="eastAsia" w:ascii="仿宋" w:hAnsi="仿宋" w:eastAsia="仿宋"/>
              <w:bCs w:val="0"/>
              <w:highlight w:val="none"/>
            </w:rPr>
            <w:t>般公共预算财政拨款基本支出决算表</w:t>
          </w:r>
          <w:r>
            <w:tab/>
          </w:r>
          <w:r>
            <w:fldChar w:fldCharType="begin"/>
          </w:r>
          <w:r>
            <w:instrText xml:space="preserve"> PAGEREF _Toc15569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_Toc1631 </w:instrText>
          </w:r>
          <w:r>
            <w:rPr>
              <w:szCs w:val="28"/>
            </w:rPr>
            <w:fldChar w:fldCharType="separate"/>
          </w:r>
          <w:r>
            <w:rPr>
              <w:rFonts w:hint="eastAsia" w:ascii="仿宋" w:hAnsi="仿宋" w:eastAsia="仿宋"/>
              <w:bCs w:val="0"/>
              <w:highlight w:val="none"/>
            </w:rPr>
            <w:t>九、</w:t>
          </w:r>
          <w:r>
            <w:rPr>
              <w:rFonts w:hint="eastAsia" w:ascii="仿宋" w:hAnsi="仿宋" w:eastAsia="仿宋"/>
              <w:highlight w:val="none"/>
            </w:rPr>
            <w:t>一</w:t>
          </w:r>
          <w:r>
            <w:rPr>
              <w:rFonts w:hint="eastAsia" w:ascii="仿宋" w:hAnsi="仿宋" w:eastAsia="仿宋"/>
              <w:bCs w:val="0"/>
              <w:highlight w:val="none"/>
            </w:rPr>
            <w:t>般公共预算财政拨款项目支出决算表</w:t>
          </w:r>
          <w:r>
            <w:tab/>
          </w:r>
          <w:r>
            <w:fldChar w:fldCharType="begin"/>
          </w:r>
          <w:r>
            <w:instrText xml:space="preserve"> PAGEREF _Toc1631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_Toc71 </w:instrText>
          </w:r>
          <w:r>
            <w:rPr>
              <w:szCs w:val="28"/>
            </w:rPr>
            <w:fldChar w:fldCharType="separate"/>
          </w:r>
          <w:r>
            <w:rPr>
              <w:rFonts w:hint="eastAsia" w:ascii="仿宋" w:hAnsi="仿宋" w:eastAsia="仿宋"/>
              <w:bCs w:val="0"/>
              <w:highlight w:val="none"/>
            </w:rPr>
            <w:t>十、</w:t>
          </w:r>
          <w:r>
            <w:rPr>
              <w:rFonts w:hint="eastAsia" w:ascii="仿宋" w:hAnsi="仿宋" w:eastAsia="仿宋"/>
              <w:highlight w:val="none"/>
            </w:rPr>
            <w:t>一</w:t>
          </w:r>
          <w:r>
            <w:rPr>
              <w:rFonts w:hint="eastAsia" w:ascii="仿宋" w:hAnsi="仿宋" w:eastAsia="仿宋"/>
              <w:bCs w:val="0"/>
              <w:highlight w:val="none"/>
            </w:rPr>
            <w:t>般公共预算财政拨款“三公”经费支出决算表</w:t>
          </w:r>
          <w:r>
            <w:tab/>
          </w:r>
          <w:r>
            <w:fldChar w:fldCharType="begin"/>
          </w:r>
          <w:r>
            <w:instrText xml:space="preserve"> PAGEREF _Toc71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_Toc3525 </w:instrText>
          </w:r>
          <w:r>
            <w:rPr>
              <w:szCs w:val="28"/>
            </w:rPr>
            <w:fldChar w:fldCharType="separate"/>
          </w:r>
          <w:r>
            <w:rPr>
              <w:rFonts w:hint="eastAsia" w:ascii="仿宋" w:hAnsi="仿宋" w:eastAsia="仿宋"/>
              <w:bCs w:val="0"/>
              <w:highlight w:val="none"/>
            </w:rPr>
            <w:t>十一、</w:t>
          </w:r>
          <w:r>
            <w:rPr>
              <w:rFonts w:hint="eastAsia" w:ascii="仿宋" w:hAnsi="仿宋" w:eastAsia="仿宋"/>
              <w:highlight w:val="none"/>
            </w:rPr>
            <w:t>政</w:t>
          </w:r>
          <w:r>
            <w:rPr>
              <w:rFonts w:hint="eastAsia" w:ascii="仿宋" w:hAnsi="仿宋" w:eastAsia="仿宋"/>
              <w:bCs w:val="0"/>
              <w:highlight w:val="none"/>
            </w:rPr>
            <w:t>府性基金预算财政拨款收入支出决算表</w:t>
          </w:r>
          <w:r>
            <w:tab/>
          </w:r>
          <w:r>
            <w:fldChar w:fldCharType="begin"/>
          </w:r>
          <w:r>
            <w:instrText xml:space="preserve"> PAGEREF _Toc3525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_Toc14039 </w:instrText>
          </w:r>
          <w:r>
            <w:rPr>
              <w:szCs w:val="28"/>
            </w:rPr>
            <w:fldChar w:fldCharType="separate"/>
          </w:r>
          <w:r>
            <w:rPr>
              <w:rFonts w:hint="eastAsia" w:ascii="仿宋" w:hAnsi="仿宋" w:eastAsia="仿宋"/>
              <w:bCs w:val="0"/>
              <w:highlight w:val="none"/>
            </w:rPr>
            <w:t>十二、</w:t>
          </w:r>
          <w:r>
            <w:rPr>
              <w:rFonts w:hint="eastAsia" w:ascii="仿宋" w:hAnsi="仿宋" w:eastAsia="仿宋"/>
              <w:highlight w:val="none"/>
            </w:rPr>
            <w:t>政</w:t>
          </w:r>
          <w:r>
            <w:rPr>
              <w:rFonts w:hint="eastAsia" w:ascii="仿宋" w:hAnsi="仿宋" w:eastAsia="仿宋"/>
              <w:bCs w:val="0"/>
              <w:highlight w:val="none"/>
            </w:rPr>
            <w:t>府性基金预算财政拨款“三公”经费支出决算表</w:t>
          </w:r>
          <w:r>
            <w:tab/>
          </w:r>
          <w:r>
            <w:fldChar w:fldCharType="begin"/>
          </w:r>
          <w:r>
            <w:instrText xml:space="preserve"> PAGEREF _Toc14039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_Toc15730 </w:instrText>
          </w:r>
          <w:r>
            <w:rPr>
              <w:szCs w:val="28"/>
            </w:rPr>
            <w:fldChar w:fldCharType="separate"/>
          </w:r>
          <w:r>
            <w:rPr>
              <w:rFonts w:hint="eastAsia" w:ascii="仿宋" w:hAnsi="仿宋" w:eastAsia="仿宋"/>
              <w:bCs w:val="0"/>
              <w:highlight w:val="none"/>
            </w:rPr>
            <w:t>十三、</w:t>
          </w:r>
          <w:r>
            <w:rPr>
              <w:rFonts w:hint="eastAsia" w:ascii="仿宋" w:hAnsi="仿宋" w:eastAsia="仿宋"/>
              <w:highlight w:val="none"/>
            </w:rPr>
            <w:t>国</w:t>
          </w:r>
          <w:r>
            <w:rPr>
              <w:rFonts w:hint="eastAsia" w:ascii="仿宋" w:hAnsi="仿宋" w:eastAsia="仿宋"/>
              <w:bCs w:val="0"/>
              <w:highlight w:val="none"/>
            </w:rPr>
            <w:t>有资本经营预算</w:t>
          </w:r>
          <w:r>
            <w:rPr>
              <w:rFonts w:hint="eastAsia" w:ascii="仿宋" w:hAnsi="仿宋" w:eastAsia="仿宋"/>
              <w:bCs w:val="0"/>
              <w:highlight w:val="none"/>
              <w:lang w:eastAsia="zh-CN"/>
            </w:rPr>
            <w:t>财政拨款收入</w:t>
          </w:r>
          <w:r>
            <w:rPr>
              <w:rFonts w:hint="eastAsia" w:ascii="仿宋" w:hAnsi="仿宋" w:eastAsia="仿宋"/>
              <w:bCs w:val="0"/>
              <w:highlight w:val="none"/>
            </w:rPr>
            <w:t>支出决算表</w:t>
          </w:r>
          <w:r>
            <w:tab/>
          </w:r>
          <w:r>
            <w:fldChar w:fldCharType="begin"/>
          </w:r>
          <w:r>
            <w:instrText xml:space="preserve"> PAGEREF _Toc15730 \h </w:instrText>
          </w:r>
          <w:r>
            <w:fldChar w:fldCharType="separate"/>
          </w:r>
          <w:r>
            <w:t>- 43 -</w:t>
          </w:r>
          <w:r>
            <w:fldChar w:fldCharType="end"/>
          </w:r>
          <w:r>
            <w:rPr>
              <w:szCs w:val="28"/>
            </w:rPr>
            <w:fldChar w:fldCharType="end"/>
          </w:r>
        </w:p>
        <w:p>
          <w:pPr>
            <w:pStyle w:val="12"/>
            <w:keepNext w:val="0"/>
            <w:keepLines w:val="0"/>
            <w:pageBreakBefore w:val="0"/>
            <w:tabs>
              <w:tab w:val="right" w:leader="dot" w:pos="8306"/>
              <w:tab w:val="clear" w:pos="8296"/>
            </w:tabs>
            <w:kinsoku/>
            <w:wordWrap/>
            <w:overflowPunct/>
            <w:topLinePunct w:val="0"/>
            <w:autoSpaceDE/>
            <w:autoSpaceDN/>
            <w:bidi w:val="0"/>
            <w:adjustRightInd/>
            <w:snapToGrid/>
            <w:spacing w:line="300" w:lineRule="exact"/>
            <w:textAlignment w:val="auto"/>
          </w:pPr>
          <w:r>
            <w:rPr>
              <w:szCs w:val="28"/>
            </w:rPr>
            <w:fldChar w:fldCharType="begin"/>
          </w:r>
          <w:r>
            <w:rPr>
              <w:szCs w:val="28"/>
            </w:rPr>
            <w:instrText xml:space="preserve"> HYPERLINK \l _Toc226 </w:instrText>
          </w:r>
          <w:r>
            <w:rPr>
              <w:szCs w:val="28"/>
            </w:rPr>
            <w:fldChar w:fldCharType="separate"/>
          </w:r>
          <w:r>
            <w:rPr>
              <w:rFonts w:hint="eastAsia" w:ascii="仿宋" w:hAnsi="仿宋" w:eastAsia="仿宋"/>
              <w:bCs w:val="0"/>
              <w:highlight w:val="none"/>
              <w:lang w:eastAsia="zh-CN"/>
            </w:rPr>
            <w:t>十四、国有资本经营预算财政拨款支出决算表</w:t>
          </w:r>
          <w:r>
            <w:tab/>
          </w:r>
          <w:r>
            <w:fldChar w:fldCharType="begin"/>
          </w:r>
          <w:r>
            <w:instrText xml:space="preserve"> PAGEREF _Toc226 \h </w:instrText>
          </w:r>
          <w:r>
            <w:fldChar w:fldCharType="separate"/>
          </w:r>
          <w:r>
            <w:t>- 43 -</w:t>
          </w:r>
          <w:r>
            <w:fldChar w:fldCharType="end"/>
          </w:r>
          <w:r>
            <w:rPr>
              <w:szCs w:val="28"/>
            </w:rPr>
            <w:fldChar w:fldCharType="end"/>
          </w:r>
        </w:p>
        <w:p>
          <w:pPr>
            <w:pStyle w:val="36"/>
            <w:keepNext w:val="0"/>
            <w:keepLines w:val="0"/>
            <w:pageBreakBefore w:val="0"/>
            <w:tabs>
              <w:tab w:val="right" w:leader="dot" w:pos="8306"/>
            </w:tabs>
            <w:kinsoku/>
            <w:wordWrap/>
            <w:overflowPunct/>
            <w:topLinePunct w:val="0"/>
            <w:autoSpaceDE/>
            <w:autoSpaceDN/>
            <w:bidi w:val="0"/>
            <w:adjustRightInd/>
            <w:snapToGrid/>
            <w:spacing w:line="300" w:lineRule="exact"/>
            <w:textAlignment w:val="auto"/>
            <w:rPr>
              <w:rFonts w:hint="eastAsia" w:ascii="黑体" w:hAnsi="黑体" w:eastAsia="黑体"/>
              <w:b w:val="0"/>
              <w:color w:val="auto"/>
              <w:highlight w:val="none"/>
            </w:rPr>
            <w:sectPr>
              <w:footerReference r:id="rId5" w:type="first"/>
              <w:footerReference r:id="rId4" w:type="default"/>
              <w:pgSz w:w="11906" w:h="16838"/>
              <w:pgMar w:top="1440" w:right="1800" w:bottom="1440" w:left="1800" w:header="851" w:footer="992" w:gutter="0"/>
              <w:pgNumType w:fmt="numberInDash" w:start="1"/>
              <w:cols w:space="425" w:num="1"/>
              <w:titlePg/>
              <w:docGrid w:type="lines" w:linePitch="312" w:charSpace="0"/>
            </w:sectPr>
          </w:pPr>
          <w:r>
            <w:rPr>
              <w:b/>
              <w:sz w:val="28"/>
              <w:szCs w:val="28"/>
            </w:rPr>
            <w:fldChar w:fldCharType="end"/>
          </w:r>
        </w:p>
      </w:sdtContent>
    </w:sdt>
    <w:p>
      <w:pPr>
        <w:keepNext w:val="0"/>
        <w:keepLines w:val="0"/>
        <w:pageBreakBefore w:val="0"/>
        <w:widowControl w:val="0"/>
        <w:kinsoku/>
        <w:wordWrap/>
        <w:overflowPunct/>
        <w:topLinePunct w:val="0"/>
        <w:autoSpaceDE/>
        <w:autoSpaceDN/>
        <w:bidi w:val="0"/>
        <w:adjustRightInd/>
        <w:snapToGrid/>
        <w:spacing w:line="20" w:lineRule="exact"/>
        <w:textAlignment w:val="auto"/>
        <w:rPr>
          <w:rFonts w:hint="eastAsia"/>
        </w:rPr>
      </w:pPr>
    </w:p>
    <w:p>
      <w:pPr>
        <w:pStyle w:val="3"/>
        <w:jc w:val="center"/>
        <w:rPr>
          <w:rFonts w:hint="eastAsia" w:ascii="黑体" w:hAnsi="黑体" w:eastAsia="黑体"/>
          <w:b w:val="0"/>
          <w:color w:val="auto"/>
          <w:highlight w:val="none"/>
        </w:rPr>
      </w:pPr>
      <w:bookmarkStart w:id="16" w:name="_Toc25368"/>
      <w:r>
        <w:rPr>
          <w:rFonts w:hint="eastAsia" w:ascii="黑体" w:hAnsi="黑体" w:eastAsia="黑体"/>
          <w:b w:val="0"/>
          <w:color w:val="auto"/>
          <w:highlight w:val="none"/>
        </w:rPr>
        <w:t xml:space="preserve">第一部分 </w:t>
      </w:r>
      <w:r>
        <w:rPr>
          <w:rStyle w:val="27"/>
          <w:rFonts w:hint="eastAsia" w:ascii="黑体" w:hAnsi="黑体" w:eastAsia="黑体"/>
          <w:b w:val="0"/>
          <w:bCs w:val="0"/>
          <w:color w:val="auto"/>
          <w:highlight w:val="none"/>
        </w:rPr>
        <w:t>部门概况</w:t>
      </w:r>
      <w:bookmarkEnd w:id="16"/>
    </w:p>
    <w:p>
      <w:pPr>
        <w:pStyle w:val="3"/>
        <w:keepNext/>
        <w:keepLines/>
        <w:pageBreakBefore w:val="0"/>
        <w:widowControl w:val="0"/>
        <w:kinsoku/>
        <w:wordWrap/>
        <w:overflowPunct/>
        <w:topLinePunct w:val="0"/>
        <w:autoSpaceDE/>
        <w:autoSpaceDN/>
        <w:bidi w:val="0"/>
        <w:adjustRightInd/>
        <w:snapToGrid/>
        <w:spacing w:line="400" w:lineRule="exact"/>
        <w:jc w:val="center"/>
        <w:textAlignment w:val="auto"/>
        <w:rPr>
          <w:rFonts w:ascii="黑体" w:eastAsia="黑体"/>
          <w:color w:val="auto"/>
          <w:sz w:val="32"/>
          <w:szCs w:val="32"/>
          <w:highlight w:val="none"/>
        </w:rPr>
      </w:pPr>
    </w:p>
    <w:p>
      <w:pPr>
        <w:pStyle w:val="4"/>
        <w:pageBreakBefore w:val="0"/>
        <w:kinsoku/>
        <w:wordWrap/>
        <w:overflowPunct/>
        <w:topLinePunct w:val="0"/>
        <w:autoSpaceDE/>
        <w:autoSpaceDN/>
        <w:bidi w:val="0"/>
        <w:spacing w:line="576" w:lineRule="exact"/>
        <w:textAlignment w:val="auto"/>
        <w:rPr>
          <w:rStyle w:val="28"/>
          <w:rFonts w:ascii="仿宋" w:hAnsi="仿宋" w:eastAsia="仿宋"/>
          <w:b w:val="0"/>
          <w:bCs w:val="0"/>
          <w:color w:val="auto"/>
          <w:highlight w:val="none"/>
        </w:rPr>
      </w:pPr>
      <w:bookmarkStart w:id="17" w:name="_Toc15396600"/>
      <w:bookmarkStart w:id="18" w:name="_Toc3980"/>
      <w:bookmarkStart w:id="19" w:name="_Toc15377197"/>
      <w:r>
        <w:rPr>
          <w:rFonts w:hint="eastAsia" w:ascii="黑体" w:hAnsi="黑体" w:eastAsia="黑体"/>
          <w:b w:val="0"/>
          <w:color w:val="auto"/>
          <w:highlight w:val="none"/>
        </w:rPr>
        <w:t>一、基</w:t>
      </w:r>
      <w:r>
        <w:rPr>
          <w:rStyle w:val="28"/>
          <w:rFonts w:hint="eastAsia" w:ascii="黑体" w:hAnsi="黑体" w:eastAsia="黑体"/>
          <w:b w:val="0"/>
          <w:bCs w:val="0"/>
          <w:color w:val="auto"/>
          <w:highlight w:val="none"/>
        </w:rPr>
        <w:t>本职能及主要工作</w:t>
      </w:r>
      <w:bookmarkEnd w:id="17"/>
      <w:bookmarkEnd w:id="18"/>
      <w:bookmarkEnd w:id="19"/>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auto"/>
          <w:sz w:val="32"/>
          <w:szCs w:val="32"/>
          <w:highlight w:val="none"/>
          <w:lang w:eastAsia="zh-CN"/>
        </w:rPr>
      </w:pPr>
      <w:bookmarkStart w:id="20" w:name="_Toc15377198"/>
      <w:bookmarkStart w:id="21" w:name="_Toc15378445"/>
      <w:r>
        <w:rPr>
          <w:rFonts w:hint="eastAsia" w:ascii="仿宋" w:hAnsi="仿宋" w:eastAsia="仿宋"/>
          <w:bCs/>
          <w:color w:val="auto"/>
          <w:sz w:val="32"/>
          <w:szCs w:val="32"/>
          <w:highlight w:val="none"/>
        </w:rPr>
        <w:t>（一）主要职能</w:t>
      </w:r>
      <w:bookmarkEnd w:id="20"/>
      <w:bookmarkEnd w:id="21"/>
      <w:bookmarkStart w:id="22" w:name="_Toc15377199"/>
      <w:bookmarkStart w:id="23" w:name="_Toc15378446"/>
      <w:r>
        <w:rPr>
          <w:rFonts w:hint="eastAsia" w:ascii="仿宋" w:hAnsi="仿宋" w:eastAsia="仿宋"/>
          <w:bCs/>
          <w:color w:val="auto"/>
          <w:sz w:val="32"/>
          <w:szCs w:val="32"/>
          <w:highlight w:val="none"/>
          <w:lang w:eastAsia="zh-CN"/>
        </w:rPr>
        <w:t>。</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000000"/>
          <w:sz w:val="32"/>
          <w:szCs w:val="32"/>
        </w:rPr>
      </w:pPr>
      <w:r>
        <w:rPr>
          <w:rFonts w:hint="eastAsia" w:ascii="仿宋" w:hAnsi="仿宋" w:eastAsia="仿宋"/>
          <w:bCs/>
          <w:color w:val="000000"/>
          <w:sz w:val="32"/>
          <w:szCs w:val="32"/>
        </w:rPr>
        <w:t>1.贯彻执行国家和省、市有关招商引资的法律、法规及方针政策，统筹协调全县投资促进工作，研究拟定全县投资促进工作政策、措施；提出加强投资促进工作的意见和建议；负责全县投资促进对外宣传工作。</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000000"/>
          <w:sz w:val="32"/>
          <w:szCs w:val="32"/>
        </w:rPr>
      </w:pPr>
      <w:r>
        <w:rPr>
          <w:rFonts w:hint="eastAsia" w:ascii="仿宋" w:hAnsi="仿宋" w:eastAsia="仿宋"/>
          <w:bCs/>
          <w:color w:val="000000"/>
          <w:sz w:val="32"/>
          <w:szCs w:val="32"/>
        </w:rPr>
        <w:t>2.统筹协调全县招商引资工作，研究拟定招商引资、经济技术协作的中长期规划和年度计划，并组织实施。</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000000"/>
          <w:sz w:val="32"/>
          <w:szCs w:val="32"/>
        </w:rPr>
      </w:pPr>
      <w:r>
        <w:rPr>
          <w:rFonts w:hint="eastAsia" w:ascii="仿宋" w:hAnsi="仿宋" w:eastAsia="仿宋"/>
          <w:bCs/>
          <w:color w:val="000000"/>
          <w:sz w:val="32"/>
          <w:szCs w:val="32"/>
        </w:rPr>
        <w:t>3.负责建立、维护和管理全县招商引资项目库；负责招商引资项目的收集、整理、筛选、编印和信息发布；负责招商引资重点项目的评估、推介、洽谈和协调工作。</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000000"/>
          <w:sz w:val="32"/>
          <w:szCs w:val="32"/>
        </w:rPr>
      </w:pPr>
      <w:r>
        <w:rPr>
          <w:rFonts w:hint="eastAsia" w:ascii="仿宋" w:hAnsi="仿宋" w:eastAsia="仿宋"/>
          <w:bCs/>
          <w:color w:val="000000"/>
          <w:sz w:val="32"/>
          <w:szCs w:val="32"/>
        </w:rPr>
        <w:t>4.制定全县大型招商引资活动方案，统筹、组织、参与全县及省内外重大招商引资活动，负责县政府举办各类投资合作活动的联络、协调、服务、接待工作；建立与外来投资者联系渠道；统筹全县重点产业招商。</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000000"/>
          <w:sz w:val="32"/>
          <w:szCs w:val="32"/>
        </w:rPr>
      </w:pPr>
      <w:r>
        <w:rPr>
          <w:rFonts w:hint="eastAsia" w:ascii="仿宋" w:hAnsi="仿宋" w:eastAsia="仿宋"/>
          <w:bCs/>
          <w:color w:val="000000"/>
          <w:sz w:val="32"/>
          <w:szCs w:val="32"/>
        </w:rPr>
        <w:t>5.督查、评估全县重大招商引资项目落地建设工作；建立完善招商引资项目跟进机制和服务措施；承担县招商引资工作领导小组交办的工作和日常工作。</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000000"/>
          <w:sz w:val="32"/>
          <w:szCs w:val="32"/>
        </w:rPr>
      </w:pPr>
      <w:r>
        <w:rPr>
          <w:rFonts w:hint="eastAsia" w:ascii="仿宋" w:hAnsi="仿宋" w:eastAsia="仿宋"/>
          <w:bCs/>
          <w:color w:val="000000"/>
          <w:sz w:val="32"/>
          <w:szCs w:val="32"/>
        </w:rPr>
        <w:t>6.负责联系和协调在其他省（市）设立的广元（旺苍）商（协）会；负责外地企业在我县设立非经营性机构的联系和协调；负责友好地区及单位的联络工作。</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000000"/>
          <w:sz w:val="32"/>
          <w:szCs w:val="32"/>
        </w:rPr>
      </w:pPr>
      <w:r>
        <w:rPr>
          <w:rFonts w:hint="eastAsia" w:ascii="仿宋" w:hAnsi="仿宋" w:eastAsia="仿宋"/>
          <w:bCs/>
          <w:color w:val="000000"/>
          <w:sz w:val="32"/>
          <w:szCs w:val="32"/>
        </w:rPr>
        <w:t>7.负责全县投资促进网站建设，加强与国内外信息交流，掌握招商引资动态，为县委、县人民政府提供科学的招商引资决策依据。</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000000"/>
          <w:sz w:val="32"/>
          <w:szCs w:val="32"/>
        </w:rPr>
      </w:pPr>
      <w:r>
        <w:rPr>
          <w:rFonts w:hint="eastAsia" w:ascii="仿宋" w:hAnsi="仿宋" w:eastAsia="仿宋"/>
          <w:bCs/>
          <w:color w:val="000000"/>
          <w:sz w:val="32"/>
          <w:szCs w:val="32"/>
        </w:rPr>
        <w:t>8.负责全县招商引资项目统计和编报工作。</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000000"/>
          <w:sz w:val="32"/>
          <w:szCs w:val="32"/>
        </w:rPr>
      </w:pPr>
      <w:r>
        <w:rPr>
          <w:rFonts w:hint="eastAsia" w:ascii="仿宋" w:hAnsi="仿宋" w:eastAsia="仿宋"/>
          <w:bCs/>
          <w:color w:val="000000"/>
          <w:sz w:val="32"/>
          <w:szCs w:val="32"/>
        </w:rPr>
        <w:t>9.负责招商引资项目代办服务和协调工作，受理并协调解决外来投资者投诉的有关事宜。</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000000"/>
          <w:sz w:val="32"/>
          <w:szCs w:val="32"/>
        </w:rPr>
      </w:pPr>
      <w:r>
        <w:rPr>
          <w:rFonts w:hint="eastAsia" w:ascii="仿宋" w:hAnsi="仿宋" w:eastAsia="仿宋"/>
          <w:bCs/>
          <w:color w:val="000000"/>
          <w:sz w:val="32"/>
          <w:szCs w:val="32"/>
        </w:rPr>
        <w:t>10.配合有关部门做好对外开放及招商引资宣传工作。负责联系旺苍经济开发区、文化旅游产业园区和产业聚集区招商引资工作。</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auto"/>
          <w:sz w:val="32"/>
          <w:szCs w:val="32"/>
          <w:highlight w:val="none"/>
          <w:lang w:eastAsia="zh-CN"/>
        </w:rPr>
      </w:pPr>
      <w:r>
        <w:rPr>
          <w:rFonts w:hint="eastAsia" w:ascii="仿宋" w:hAnsi="仿宋" w:eastAsia="仿宋"/>
          <w:bCs/>
          <w:color w:val="000000"/>
          <w:sz w:val="32"/>
          <w:szCs w:val="32"/>
        </w:rPr>
        <w:t>11.承办县政府交办的其他事项。</w:t>
      </w:r>
    </w:p>
    <w:p>
      <w:pPr>
        <w:pStyle w:val="6"/>
        <w:pageBreakBefore w:val="0"/>
        <w:kinsoku/>
        <w:wordWrap/>
        <w:overflowPunct/>
        <w:topLinePunct w:val="0"/>
        <w:autoSpaceDE/>
        <w:autoSpaceDN/>
        <w:bidi w:val="0"/>
        <w:adjustRightInd w:val="0"/>
        <w:snapToGrid w:val="0"/>
        <w:spacing w:before="93" w:line="576" w:lineRule="exact"/>
        <w:ind w:firstLine="672" w:firstLineChars="210"/>
        <w:textAlignment w:val="auto"/>
        <w:outlineLvl w:val="2"/>
        <w:rPr>
          <w:rFonts w:hint="eastAsia" w:ascii="仿宋" w:hAnsi="仿宋" w:eastAsia="仿宋"/>
          <w:bCs/>
          <w:color w:val="auto"/>
          <w:sz w:val="32"/>
          <w:szCs w:val="32"/>
          <w:highlight w:val="none"/>
        </w:rPr>
      </w:pPr>
      <w:r>
        <w:rPr>
          <w:rFonts w:hint="eastAsia" w:ascii="仿宋" w:hAnsi="仿宋" w:eastAsia="仿宋"/>
          <w:bCs/>
          <w:color w:val="auto"/>
          <w:sz w:val="32"/>
          <w:szCs w:val="32"/>
          <w:highlight w:val="none"/>
        </w:rPr>
        <w:t>（二）</w:t>
      </w:r>
      <w:r>
        <w:rPr>
          <w:rFonts w:ascii="仿宋" w:hAnsi="仿宋" w:eastAsia="仿宋"/>
          <w:bCs/>
          <w:color w:val="auto"/>
          <w:sz w:val="32"/>
          <w:szCs w:val="32"/>
          <w:highlight w:val="none"/>
        </w:rPr>
        <w:t>20</w:t>
      </w:r>
      <w:r>
        <w:rPr>
          <w:rFonts w:hint="eastAsia" w:ascii="仿宋" w:hAnsi="仿宋" w:eastAsia="仿宋"/>
          <w:bCs/>
          <w:color w:val="auto"/>
          <w:sz w:val="32"/>
          <w:szCs w:val="32"/>
          <w:highlight w:val="none"/>
          <w:lang w:val="en-US" w:eastAsia="zh-CN"/>
        </w:rPr>
        <w:t>21</w:t>
      </w:r>
      <w:r>
        <w:rPr>
          <w:rFonts w:hint="eastAsia" w:ascii="仿宋" w:hAnsi="仿宋" w:eastAsia="仿宋"/>
          <w:bCs/>
          <w:color w:val="auto"/>
          <w:sz w:val="32"/>
          <w:szCs w:val="32"/>
          <w:highlight w:val="none"/>
        </w:rPr>
        <w:t>年重点工作完成情况。</w:t>
      </w:r>
      <w:bookmarkEnd w:id="22"/>
      <w:bookmarkEnd w:id="23"/>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1.</w:t>
      </w:r>
      <w:r>
        <w:rPr>
          <w:rFonts w:hint="eastAsia" w:ascii="仿宋_GB2312" w:hAnsi="仿宋_GB2312" w:eastAsia="仿宋_GB2312" w:cs="仿宋_GB2312"/>
          <w:b/>
          <w:bCs/>
          <w:color w:val="auto"/>
          <w:sz w:val="32"/>
          <w:szCs w:val="32"/>
        </w:rPr>
        <w:t>到位资金完成情况</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上报</w:t>
      </w:r>
      <w:r>
        <w:rPr>
          <w:rFonts w:hint="eastAsia" w:ascii="仿宋_GB2312" w:hAnsi="仿宋_GB2312" w:eastAsia="仿宋_GB2312" w:cs="仿宋_GB2312"/>
          <w:b w:val="0"/>
          <w:bCs w:val="0"/>
          <w:color w:val="auto"/>
          <w:sz w:val="32"/>
          <w:szCs w:val="32"/>
        </w:rPr>
        <w:t>市外到位资金</w:t>
      </w:r>
      <w:r>
        <w:rPr>
          <w:rFonts w:hint="eastAsia" w:ascii="仿宋_GB2312" w:hAnsi="仿宋_GB2312" w:eastAsia="仿宋_GB2312" w:cs="仿宋_GB2312"/>
          <w:b w:val="0"/>
          <w:bCs w:val="0"/>
          <w:color w:val="auto"/>
          <w:sz w:val="32"/>
          <w:szCs w:val="32"/>
          <w:lang w:val="en-US" w:eastAsia="zh-CN"/>
        </w:rPr>
        <w:t>89.49</w:t>
      </w:r>
      <w:r>
        <w:rPr>
          <w:rFonts w:hint="eastAsia" w:ascii="仿宋_GB2312" w:hAnsi="仿宋_GB2312" w:eastAsia="仿宋_GB2312" w:cs="仿宋_GB2312"/>
          <w:b w:val="0"/>
          <w:bCs w:val="0"/>
          <w:color w:val="auto"/>
          <w:sz w:val="32"/>
          <w:szCs w:val="32"/>
        </w:rPr>
        <w:t>亿元</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占全年目标任务的110.49%；</w:t>
      </w:r>
      <w:r>
        <w:rPr>
          <w:rFonts w:hint="eastAsia" w:ascii="仿宋_GB2312" w:hAnsi="仿宋_GB2312" w:eastAsia="仿宋_GB2312" w:cs="仿宋_GB2312"/>
          <w:b w:val="0"/>
          <w:bCs w:val="0"/>
          <w:color w:val="auto"/>
          <w:sz w:val="32"/>
          <w:szCs w:val="32"/>
        </w:rPr>
        <w:t>工业到位资金</w:t>
      </w:r>
      <w:r>
        <w:rPr>
          <w:rFonts w:hint="eastAsia" w:ascii="仿宋_GB2312" w:hAnsi="仿宋_GB2312" w:eastAsia="仿宋_GB2312" w:cs="仿宋_GB2312"/>
          <w:b w:val="0"/>
          <w:bCs w:val="0"/>
          <w:color w:val="auto"/>
          <w:sz w:val="32"/>
          <w:szCs w:val="32"/>
          <w:lang w:val="en-US" w:eastAsia="zh-CN"/>
        </w:rPr>
        <w:t>52.17</w:t>
      </w:r>
      <w:r>
        <w:rPr>
          <w:rFonts w:hint="eastAsia" w:ascii="仿宋_GB2312" w:hAnsi="仿宋_GB2312" w:eastAsia="仿宋_GB2312" w:cs="仿宋_GB2312"/>
          <w:b w:val="0"/>
          <w:bCs w:val="0"/>
          <w:color w:val="auto"/>
          <w:sz w:val="32"/>
          <w:szCs w:val="32"/>
        </w:rPr>
        <w:t>亿元</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占全年目标任务的111%；省外到位资金51.45亿元，占全年目标任务的109.47％，省外（5+1）到位资金32.05亿元，占全年目标任务的110.51％。</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2.</w:t>
      </w:r>
      <w:r>
        <w:rPr>
          <w:rFonts w:hint="eastAsia" w:ascii="仿宋_GB2312" w:hAnsi="仿宋_GB2312" w:eastAsia="仿宋_GB2312" w:cs="仿宋_GB2312"/>
          <w:b/>
          <w:bCs/>
          <w:color w:val="auto"/>
          <w:sz w:val="32"/>
          <w:szCs w:val="32"/>
        </w:rPr>
        <w:t>新签约项目情况</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val="0"/>
          <w:bCs w:val="0"/>
          <w:color w:val="auto"/>
          <w:sz w:val="32"/>
          <w:szCs w:val="32"/>
        </w:rPr>
        <w:t>新签约项目共</w:t>
      </w:r>
      <w:r>
        <w:rPr>
          <w:rFonts w:hint="eastAsia" w:ascii="仿宋_GB2312" w:hAnsi="仿宋_GB2312" w:eastAsia="仿宋_GB2312" w:cs="仿宋_GB2312"/>
          <w:b w:val="0"/>
          <w:bCs w:val="0"/>
          <w:color w:val="auto"/>
          <w:sz w:val="32"/>
          <w:szCs w:val="32"/>
          <w:lang w:val="en-US" w:eastAsia="zh-CN"/>
        </w:rPr>
        <w:t>42</w:t>
      </w:r>
      <w:r>
        <w:rPr>
          <w:rFonts w:hint="eastAsia" w:ascii="仿宋_GB2312" w:hAnsi="仿宋_GB2312" w:eastAsia="仿宋_GB2312" w:cs="仿宋_GB2312"/>
          <w:b w:val="0"/>
          <w:bCs w:val="0"/>
          <w:color w:val="auto"/>
          <w:sz w:val="32"/>
          <w:szCs w:val="32"/>
        </w:rPr>
        <w:t>个，协议资金</w:t>
      </w:r>
      <w:r>
        <w:rPr>
          <w:rFonts w:hint="eastAsia" w:ascii="仿宋_GB2312" w:hAnsi="仿宋_GB2312" w:eastAsia="仿宋_GB2312" w:cs="仿宋_GB2312"/>
          <w:b w:val="0"/>
          <w:bCs w:val="0"/>
          <w:color w:val="auto"/>
          <w:sz w:val="32"/>
          <w:szCs w:val="32"/>
          <w:lang w:val="en-US" w:eastAsia="zh-CN"/>
        </w:rPr>
        <w:t>164.8</w:t>
      </w:r>
      <w:r>
        <w:rPr>
          <w:rFonts w:hint="eastAsia" w:ascii="仿宋_GB2312" w:hAnsi="仿宋_GB2312" w:eastAsia="仿宋_GB2312" w:cs="仿宋_GB2312"/>
          <w:b w:val="0"/>
          <w:bCs w:val="0"/>
          <w:color w:val="auto"/>
          <w:sz w:val="32"/>
          <w:szCs w:val="32"/>
        </w:rPr>
        <w:t>亿元。其中1-5亿元项目</w:t>
      </w:r>
      <w:r>
        <w:rPr>
          <w:rFonts w:hint="eastAsia" w:ascii="仿宋_GB2312" w:hAnsi="仿宋_GB2312" w:eastAsia="仿宋_GB2312" w:cs="仿宋_GB2312"/>
          <w:b w:val="0"/>
          <w:bCs w:val="0"/>
          <w:color w:val="auto"/>
          <w:sz w:val="32"/>
          <w:szCs w:val="32"/>
          <w:lang w:val="en-US" w:eastAsia="zh-CN"/>
        </w:rPr>
        <w:t>20</w:t>
      </w:r>
      <w:r>
        <w:rPr>
          <w:rFonts w:hint="eastAsia" w:ascii="仿宋_GB2312" w:hAnsi="仿宋_GB2312" w:eastAsia="仿宋_GB2312" w:cs="仿宋_GB2312"/>
          <w:b w:val="0"/>
          <w:bCs w:val="0"/>
          <w:color w:val="auto"/>
          <w:sz w:val="32"/>
          <w:szCs w:val="32"/>
        </w:rPr>
        <w:t>个，</w:t>
      </w:r>
      <w:r>
        <w:rPr>
          <w:rFonts w:hint="eastAsia" w:ascii="仿宋_GB2312" w:hAnsi="仿宋_GB2312" w:eastAsia="仿宋_GB2312" w:cs="仿宋_GB2312"/>
          <w:b w:val="0"/>
          <w:bCs w:val="0"/>
          <w:color w:val="auto"/>
          <w:sz w:val="32"/>
          <w:szCs w:val="32"/>
          <w:lang w:val="en-US" w:eastAsia="zh-CN"/>
        </w:rPr>
        <w:t>完成全年目标任务的250％，5-10亿元项目5个,完成全年目标任务的125％，10-20亿元项目1个，完成全年目标任务的100％，20亿元以上项目2个，完成全年目标任务的200％。</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rPr>
        <w:t>3.新项目开工情况</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val="0"/>
          <w:bCs w:val="0"/>
          <w:color w:val="auto"/>
          <w:sz w:val="32"/>
          <w:szCs w:val="32"/>
        </w:rPr>
        <w:t>新开工项目共</w:t>
      </w:r>
      <w:r>
        <w:rPr>
          <w:rFonts w:hint="eastAsia" w:ascii="仿宋_GB2312" w:hAnsi="仿宋_GB2312" w:eastAsia="仿宋_GB2312" w:cs="仿宋_GB2312"/>
          <w:b w:val="0"/>
          <w:bCs w:val="0"/>
          <w:color w:val="auto"/>
          <w:sz w:val="32"/>
          <w:szCs w:val="32"/>
          <w:lang w:val="en-US" w:eastAsia="zh-CN"/>
        </w:rPr>
        <w:t>31</w:t>
      </w:r>
      <w:r>
        <w:rPr>
          <w:rFonts w:hint="eastAsia" w:ascii="仿宋_GB2312" w:hAnsi="仿宋_GB2312" w:eastAsia="仿宋_GB2312" w:cs="仿宋_GB2312"/>
          <w:b w:val="0"/>
          <w:bCs w:val="0"/>
          <w:color w:val="auto"/>
          <w:sz w:val="32"/>
          <w:szCs w:val="32"/>
        </w:rPr>
        <w:t>个，其中1-5亿元项目</w:t>
      </w:r>
      <w:r>
        <w:rPr>
          <w:rFonts w:hint="eastAsia" w:ascii="仿宋_GB2312" w:hAnsi="仿宋_GB2312" w:eastAsia="仿宋_GB2312" w:cs="仿宋_GB2312"/>
          <w:b w:val="0"/>
          <w:bCs w:val="0"/>
          <w:color w:val="auto"/>
          <w:sz w:val="32"/>
          <w:szCs w:val="32"/>
          <w:lang w:val="en-US" w:eastAsia="zh-CN"/>
        </w:rPr>
        <w:t>11</w:t>
      </w:r>
      <w:r>
        <w:rPr>
          <w:rFonts w:hint="eastAsia" w:ascii="仿宋_GB2312" w:hAnsi="仿宋_GB2312" w:eastAsia="仿宋_GB2312" w:cs="仿宋_GB2312"/>
          <w:b w:val="0"/>
          <w:bCs w:val="0"/>
          <w:color w:val="auto"/>
          <w:sz w:val="32"/>
          <w:szCs w:val="32"/>
        </w:rPr>
        <w:t>个，完成全年目标任务的</w:t>
      </w:r>
      <w:r>
        <w:rPr>
          <w:rFonts w:hint="eastAsia" w:ascii="仿宋_GB2312" w:hAnsi="仿宋_GB2312" w:eastAsia="仿宋_GB2312" w:cs="仿宋_GB2312"/>
          <w:b w:val="0"/>
          <w:bCs w:val="0"/>
          <w:color w:val="auto"/>
          <w:sz w:val="32"/>
          <w:szCs w:val="32"/>
          <w:lang w:val="en-US" w:eastAsia="zh-CN"/>
        </w:rPr>
        <w:t>137.5</w:t>
      </w:r>
      <w:r>
        <w:rPr>
          <w:rFonts w:hint="eastAsia" w:ascii="仿宋_GB2312" w:hAnsi="仿宋_GB2312" w:eastAsia="仿宋_GB2312" w:cs="仿宋_GB2312"/>
          <w:b w:val="0"/>
          <w:bCs w:val="0"/>
          <w:color w:val="auto"/>
          <w:sz w:val="32"/>
          <w:szCs w:val="32"/>
        </w:rPr>
        <w:t>%；5-10亿元项目</w:t>
      </w:r>
      <w:r>
        <w:rPr>
          <w:rFonts w:hint="eastAsia" w:ascii="仿宋_GB2312" w:hAnsi="仿宋_GB2312" w:eastAsia="仿宋_GB2312" w:cs="仿宋_GB2312"/>
          <w:b w:val="0"/>
          <w:bCs w:val="0"/>
          <w:color w:val="auto"/>
          <w:sz w:val="32"/>
          <w:szCs w:val="32"/>
          <w:lang w:val="en-US" w:eastAsia="zh-CN"/>
        </w:rPr>
        <w:t>5</w:t>
      </w:r>
      <w:r>
        <w:rPr>
          <w:rFonts w:hint="eastAsia" w:ascii="仿宋_GB2312" w:hAnsi="仿宋_GB2312" w:eastAsia="仿宋_GB2312" w:cs="仿宋_GB2312"/>
          <w:b w:val="0"/>
          <w:bCs w:val="0"/>
          <w:color w:val="auto"/>
          <w:sz w:val="32"/>
          <w:szCs w:val="32"/>
        </w:rPr>
        <w:t>个，完成全年目标任务的</w:t>
      </w:r>
      <w:r>
        <w:rPr>
          <w:rFonts w:hint="eastAsia" w:ascii="仿宋_GB2312" w:hAnsi="仿宋_GB2312" w:eastAsia="仿宋_GB2312" w:cs="仿宋_GB2312"/>
          <w:b w:val="0"/>
          <w:bCs w:val="0"/>
          <w:color w:val="auto"/>
          <w:sz w:val="32"/>
          <w:szCs w:val="32"/>
          <w:lang w:val="en-US" w:eastAsia="zh-CN"/>
        </w:rPr>
        <w:t>125</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10-20亿元项目1个，完成全年目标任务的100％。</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3" w:firstLineChars="200"/>
        <w:textAlignment w:val="auto"/>
        <w:rPr>
          <w:rFonts w:hint="eastAsia" w:ascii="仿宋" w:hAnsi="仿宋" w:eastAsia="仿宋"/>
          <w:bCs/>
          <w:color w:val="auto"/>
          <w:sz w:val="32"/>
          <w:szCs w:val="32"/>
          <w:highlight w:val="none"/>
        </w:rPr>
      </w:pPr>
      <w:r>
        <w:rPr>
          <w:rFonts w:hint="eastAsia" w:ascii="仿宋_GB2312" w:hAnsi="仿宋_GB2312" w:eastAsia="仿宋_GB2312" w:cs="仿宋_GB2312"/>
          <w:b/>
          <w:bCs/>
          <w:color w:val="auto"/>
          <w:sz w:val="32"/>
          <w:szCs w:val="32"/>
        </w:rPr>
        <w:t>4.省督办项目情况</w:t>
      </w:r>
      <w:r>
        <w:rPr>
          <w:rFonts w:hint="eastAsia" w:ascii="仿宋_GB2312" w:hAnsi="仿宋_GB2312" w:eastAsia="仿宋_GB2312" w:cs="仿宋_GB2312"/>
          <w:b/>
          <w:bCs/>
          <w:color w:val="auto"/>
          <w:sz w:val="32"/>
          <w:szCs w:val="32"/>
          <w:lang w:eastAsia="zh-CN"/>
        </w:rPr>
        <w:t>。</w:t>
      </w:r>
      <w:r>
        <w:rPr>
          <w:rFonts w:hint="eastAsia" w:ascii="仿宋_GB2312" w:hAnsi="仿宋_GB2312" w:eastAsia="仿宋_GB2312" w:cs="仿宋_GB2312"/>
          <w:b w:val="0"/>
          <w:bCs w:val="0"/>
          <w:color w:val="auto"/>
          <w:sz w:val="32"/>
          <w:szCs w:val="32"/>
        </w:rPr>
        <w:t>纳入省督办项目</w:t>
      </w:r>
      <w:r>
        <w:rPr>
          <w:rFonts w:hint="eastAsia" w:ascii="仿宋_GB2312" w:hAnsi="仿宋_GB2312" w:eastAsia="仿宋_GB2312" w:cs="仿宋_GB2312"/>
          <w:b w:val="0"/>
          <w:bCs w:val="0"/>
          <w:color w:val="auto"/>
          <w:sz w:val="32"/>
          <w:szCs w:val="32"/>
          <w:lang w:val="en-US" w:eastAsia="zh-CN"/>
        </w:rPr>
        <w:t>15</w:t>
      </w:r>
      <w:r>
        <w:rPr>
          <w:rFonts w:hint="eastAsia" w:ascii="仿宋_GB2312" w:hAnsi="仿宋_GB2312" w:eastAsia="仿宋_GB2312" w:cs="仿宋_GB2312"/>
          <w:b w:val="0"/>
          <w:bCs w:val="0"/>
          <w:color w:val="auto"/>
          <w:sz w:val="32"/>
          <w:szCs w:val="32"/>
        </w:rPr>
        <w:t>个，其中2019年川商活动中签约的江苏成鸿居家具（广元）1万套/年高端红木家具生产项目</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2020</w:t>
      </w:r>
      <w:r>
        <w:rPr>
          <w:rFonts w:hint="eastAsia" w:ascii="仿宋_GB2312" w:hAnsi="仿宋_GB2312" w:eastAsia="仿宋_GB2312" w:cs="仿宋_GB2312"/>
          <w:b w:val="0"/>
          <w:bCs w:val="0"/>
          <w:color w:val="auto"/>
          <w:sz w:val="32"/>
          <w:szCs w:val="32"/>
        </w:rPr>
        <w:t>年</w:t>
      </w:r>
      <w:r>
        <w:rPr>
          <w:rFonts w:hint="eastAsia" w:ascii="仿宋_GB2312" w:hAnsi="仿宋_GB2312" w:eastAsia="仿宋_GB2312" w:cs="仿宋_GB2312"/>
          <w:b w:val="0"/>
          <w:bCs w:val="0"/>
          <w:color w:val="auto"/>
          <w:sz w:val="32"/>
          <w:szCs w:val="32"/>
          <w:lang w:val="en-US" w:eastAsia="zh-CN"/>
        </w:rPr>
        <w:t>四川行</w:t>
      </w:r>
      <w:r>
        <w:rPr>
          <w:rFonts w:hint="eastAsia" w:ascii="仿宋_GB2312" w:hAnsi="仿宋_GB2312" w:eastAsia="仿宋_GB2312" w:cs="仿宋_GB2312"/>
          <w:b w:val="0"/>
          <w:bCs w:val="0"/>
          <w:color w:val="auto"/>
          <w:sz w:val="32"/>
          <w:szCs w:val="32"/>
        </w:rPr>
        <w:t>活动中签约的江苏江阴市东明家具有限公司（广元）8000套/年高端红木家具生产项目未履约开工，履约率、开工率、资金到位率分别是</w:t>
      </w:r>
      <w:r>
        <w:rPr>
          <w:rFonts w:hint="eastAsia" w:ascii="仿宋_GB2312" w:hAnsi="仿宋_GB2312" w:eastAsia="仿宋_GB2312" w:cs="仿宋_GB2312"/>
          <w:b w:val="0"/>
          <w:bCs w:val="0"/>
          <w:color w:val="auto"/>
          <w:sz w:val="32"/>
          <w:szCs w:val="32"/>
          <w:lang w:val="en-US" w:eastAsia="zh-CN"/>
        </w:rPr>
        <w:t>86.67</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86.67</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63.59</w:t>
      </w:r>
      <w:r>
        <w:rPr>
          <w:rFonts w:hint="eastAsia" w:ascii="仿宋_GB2312" w:hAnsi="仿宋_GB2312" w:eastAsia="仿宋_GB2312" w:cs="仿宋_GB2312"/>
          <w:b w:val="0"/>
          <w:bCs w:val="0"/>
          <w:color w:val="auto"/>
          <w:sz w:val="32"/>
          <w:szCs w:val="32"/>
        </w:rPr>
        <w:t>%。</w:t>
      </w:r>
    </w:p>
    <w:p>
      <w:pPr>
        <w:pStyle w:val="4"/>
        <w:pageBreakBefore w:val="0"/>
        <w:kinsoku/>
        <w:wordWrap/>
        <w:overflowPunct/>
        <w:topLinePunct w:val="0"/>
        <w:autoSpaceDE/>
        <w:autoSpaceDN/>
        <w:bidi w:val="0"/>
        <w:adjustRightInd/>
        <w:snapToGrid/>
        <w:spacing w:line="576" w:lineRule="exact"/>
        <w:textAlignment w:val="auto"/>
        <w:rPr>
          <w:rStyle w:val="28"/>
          <w:b w:val="0"/>
          <w:bCs w:val="0"/>
          <w:color w:val="auto"/>
          <w:highlight w:val="none"/>
        </w:rPr>
      </w:pPr>
      <w:bookmarkStart w:id="24" w:name="_Toc15396601"/>
      <w:bookmarkStart w:id="25" w:name="_Toc2152"/>
      <w:bookmarkStart w:id="26" w:name="_Toc15377200"/>
      <w:r>
        <w:rPr>
          <w:rFonts w:hint="eastAsia" w:ascii="黑体" w:eastAsia="黑体"/>
          <w:b w:val="0"/>
          <w:color w:val="auto"/>
          <w:highlight w:val="none"/>
        </w:rPr>
        <w:t>二、</w:t>
      </w:r>
      <w:r>
        <w:rPr>
          <w:rFonts w:hint="eastAsia" w:ascii="黑体" w:hAnsi="黑体" w:eastAsia="黑体"/>
          <w:b w:val="0"/>
          <w:color w:val="auto"/>
          <w:highlight w:val="none"/>
        </w:rPr>
        <w:t>机</w:t>
      </w:r>
      <w:r>
        <w:rPr>
          <w:rStyle w:val="28"/>
          <w:rFonts w:hint="eastAsia" w:ascii="黑体" w:hAnsi="黑体" w:eastAsia="黑体"/>
          <w:b w:val="0"/>
          <w:bCs w:val="0"/>
          <w:color w:val="auto"/>
          <w:highlight w:val="none"/>
        </w:rPr>
        <w:t>构设置</w:t>
      </w:r>
      <w:bookmarkEnd w:id="24"/>
      <w:bookmarkEnd w:id="25"/>
      <w:bookmarkEnd w:id="26"/>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旺苍县经济合作事务中心核定事业编制14名，其中主任1名，副主任2名，内设机构负责人5名。截至</w:t>
      </w:r>
      <w:bookmarkStart w:id="173" w:name="_GoBack"/>
      <w:bookmarkEnd w:id="173"/>
      <w:r>
        <w:rPr>
          <w:rFonts w:hint="eastAsia" w:ascii="仿宋_GB2312" w:eastAsia="仿宋_GB2312"/>
          <w:sz w:val="32"/>
          <w:szCs w:val="32"/>
          <w:lang w:val="en-US" w:eastAsia="zh-CN"/>
        </w:rPr>
        <w:t>目前在职人员总数11人。</w:t>
      </w:r>
    </w:p>
    <w:p>
      <w:pPr>
        <w:pStyle w:val="6"/>
        <w:keepNext w:val="0"/>
        <w:keepLines w:val="0"/>
        <w:pageBreakBefore w:val="0"/>
        <w:kinsoku/>
        <w:wordWrap/>
        <w:overflowPunct/>
        <w:topLinePunct w:val="0"/>
        <w:autoSpaceDE/>
        <w:autoSpaceDN/>
        <w:bidi w:val="0"/>
        <w:adjustRightInd w:val="0"/>
        <w:snapToGrid w:val="0"/>
        <w:spacing w:before="93" w:line="576" w:lineRule="exact"/>
        <w:ind w:firstLine="672" w:firstLineChars="210"/>
        <w:textAlignment w:val="auto"/>
        <w:rPr>
          <w:rFonts w:hint="default" w:ascii="仿宋" w:hAnsi="仿宋" w:eastAsia="仿宋"/>
          <w:color w:val="000000"/>
          <w:sz w:val="32"/>
          <w:szCs w:val="32"/>
          <w:lang w:val="en-US" w:eastAsia="zh-CN"/>
        </w:rPr>
      </w:pPr>
      <w:r>
        <w:rPr>
          <w:rFonts w:hint="eastAsia" w:ascii="仿宋" w:hAnsi="仿宋" w:eastAsia="仿宋"/>
          <w:color w:val="000000"/>
          <w:sz w:val="32"/>
          <w:szCs w:val="32"/>
        </w:rPr>
        <w:t>纳入</w:t>
      </w:r>
      <w:r>
        <w:rPr>
          <w:rFonts w:ascii="仿宋" w:hAnsi="仿宋" w:eastAsia="仿宋"/>
          <w:color w:val="000000"/>
          <w:sz w:val="32"/>
          <w:szCs w:val="32"/>
        </w:rPr>
        <w:t>202</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年度部门决算编制范围的二级预算单位</w:t>
      </w:r>
      <w:r>
        <w:rPr>
          <w:rFonts w:hint="eastAsia" w:ascii="仿宋" w:hAnsi="仿宋" w:eastAsia="仿宋"/>
          <w:color w:val="000000"/>
          <w:sz w:val="32"/>
          <w:szCs w:val="32"/>
          <w:lang w:val="en-US" w:eastAsia="zh-CN"/>
        </w:rPr>
        <w:t>0个。</w:t>
      </w:r>
    </w:p>
    <w:p>
      <w:pPr>
        <w:keepNext w:val="0"/>
        <w:keepLines w:val="0"/>
        <w:pageBreakBefore w:val="0"/>
        <w:widowControl/>
        <w:kinsoku/>
        <w:wordWrap/>
        <w:overflowPunct/>
        <w:topLinePunct w:val="0"/>
        <w:autoSpaceDE/>
        <w:autoSpaceDN/>
        <w:bidi w:val="0"/>
        <w:adjustRightInd/>
        <w:snapToGrid/>
        <w:spacing w:line="576" w:lineRule="exact"/>
        <w:jc w:val="left"/>
        <w:textAlignment w:val="auto"/>
        <w:rPr>
          <w:rFonts w:ascii="仿宋" w:hAnsi="仿宋" w:eastAsia="仿宋"/>
          <w:color w:val="auto"/>
          <w:kern w:val="0"/>
          <w:sz w:val="32"/>
          <w:szCs w:val="32"/>
          <w:highlight w:val="none"/>
        </w:rPr>
      </w:pPr>
      <w:r>
        <w:rPr>
          <w:rFonts w:ascii="仿宋" w:hAnsi="仿宋" w:eastAsia="仿宋"/>
          <w:color w:val="auto"/>
          <w:sz w:val="32"/>
          <w:szCs w:val="32"/>
          <w:highlight w:val="none"/>
        </w:rPr>
        <w:br w:type="page"/>
      </w:r>
    </w:p>
    <w:p>
      <w:pPr>
        <w:pStyle w:val="3"/>
        <w:ind w:right="440"/>
        <w:jc w:val="center"/>
        <w:rPr>
          <w:rStyle w:val="27"/>
          <w:rFonts w:ascii="黑体" w:hAnsi="黑体" w:eastAsia="黑体"/>
          <w:b w:val="0"/>
          <w:bCs/>
          <w:color w:val="auto"/>
          <w:highlight w:val="none"/>
        </w:rPr>
      </w:pPr>
      <w:bookmarkStart w:id="27" w:name="_Toc854"/>
      <w:bookmarkStart w:id="28" w:name="_Toc15396602"/>
      <w:bookmarkStart w:id="29" w:name="_Toc15377204"/>
      <w:r>
        <w:rPr>
          <w:rFonts w:hint="eastAsia" w:ascii="黑体" w:hAnsi="黑体" w:eastAsia="黑体"/>
          <w:b w:val="0"/>
          <w:bCs/>
          <w:color w:val="auto"/>
          <w:highlight w:val="none"/>
        </w:rPr>
        <w:t xml:space="preserve">第二部分 </w:t>
      </w:r>
      <w:r>
        <w:rPr>
          <w:rFonts w:hint="eastAsia" w:ascii="黑体" w:hAnsi="黑体" w:eastAsia="黑体"/>
          <w:b w:val="0"/>
          <w:bCs/>
          <w:color w:val="auto"/>
          <w:highlight w:val="none"/>
          <w:lang w:val="en-US" w:eastAsia="zh-CN"/>
        </w:rPr>
        <w:t>2021年度</w:t>
      </w:r>
      <w:r>
        <w:rPr>
          <w:rStyle w:val="27"/>
          <w:rFonts w:hint="eastAsia" w:ascii="黑体" w:hAnsi="黑体" w:eastAsia="黑体"/>
          <w:b w:val="0"/>
          <w:bCs/>
          <w:color w:val="auto"/>
          <w:highlight w:val="none"/>
        </w:rPr>
        <w:t>部门决算情况说明</w:t>
      </w:r>
      <w:bookmarkEnd w:id="27"/>
      <w:bookmarkEnd w:id="28"/>
      <w:bookmarkEnd w:id="29"/>
    </w:p>
    <w:p>
      <w:pPr>
        <w:rPr>
          <w:color w:val="auto"/>
          <w:highlight w:val="none"/>
        </w:rPr>
      </w:pPr>
    </w:p>
    <w:p>
      <w:pPr>
        <w:pStyle w:val="26"/>
        <w:numPr>
          <w:ilvl w:val="0"/>
          <w:numId w:val="1"/>
        </w:numPr>
        <w:spacing w:line="600" w:lineRule="exact"/>
        <w:ind w:firstLineChars="0"/>
        <w:outlineLvl w:val="1"/>
        <w:rPr>
          <w:rStyle w:val="28"/>
          <w:rFonts w:ascii="黑体" w:hAnsi="黑体" w:eastAsia="黑体"/>
          <w:b w:val="0"/>
          <w:color w:val="auto"/>
          <w:highlight w:val="none"/>
        </w:rPr>
      </w:pPr>
      <w:bookmarkStart w:id="30" w:name="_Toc15377205"/>
      <w:bookmarkStart w:id="31" w:name="_Toc15396603"/>
      <w:bookmarkStart w:id="32" w:name="_Toc378"/>
      <w:r>
        <w:rPr>
          <w:rFonts w:hint="eastAsia" w:ascii="黑体" w:hAnsi="黑体" w:eastAsia="黑体"/>
          <w:color w:val="auto"/>
          <w:sz w:val="32"/>
          <w:szCs w:val="32"/>
          <w:highlight w:val="none"/>
        </w:rPr>
        <w:t>收</w:t>
      </w:r>
      <w:r>
        <w:rPr>
          <w:rStyle w:val="28"/>
          <w:rFonts w:hint="eastAsia" w:ascii="黑体" w:hAnsi="黑体" w:eastAsia="黑体"/>
          <w:b w:val="0"/>
          <w:color w:val="auto"/>
          <w:highlight w:val="none"/>
        </w:rPr>
        <w:t>入支出决算总体情况说明</w:t>
      </w:r>
      <w:bookmarkEnd w:id="30"/>
      <w:bookmarkEnd w:id="31"/>
      <w:bookmarkEnd w:id="32"/>
    </w:p>
    <w:p>
      <w:pPr>
        <w:spacing w:line="600" w:lineRule="exact"/>
        <w:ind w:firstLine="640" w:firstLineChars="200"/>
        <w:rPr>
          <w:rFonts w:hint="eastAsia" w:ascii="仿宋" w:hAnsi="仿宋" w:eastAsia="仿宋"/>
          <w:color w:val="auto"/>
          <w:sz w:val="32"/>
          <w:szCs w:val="32"/>
          <w:highlight w:val="none"/>
        </w:rPr>
      </w:pPr>
      <w:r>
        <w:rPr>
          <w:rFonts w:ascii="仿宋" w:hAnsi="仿宋" w:eastAsia="仿宋"/>
          <w:color w:val="000000"/>
          <w:sz w:val="32"/>
          <w:szCs w:val="32"/>
        </w:rPr>
        <w:t>202</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年度收、支总</w:t>
      </w:r>
      <w:r>
        <w:rPr>
          <w:rFonts w:hint="eastAsia" w:ascii="仿宋" w:hAnsi="仿宋" w:eastAsia="仿宋"/>
          <w:color w:val="FF0000"/>
          <w:sz w:val="32"/>
          <w:szCs w:val="32"/>
        </w:rPr>
        <w:t>计</w:t>
      </w:r>
      <w:r>
        <w:rPr>
          <w:rFonts w:hint="eastAsia" w:ascii="仿宋" w:hAnsi="仿宋" w:eastAsia="仿宋"/>
          <w:color w:val="FF0000"/>
          <w:sz w:val="32"/>
          <w:szCs w:val="32"/>
          <w:lang w:val="en-US" w:eastAsia="zh-CN"/>
        </w:rPr>
        <w:t>271.88</w:t>
      </w:r>
      <w:r>
        <w:rPr>
          <w:rFonts w:hint="eastAsia" w:ascii="仿宋" w:hAnsi="仿宋" w:eastAsia="仿宋"/>
          <w:color w:val="FF0000"/>
          <w:sz w:val="32"/>
          <w:szCs w:val="32"/>
        </w:rPr>
        <w:t>万元</w:t>
      </w:r>
      <w:r>
        <w:rPr>
          <w:rFonts w:hint="eastAsia" w:ascii="仿宋" w:hAnsi="仿宋" w:eastAsia="仿宋"/>
          <w:color w:val="000000"/>
          <w:sz w:val="32"/>
          <w:szCs w:val="32"/>
        </w:rPr>
        <w:t>。与</w:t>
      </w:r>
      <w:r>
        <w:rPr>
          <w:rFonts w:hint="eastAsia" w:ascii="仿宋" w:hAnsi="仿宋" w:eastAsia="仿宋"/>
          <w:color w:val="000000"/>
          <w:sz w:val="32"/>
          <w:szCs w:val="32"/>
          <w:lang w:val="en-US" w:eastAsia="zh-CN"/>
        </w:rPr>
        <w:t>2020</w:t>
      </w:r>
      <w:r>
        <w:rPr>
          <w:rFonts w:hint="eastAsia" w:ascii="仿宋" w:hAnsi="仿宋" w:eastAsia="仿宋"/>
          <w:color w:val="000000"/>
          <w:sz w:val="32"/>
          <w:szCs w:val="32"/>
        </w:rPr>
        <w:t>年相比，收、支总计各增加</w:t>
      </w:r>
      <w:r>
        <w:rPr>
          <w:rFonts w:hint="eastAsia" w:ascii="仿宋" w:hAnsi="仿宋" w:eastAsia="仿宋"/>
          <w:color w:val="000000"/>
          <w:sz w:val="32"/>
          <w:szCs w:val="32"/>
          <w:lang w:val="en-US" w:eastAsia="zh-CN"/>
        </w:rPr>
        <w:t>30.03</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12.41</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val="en-US" w:eastAsia="zh-CN"/>
        </w:rPr>
        <w:t>人员调入经费增加</w:t>
      </w:r>
      <w:r>
        <w:rPr>
          <w:rFonts w:hint="eastAsia" w:ascii="仿宋" w:hAnsi="仿宋" w:eastAsia="仿宋"/>
          <w:color w:val="000000"/>
          <w:sz w:val="32"/>
          <w:szCs w:val="32"/>
          <w:lang w:eastAsia="zh-CN"/>
        </w:rPr>
        <w:t>。</w:t>
      </w:r>
    </w:p>
    <w:p>
      <w:pPr>
        <w:pStyle w:val="33"/>
        <w:rPr>
          <w:rFonts w:hint="eastAsia" w:ascii="仿宋" w:hAnsi="仿宋" w:eastAsia="仿宋"/>
          <w:color w:val="auto"/>
          <w:sz w:val="32"/>
          <w:szCs w:val="32"/>
          <w:highlight w:val="none"/>
          <w:lang w:eastAsia="zh-CN"/>
        </w:rPr>
      </w:pPr>
      <w:r>
        <w:rPr>
          <w:sz w:val="32"/>
        </w:rPr>
        <mc:AlternateContent>
          <mc:Choice Requires="wps">
            <w:drawing>
              <wp:anchor distT="0" distB="0" distL="114300" distR="114300" simplePos="0" relativeHeight="251659264" behindDoc="0" locked="0" layoutInCell="1" allowOverlap="1">
                <wp:simplePos x="0" y="0"/>
                <wp:positionH relativeFrom="column">
                  <wp:posOffset>2319020</wp:posOffset>
                </wp:positionH>
                <wp:positionV relativeFrom="paragraph">
                  <wp:posOffset>979805</wp:posOffset>
                </wp:positionV>
                <wp:extent cx="866775" cy="657225"/>
                <wp:effectExtent l="4445" t="5080" r="5080" b="4445"/>
                <wp:wrapNone/>
                <wp:docPr id="3" name="文本框 3"/>
                <wp:cNvGraphicFramePr/>
                <a:graphic xmlns:a="http://schemas.openxmlformats.org/drawingml/2006/main">
                  <a:graphicData uri="http://schemas.microsoft.com/office/word/2010/wordprocessingShape">
                    <wps:wsp>
                      <wps:cNvSpPr txBox="1"/>
                      <wps:spPr>
                        <a:xfrm>
                          <a:off x="3462020" y="4302760"/>
                          <a:ext cx="866775" cy="65722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eastAsia"/>
                              </w:rPr>
                            </w:pPr>
                            <w:r>
                              <w:rPr>
                                <w:rFonts w:hint="eastAsia"/>
                              </w:rPr>
                              <w:t>增加30.03万元，增长12.41%</w:t>
                            </w: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82.6pt;margin-top:77.15pt;height:51.75pt;width:68.25pt;z-index:251659264;mso-width-relative:page;mso-height-relative:page;" fillcolor="#FFFFFF [3201]" filled="t" stroked="t" coordsize="21600,21600" o:gfxdata="UEsDBAoAAAAAAIdO4kAAAAAAAAAAAAAAAAAEAAAAZHJzL1BLAwQUAAAACACHTuJAqFqTR9gAAAAL&#10;AQAADwAAAGRycy9kb3ducmV2LnhtbE2Py07DMBBF90j8gzWV2FE7CUmrEKcSSEiIHW027Nx4mkT1&#10;I7Ldpvw9wwqWo3t075lmd7OGXTHEyTsJ2VoAQ9d7PblBQnd4e9wCi0k5rYx3KOEbI+za+7tG1dov&#10;7hOv+zQwKnGxVhLGlOaa89iPaFVc+xkdZScfrEp0hoHroBYqt4bnQlTcqsnRwqhmfB2xP+8vVsJ7&#10;9ZK+sNMfusgLv3S8DycTpXxYZeIZWMJb+oPhV5/UoSWno784HZmRUFRlTigF5VMBjIhSZBtgRwl5&#10;udkCbxv+/4f2B1BLAwQUAAAACACHTuJAuKDCkEcCAAB0BAAADgAAAGRycy9lMm9Eb2MueG1srVTB&#10;jtowEL1X6j9YvpeEAGGLCCvKiqrSqrsSrXo2jkOiOh7XNiT0A7p/0FMvvfe7+I6OTWDZbk9VOZix&#10;5+nNzJuZTK/bWpKdMLYCldF+L6ZEKA55pTYZ/fhh+eqKEuuYypkEJTK6F5Zez16+mDZ6IhIoQebC&#10;ECRRdtLojJbO6UkUWV6KmtkeaKHQWYCpmcOr2US5YQ2y1zJK4jiNGjC5NsCFtfh6c3TSWeAvCsHd&#10;XVFY4YjMKObmwmnCufZnNJuyycYwXVa8S4P9QxY1qxQGPVPdMMfI1lTPqOqKG7BQuB6HOoKiqLgI&#10;NWA1/fiPalYl0yLUguJYfZbJ/j9a/n53b0iVZ3RAiWI1tujw/eHw49fh5zcy8PI02k4QtdKIc+0b&#10;aLHNp3eLj77qtjC1/8d6CPoHwzSJE5R7n9HhIE7GaSe0aB3hCLhK0/F4RAlHQDoaJ8nIM0aPRNpY&#10;91ZATbyRUYN9DPKy3a11R+gJ4uNakFW+rKQMF7NZL6QhO4Y9X4Zfx/4EJhVpMPpgFAfmJz7PfaZY&#10;S8Y/P2fAbKXCpL0+Rx285dp124m2hnyPmhk4Dp3VfFkh7y2z7p4ZnDIUCDfH3eFRSMBkoLMoKcF8&#10;/du7x2Pz0UtJg1ObUftly4ygRL5TOBav+8OhH/NwGaKyeDGXnvWlR23rBaBIfdxRzYPp8U6ezMJA&#10;/QkXbO6joospjrEz6k7mwh13CReUi/k8gHCwNXO3aqW5p/YtUTDfOiiq0Dov01GbTj0c7dD8bg39&#10;7lzeA+rxYzH7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Khak0fYAAAACwEAAA8AAAAAAAAAAQAg&#10;AAAAIgAAAGRycy9kb3ducmV2LnhtbFBLAQIUABQAAAAIAIdO4kC4oMKQRwIAAHQEAAAOAAAAAAAA&#10;AAEAIAAAACcBAABkcnMvZTJvRG9jLnhtbFBLBQYAAAAABgAGAFkBAADgBQAAAAA=&#10;">
                <v:fill on="t" focussize="0,0"/>
                <v:stroke weight="0.5pt" color="#000000 [3204]" joinstyle="round"/>
                <v:imagedata o:title=""/>
                <o:lock v:ext="edit" aspectratio="f"/>
                <v:textbox>
                  <w:txbxContent>
                    <w:p>
                      <w:pPr>
                        <w:rPr>
                          <w:rFonts w:hint="eastAsia"/>
                        </w:rPr>
                      </w:pPr>
                      <w:r>
                        <w:rPr>
                          <w:rFonts w:hint="eastAsia"/>
                        </w:rPr>
                        <w:t>增加30.03万元，增长12.41%</w:t>
                      </w:r>
                    </w:p>
                    <w:p/>
                  </w:txbxContent>
                </v:textbox>
              </v:shape>
            </w:pict>
          </mc:Fallback>
        </mc:AlternateContent>
      </w:r>
      <w:r>
        <w:rPr>
          <w:rFonts w:hint="eastAsia" w:ascii="仿宋_GB2312" w:eastAsia="仿宋_GB2312"/>
          <w:color w:val="000000"/>
          <w:sz w:val="32"/>
          <w:szCs w:val="32"/>
          <w:lang w:eastAsia="zh-CN"/>
        </w:rPr>
        <w:object>
          <v:shape id="_x0000_i1025" o:spt="75" type="#_x0000_t75" style="height:253.65pt;width:408.05pt;" o:ole="t" filled="f" o:preferrelative="t" stroked="f" coordsize="21600,21600">
            <v:path/>
            <v:fill on="f" focussize="0,0"/>
            <v:stroke on="f"/>
            <v:imagedata r:id="rId10" o:title=""/>
            <o:lock v:ext="edit" aspectratio="t"/>
            <w10:wrap type="none"/>
            <w10:anchorlock/>
          </v:shape>
          <o:OLEObject Type="Embed" ProgID="Excel.Chart.8" ShapeID="_x0000_i1025" DrawAspect="Content" ObjectID="_1468075725" r:id="rId9">
            <o:LockedField>false</o:LockedField>
          </o:OLEObject>
        </w:object>
      </w:r>
    </w:p>
    <w:p>
      <w:pPr>
        <w:jc w:val="center"/>
        <w:rPr>
          <w:rFonts w:hint="eastAsia"/>
          <w:lang w:eastAsia="zh-CN"/>
        </w:rPr>
      </w:pPr>
      <w:r>
        <w:rPr>
          <w:rFonts w:hint="eastAsia" w:ascii="仿宋" w:hAnsi="仿宋" w:eastAsia="仿宋"/>
          <w:color w:val="auto"/>
          <w:sz w:val="28"/>
          <w:szCs w:val="28"/>
          <w:highlight w:val="none"/>
        </w:rPr>
        <w:t>（图</w:t>
      </w:r>
      <w:r>
        <w:rPr>
          <w:rFonts w:ascii="仿宋" w:hAnsi="仿宋" w:eastAsia="仿宋"/>
          <w:color w:val="auto"/>
          <w:sz w:val="28"/>
          <w:szCs w:val="28"/>
          <w:highlight w:val="none"/>
        </w:rPr>
        <w:t>1</w:t>
      </w:r>
      <w:r>
        <w:rPr>
          <w:rFonts w:hint="eastAsia" w:ascii="仿宋" w:hAnsi="仿宋" w:eastAsia="仿宋"/>
          <w:color w:val="auto"/>
          <w:sz w:val="28"/>
          <w:szCs w:val="28"/>
          <w:highlight w:val="none"/>
        </w:rPr>
        <w:t>：收、支决算总计变动情况图）（柱状图）</w:t>
      </w:r>
    </w:p>
    <w:p>
      <w:pPr>
        <w:pStyle w:val="26"/>
        <w:numPr>
          <w:ilvl w:val="0"/>
          <w:numId w:val="1"/>
        </w:numPr>
        <w:spacing w:line="600" w:lineRule="exact"/>
        <w:ind w:firstLineChars="0"/>
        <w:outlineLvl w:val="1"/>
        <w:rPr>
          <w:rStyle w:val="28"/>
          <w:rFonts w:ascii="黑体" w:hAnsi="黑体" w:eastAsia="黑体"/>
          <w:b w:val="0"/>
          <w:color w:val="auto"/>
          <w:highlight w:val="none"/>
        </w:rPr>
      </w:pPr>
      <w:bookmarkStart w:id="33" w:name="_Toc15396604"/>
      <w:bookmarkStart w:id="34" w:name="_Toc7160"/>
      <w:bookmarkStart w:id="35" w:name="_Toc15377206"/>
      <w:r>
        <w:rPr>
          <w:rFonts w:hint="eastAsia" w:ascii="黑体" w:hAnsi="黑体" w:eastAsia="黑体"/>
          <w:color w:val="auto"/>
          <w:sz w:val="32"/>
          <w:szCs w:val="32"/>
          <w:highlight w:val="none"/>
        </w:rPr>
        <w:t>收</w:t>
      </w:r>
      <w:r>
        <w:rPr>
          <w:rStyle w:val="28"/>
          <w:rFonts w:hint="eastAsia" w:ascii="黑体" w:hAnsi="黑体" w:eastAsia="黑体"/>
          <w:b w:val="0"/>
          <w:color w:val="auto"/>
          <w:highlight w:val="none"/>
        </w:rPr>
        <w:t>入决算情况说明</w:t>
      </w:r>
      <w:bookmarkEnd w:id="33"/>
      <w:bookmarkEnd w:id="34"/>
      <w:bookmarkEnd w:id="35"/>
    </w:p>
    <w:p>
      <w:pPr>
        <w:spacing w:line="600" w:lineRule="exact"/>
        <w:ind w:firstLine="640" w:firstLineChars="200"/>
        <w:outlineLvl w:val="1"/>
        <w:rPr>
          <w:rFonts w:hint="eastAsia" w:ascii="仿宋" w:hAnsi="仿宋" w:eastAsia="仿宋"/>
          <w:color w:val="auto"/>
          <w:sz w:val="32"/>
          <w:szCs w:val="32"/>
          <w:highlight w:val="none"/>
        </w:rPr>
      </w:pPr>
      <w:bookmarkStart w:id="36" w:name="_Toc10415"/>
      <w:bookmarkStart w:id="37" w:name="_Toc612"/>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年本年收入合计</w:t>
      </w:r>
      <w:r>
        <w:rPr>
          <w:rFonts w:hint="eastAsia" w:ascii="仿宋" w:hAnsi="仿宋" w:eastAsia="仿宋"/>
          <w:color w:val="auto"/>
          <w:sz w:val="32"/>
          <w:szCs w:val="32"/>
          <w:highlight w:val="none"/>
          <w:lang w:val="en-US" w:eastAsia="zh-CN"/>
        </w:rPr>
        <w:t>143.49</w:t>
      </w:r>
      <w:r>
        <w:rPr>
          <w:rFonts w:hint="eastAsia" w:ascii="仿宋" w:hAnsi="仿宋" w:eastAsia="仿宋"/>
          <w:color w:val="auto"/>
          <w:sz w:val="32"/>
          <w:szCs w:val="32"/>
          <w:highlight w:val="none"/>
        </w:rPr>
        <w:t>万元，其中：一般公共预算财政拨款收入</w:t>
      </w:r>
      <w:r>
        <w:rPr>
          <w:rFonts w:hint="eastAsia" w:ascii="仿宋" w:hAnsi="仿宋" w:eastAsia="仿宋"/>
          <w:color w:val="auto"/>
          <w:sz w:val="32"/>
          <w:szCs w:val="32"/>
          <w:highlight w:val="none"/>
          <w:lang w:val="en-US" w:eastAsia="zh-CN"/>
        </w:rPr>
        <w:t>143.49</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；政府性基金预算财政拨款收入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color w:val="auto"/>
          <w:sz w:val="32"/>
          <w:szCs w:val="32"/>
          <w:highlight w:val="none"/>
          <w:lang w:eastAsia="zh-CN"/>
        </w:rPr>
        <w:t>国有资本经营预算财政拨款收入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；上级补助收入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；事业收入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；经营收入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；附属单位上缴收入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；其他收入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bookmarkEnd w:id="36"/>
      <w:bookmarkEnd w:id="37"/>
    </w:p>
    <w:p>
      <w:pPr>
        <w:pStyle w:val="33"/>
        <w:rPr>
          <w:rFonts w:ascii="仿宋_GB2312" w:eastAsia="仿宋_GB2312"/>
          <w:color w:val="auto"/>
          <w:sz w:val="32"/>
          <w:szCs w:val="32"/>
          <w:highlight w:val="none"/>
        </w:rPr>
      </w:pPr>
      <w:r>
        <w:rPr>
          <w:sz w:val="32"/>
        </w:rPr>
        <mc:AlternateContent>
          <mc:Choice Requires="wps">
            <w:drawing>
              <wp:anchor distT="0" distB="0" distL="114300" distR="114300" simplePos="0" relativeHeight="251662336" behindDoc="0" locked="0" layoutInCell="1" allowOverlap="1">
                <wp:simplePos x="0" y="0"/>
                <wp:positionH relativeFrom="column">
                  <wp:posOffset>1052195</wp:posOffset>
                </wp:positionH>
                <wp:positionV relativeFrom="paragraph">
                  <wp:posOffset>1854200</wp:posOffset>
                </wp:positionV>
                <wp:extent cx="1552575" cy="523875"/>
                <wp:effectExtent l="0" t="0" r="9525" b="9525"/>
                <wp:wrapNone/>
                <wp:docPr id="6" name="文本框 6"/>
                <wp:cNvGraphicFramePr/>
                <a:graphic xmlns:a="http://schemas.openxmlformats.org/drawingml/2006/main">
                  <a:graphicData uri="http://schemas.microsoft.com/office/word/2010/wordprocessingShape">
                    <wps:wsp>
                      <wps:cNvSpPr txBox="1"/>
                      <wps:spPr>
                        <a:xfrm>
                          <a:off x="2328545" y="3235325"/>
                          <a:ext cx="1552575" cy="523875"/>
                        </a:xfrm>
                        <a:prstGeom prst="rect">
                          <a:avLst/>
                        </a:prstGeom>
                        <a:solidFill>
                          <a:srgbClr val="4F81BD">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lang w:val="en-US" w:eastAsia="zh-CN"/>
                              </w:rPr>
                            </w:pPr>
                            <w:r>
                              <w:rPr>
                                <w:rFonts w:hint="eastAsia"/>
                                <w:lang w:val="en-US" w:eastAsia="zh-CN"/>
                              </w:rPr>
                              <w:t>一般公共预算财政拨款收入占比100%</w:t>
                            </w: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2.85pt;margin-top:146pt;height:41.25pt;width:122.25pt;z-index:251662336;mso-width-relative:page;mso-height-relative:page;" fillcolor="#4F81BD" filled="t" stroked="f" coordsize="21600,21600" o:gfxdata="UEsDBAoAAAAAAIdO4kAAAAAAAAAAAAAAAAAEAAAAZHJzL1BLAwQUAAAACACHTuJA7r6jctYAAAAL&#10;AQAADwAAAGRycy9kb3ducmV2LnhtbE2PQU7DMBBF90jcwRokdtROaJsS4nRRhMSWtgdwYuNYtcdR&#10;7Dbh9gwrWH7N05/3m/0SPLuZKbmIEoqVAGawj9qhlXA+vT/tgKWsUCsf0Uj4Ngn27f1do2odZ/w0&#10;t2O2jEow1UrCkPNYc576wQSVVnE0SLevOAWVKU6W60nNVB48L4XY8qAc0odBjeYwmP5yvAYJy6Uq&#10;Zm53Li3d6HN3dm8f9iDl40MhXoFls+Q/GH71SR1acuriFXVinvJ2UxEqoXwpaRQR60KUwDoJz9V6&#10;A7xt+P8N7Q9QSwMEFAAAAAgAh07iQCHJHqhNAgAAagQAAA4AAABkcnMvZTJvRG9jLnhtbK1UzY7a&#10;MBC+V+o7WL6XQEJYiggrFkRVCXVXolXPxnFIJMfj2oaEPkD7Bnvqpfc+F8/RsQO79OdU9WJmPF++&#10;8Xwzw/S2rSU5CGMrUBkd9PqUCMUhr9Quox/er16NKbGOqZxJUCKjR2Hp7ezli2mjJyKGEmQuDEES&#10;ZSeNzmjpnJ5EkeWlqJntgRYKgwWYmjl0zS7KDWuQvZZR3O+PogZMrg1wYS3eLrsgnQX+ohDc3ReF&#10;FY7IjOLbXDhNOLf+jGZTNtkZpsuKn5/B/uEVNasUJn2iWjLHyN5Uf1DVFTdgoXA9DnUERVFxEWrA&#10;agb936rZlEyLUAuKY/WTTPb/0fJ3hwdDqjyjI0oUq7FFp8evp28/Tt+/kJGXp9F2gqiNRpxr76DF&#10;Nl/uLV76qtvC1P4X6yEYj5N4nA5TSo4ZTeIkTeK0E1q0jnBPkKZxeoMAjog0TsZoY6romUkb694I&#10;qIk3MmqwkUFfdlhb10EvEJ/YgqzyVSVlcMxuu5CGHBg2fbgaD+6W3bdSl6y7DY3HdLaDhtS/cEhF&#10;GtQkSfvhUwWevMsrFcK9Kl313nLttj1LtYX8iEoZ6EbNar6qsIQ1s+6BGZwtnELcF3ePRyEBk8DZ&#10;oqQE8/lv9x6PLccoJQ3Oakbtpz0zghL5VuEwvB4Mh364gzNMb2J0zHVkex1R+3oBqMwAN1PzYHq8&#10;kxezMFB/xLWa+6wYYopj7oy6i7lw3QbhWnIxnwcQjrNmbq02mntq3wcF872Dogr98jJ12pzVw4EO&#10;sp+Xz2/MtR9Qz38Rs5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DuvqNy1gAAAAsBAAAPAAAAAAAA&#10;AAEAIAAAACIAAABkcnMvZG93bnJldi54bWxQSwECFAAUAAAACACHTuJAIckeqE0CAABqBAAADgAA&#10;AAAAAAABACAAAAAlAQAAZHJzL2Uyb0RvYy54bWxQSwUGAAAAAAYABgBZAQAA5AUAAAAA&#10;">
                <v:fill on="t" opacity="0f" focussize="0,0"/>
                <v:stroke on="f" weight="0.5pt"/>
                <v:imagedata o:title=""/>
                <o:lock v:ext="edit" aspectratio="f"/>
                <v:textbox>
                  <w:txbxContent>
                    <w:p>
                      <w:pPr>
                        <w:rPr>
                          <w:rFonts w:hint="default"/>
                          <w:lang w:val="en-US" w:eastAsia="zh-CN"/>
                        </w:rPr>
                      </w:pPr>
                      <w:r>
                        <w:rPr>
                          <w:rFonts w:hint="eastAsia"/>
                          <w:lang w:val="en-US" w:eastAsia="zh-CN"/>
                        </w:rPr>
                        <w:t>一般公共预算财政拨款收入占比100%</w:t>
                      </w:r>
                    </w:p>
                    <w:p/>
                  </w:txbxContent>
                </v:textbox>
              </v:shape>
            </w:pict>
          </mc:Fallback>
        </mc:AlternateContent>
      </w:r>
      <w:r>
        <w:rPr>
          <w:rFonts w:hint="eastAsia" w:ascii="仿宋" w:hAnsi="仿宋" w:eastAsia="仿宋"/>
          <w:b/>
          <w:color w:val="FF0000"/>
          <w:sz w:val="32"/>
          <w:szCs w:val="32"/>
          <w:lang w:eastAsia="zh-CN"/>
        </w:rPr>
        <w:object>
          <v:shape id="_x0000_i1026" o:spt="75" type="#_x0000_t75" style="height:284.95pt;width:441.65pt;" o:ole="t" filled="f" o:preferrelative="t" stroked="f" coordsize="21600,21600">
            <v:path/>
            <v:fill on="f" focussize="0,0"/>
            <v:stroke on="f"/>
            <v:imagedata r:id="rId12" o:title=""/>
            <o:lock v:ext="edit" aspectratio="t"/>
            <w10:wrap type="none"/>
            <w10:anchorlock/>
          </v:shape>
          <o:OLEObject Type="Embed" ProgID="Excel.Chart.8" ShapeID="_x0000_i1026" DrawAspect="Content" ObjectID="_1468075726" r:id="rId11">
            <o:LockedField>false</o:LockedField>
          </o:OLEObject>
        </w:object>
      </w:r>
      <w:r>
        <w:rPr>
          <w:rFonts w:hint="eastAsia" w:ascii="仿宋" w:hAnsi="仿宋" w:eastAsia="仿宋" w:cs="Times New Roman"/>
          <w:color w:val="auto"/>
          <w:kern w:val="2"/>
          <w:sz w:val="28"/>
          <w:szCs w:val="28"/>
          <w:highlight w:val="none"/>
          <w:lang w:val="en-US" w:eastAsia="zh-CN" w:bidi="ar-SA"/>
        </w:rPr>
        <w:t>（图2：收入决算结构图）（饼状图）</w:t>
      </w:r>
    </w:p>
    <w:p>
      <w:pPr>
        <w:pStyle w:val="26"/>
        <w:numPr>
          <w:ilvl w:val="0"/>
          <w:numId w:val="1"/>
        </w:numPr>
        <w:spacing w:line="600" w:lineRule="exact"/>
        <w:ind w:firstLineChars="0"/>
        <w:outlineLvl w:val="1"/>
        <w:rPr>
          <w:rStyle w:val="28"/>
          <w:rFonts w:ascii="黑体" w:hAnsi="黑体" w:eastAsia="黑体"/>
          <w:b w:val="0"/>
          <w:color w:val="auto"/>
          <w:highlight w:val="none"/>
        </w:rPr>
      </w:pPr>
      <w:bookmarkStart w:id="38" w:name="_Toc23844"/>
      <w:bookmarkStart w:id="39" w:name="_Toc15377207"/>
      <w:bookmarkStart w:id="40" w:name="_Toc15396605"/>
      <w:r>
        <w:rPr>
          <w:rFonts w:hint="eastAsia" w:ascii="黑体" w:hAnsi="黑体" w:eastAsia="黑体"/>
          <w:color w:val="auto"/>
          <w:sz w:val="32"/>
          <w:szCs w:val="32"/>
          <w:highlight w:val="none"/>
        </w:rPr>
        <w:t>支</w:t>
      </w:r>
      <w:r>
        <w:rPr>
          <w:rStyle w:val="28"/>
          <w:rFonts w:hint="eastAsia" w:ascii="黑体" w:hAnsi="黑体" w:eastAsia="黑体"/>
          <w:b w:val="0"/>
          <w:color w:val="auto"/>
          <w:highlight w:val="none"/>
        </w:rPr>
        <w:t>出决算情况说明</w:t>
      </w:r>
      <w:bookmarkEnd w:id="38"/>
      <w:bookmarkEnd w:id="39"/>
      <w:bookmarkEnd w:id="40"/>
    </w:p>
    <w:p>
      <w:pPr>
        <w:spacing w:line="600" w:lineRule="exact"/>
        <w:ind w:firstLine="640" w:firstLineChars="200"/>
        <w:outlineLvl w:val="1"/>
        <w:rPr>
          <w:rFonts w:hint="eastAsia" w:ascii="仿宋" w:hAnsi="仿宋" w:eastAsia="仿宋"/>
          <w:b/>
          <w:color w:val="FF0000"/>
          <w:sz w:val="32"/>
          <w:szCs w:val="32"/>
          <w:lang w:eastAsia="zh-CN"/>
        </w:rPr>
      </w:pPr>
      <w:bookmarkStart w:id="41" w:name="_Toc22696"/>
      <w:bookmarkStart w:id="42" w:name="_Toc8806"/>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年本年支出合计</w:t>
      </w:r>
      <w:r>
        <w:rPr>
          <w:rFonts w:hint="eastAsia" w:ascii="仿宋" w:hAnsi="仿宋" w:eastAsia="仿宋"/>
          <w:color w:val="auto"/>
          <w:sz w:val="32"/>
          <w:szCs w:val="32"/>
          <w:highlight w:val="none"/>
          <w:lang w:val="en-US" w:eastAsia="zh-CN"/>
        </w:rPr>
        <w:t>269.2</w:t>
      </w:r>
      <w:r>
        <w:rPr>
          <w:rFonts w:hint="eastAsia" w:ascii="仿宋" w:hAnsi="仿宋" w:eastAsia="仿宋"/>
          <w:color w:val="auto"/>
          <w:sz w:val="32"/>
          <w:szCs w:val="32"/>
          <w:highlight w:val="none"/>
        </w:rPr>
        <w:t>万元，其中：基本支出</w:t>
      </w:r>
      <w:r>
        <w:rPr>
          <w:rFonts w:hint="eastAsia" w:ascii="仿宋" w:hAnsi="仿宋" w:eastAsia="仿宋"/>
          <w:color w:val="auto"/>
          <w:sz w:val="32"/>
          <w:szCs w:val="32"/>
          <w:highlight w:val="none"/>
          <w:lang w:val="en-US" w:eastAsia="zh-CN"/>
        </w:rPr>
        <w:t>138.85</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51.58</w:t>
      </w:r>
      <w:r>
        <w:rPr>
          <w:rFonts w:ascii="仿宋" w:hAnsi="仿宋" w:eastAsia="仿宋"/>
          <w:color w:val="auto"/>
          <w:sz w:val="32"/>
          <w:szCs w:val="32"/>
          <w:highlight w:val="none"/>
        </w:rPr>
        <w:t>%</w:t>
      </w:r>
      <w:r>
        <w:rPr>
          <w:rFonts w:hint="eastAsia" w:ascii="仿宋" w:hAnsi="仿宋" w:eastAsia="仿宋"/>
          <w:color w:val="auto"/>
          <w:sz w:val="32"/>
          <w:szCs w:val="32"/>
          <w:highlight w:val="none"/>
        </w:rPr>
        <w:t>；项目支出</w:t>
      </w:r>
      <w:r>
        <w:rPr>
          <w:rFonts w:hint="eastAsia" w:ascii="仿宋" w:hAnsi="仿宋" w:eastAsia="仿宋"/>
          <w:color w:val="auto"/>
          <w:sz w:val="32"/>
          <w:szCs w:val="32"/>
          <w:highlight w:val="none"/>
          <w:lang w:val="en-US" w:eastAsia="zh-CN"/>
        </w:rPr>
        <w:t>130.35</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48.42</w:t>
      </w:r>
      <w:r>
        <w:rPr>
          <w:rFonts w:ascii="仿宋" w:hAnsi="仿宋" w:eastAsia="仿宋"/>
          <w:color w:val="auto"/>
          <w:sz w:val="32"/>
          <w:szCs w:val="32"/>
          <w:highlight w:val="none"/>
        </w:rPr>
        <w:t>%</w:t>
      </w:r>
      <w:r>
        <w:rPr>
          <w:rFonts w:hint="eastAsia" w:ascii="仿宋" w:hAnsi="仿宋" w:eastAsia="仿宋"/>
          <w:color w:val="auto"/>
          <w:sz w:val="32"/>
          <w:szCs w:val="32"/>
          <w:highlight w:val="none"/>
        </w:rPr>
        <w:t>；上缴上级支出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；经营支出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；对附属单位补助支出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bookmarkEnd w:id="41"/>
      <w:bookmarkEnd w:id="42"/>
    </w:p>
    <w:p>
      <w:pPr>
        <w:jc w:val="center"/>
        <w:rPr>
          <w:rFonts w:ascii="仿宋_GB2312" w:eastAsia="仿宋_GB2312"/>
          <w:color w:val="auto"/>
          <w:sz w:val="32"/>
          <w:szCs w:val="32"/>
          <w:highlight w:val="none"/>
        </w:rPr>
      </w:pPr>
      <w:r>
        <w:rPr>
          <w:rFonts w:hint="eastAsia" w:ascii="仿宋" w:hAnsi="仿宋" w:eastAsia="仿宋"/>
          <w:b/>
          <w:color w:val="FF0000"/>
          <w:sz w:val="32"/>
          <w:szCs w:val="32"/>
          <w:lang w:eastAsia="zh-CN"/>
        </w:rPr>
        <w:object>
          <v:shape id="_x0000_i1027" o:spt="75" type="#_x0000_t75" style="height:225.75pt;width:400.55pt;" o:ole="t" filled="f" o:preferrelative="t" stroked="f" coordsize="21600,21600">
            <v:path/>
            <v:fill on="f" focussize="0,0"/>
            <v:stroke on="f"/>
            <v:imagedata r:id="rId14" o:title=""/>
            <o:lock v:ext="edit" aspectratio="t"/>
            <w10:wrap type="none"/>
            <w10:anchorlock/>
          </v:shape>
          <o:OLEObject Type="Embed" ProgID="Excel.Chart.8" ShapeID="_x0000_i1027" DrawAspect="Content" ObjectID="_1468075727" r:id="rId13">
            <o:LockedField>false</o:LockedField>
          </o:OLEObject>
        </w:object>
      </w:r>
      <w:r>
        <w:rPr>
          <w:sz w:val="32"/>
        </w:rPr>
        <mc:AlternateContent>
          <mc:Choice Requires="wps">
            <w:drawing>
              <wp:anchor distT="0" distB="0" distL="114300" distR="114300" simplePos="0" relativeHeight="251661312" behindDoc="0" locked="0" layoutInCell="1" allowOverlap="1">
                <wp:simplePos x="0" y="0"/>
                <wp:positionH relativeFrom="column">
                  <wp:posOffset>1090295</wp:posOffset>
                </wp:positionH>
                <wp:positionV relativeFrom="paragraph">
                  <wp:posOffset>1380490</wp:posOffset>
                </wp:positionV>
                <wp:extent cx="923925" cy="457200"/>
                <wp:effectExtent l="0" t="0" r="9525" b="0"/>
                <wp:wrapNone/>
                <wp:docPr id="5" name="文本框 5"/>
                <wp:cNvGraphicFramePr/>
                <a:graphic xmlns:a="http://schemas.openxmlformats.org/drawingml/2006/main">
                  <a:graphicData uri="http://schemas.microsoft.com/office/word/2010/wordprocessingShape">
                    <wps:wsp>
                      <wps:cNvSpPr txBox="1"/>
                      <wps:spPr>
                        <a:xfrm>
                          <a:off x="2290445" y="2571115"/>
                          <a:ext cx="923925" cy="457200"/>
                        </a:xfrm>
                        <a:prstGeom prst="rect">
                          <a:avLst/>
                        </a:prstGeom>
                        <a:solidFill>
                          <a:srgbClr val="4F81BD">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lang w:val="en-US" w:eastAsia="zh-CN"/>
                              </w:rPr>
                            </w:pPr>
                            <w:r>
                              <w:rPr>
                                <w:rFonts w:hint="eastAsia"/>
                                <w:sz w:val="13"/>
                                <w:szCs w:val="13"/>
                                <w:lang w:val="en-US" w:eastAsia="zh-CN"/>
                              </w:rPr>
                              <w:t>项目</w:t>
                            </w:r>
                            <w:r>
                              <w:rPr>
                                <w:rFonts w:hint="eastAsia"/>
                                <w:sz w:val="15"/>
                                <w:szCs w:val="15"/>
                                <w:lang w:val="en-US" w:eastAsia="zh-CN"/>
                              </w:rPr>
                              <w:t>支出130.35万元，占48.42%</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5.85pt;margin-top:108.7pt;height:36pt;width:72.75pt;z-index:251661312;mso-width-relative:page;mso-height-relative:page;" fillcolor="#4F81BD" filled="t" stroked="f" coordsize="21600,21600" o:gfxdata="UEsDBAoAAAAAAIdO4kAAAAAAAAAAAAAAAAAEAAAAZHJzL1BLAwQUAAAACACHTuJA64ZocNUAAAAL&#10;AQAADwAAAGRycy9kb3ducmV2LnhtbE2PQU7DMBBF90jcwZpK7KjjUOGQxumiCIktpQdw4sGxGttR&#10;7Dbh9gwrWP6Zpz9vmsPqR3bDObkYFIhtAQxDH40LVsH58+2xApayDkaPMaCCb0xwaO/vGl2buIQP&#10;vJ2yZVQSUq0VDDlPNeepH9DrtI0TBtp9xdnrTHG23Mx6oXI/8rIonrnXLtCFQU94HLC/nK5ewXqR&#10;YuG2cmntpjF3Z/f6bo9KPWxEsQeWcc1/MPzqkzq05NTFazCJjZSlkIQqKIXcASPiScgSWEeT6mUH&#10;vG34/x/aH1BLAwQUAAAACACHTuJAkeWEvksCAABpBAAADgAAAGRycy9lMm9Eb2MueG1srVTNjtMw&#10;EL4j8Q6W7zQ/2+5uo6arbqsipIpdqSDOruM0kRyPsd0m5QHgDThx4c5z9TkYO+1u+TkhLs7Y8/kb&#10;zzczmdx1jSR7YWwNKqfJIKZEKA5FrbY5ff9u+eqWEuuYKpgEJXJ6EJbeTV++mLQ6EylUIAthCJIo&#10;m7U6p5VzOosiyyvRMDsALRQ6SzANc7g126gwrEX2RkZpHF9HLZhCG+DCWjxd9E46DfxlKbh7KEsr&#10;HJE5xbe5sJqwbvwaTScs2xqmq5qfnsH+4RUNqxUGfaJaMMfIztR/UDU1N2ChdAMOTQRlWXMRcsBs&#10;kvi3bNYV0yLkguJY/SST/X+0/O3+0ZC6yOmIEsUaLNHx65fjtx/H75/JyMvTapshaq0R57p76LDM&#10;53OLhz7rrjSN/2I+BP1pOo6HQyQ8oD26SZIkMLFMdI5wBIzTq3GKfo6A4egGC+kZo2cibax7LaAh&#10;3sipwToGedl+ZV0PPUN8XAuyLpa1lGFjtpu5NGTPsObD5W1yv+jvSl2x/vQczvbQEPoXDqlIm9Pr&#10;q1Ecrirw5H1cqRDuRemT95brNt1JqQ0UBxTKQN9pVvNljSmsmHWPzGBrYRPiuLgHXEoJGAROFiUV&#10;mE9/O/d4rDh6KWmxVXNqP+6YEZTINwp7YZwMh763wybISYm59GwuPWrXzAGVSXAwNQ8mXjZOns3S&#10;QPMBp2rmo6KLKY6xc+rO5tz1A4RTycVsFkDYzZq5lVpr7ql9HRTMdg7KOtTLy9Rrc1IP+znIfpo9&#10;PzCX+4B6/kNMfw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rhmhw1QAAAAsBAAAPAAAAAAAAAAEA&#10;IAAAACIAAABkcnMvZG93bnJldi54bWxQSwECFAAUAAAACACHTuJAkeWEvksCAABpBAAADgAAAAAA&#10;AAABACAAAAAkAQAAZHJzL2Uyb0RvYy54bWxQSwUGAAAAAAYABgBZAQAA4QUAAAAA&#10;">
                <v:fill on="t" opacity="0f" focussize="0,0"/>
                <v:stroke on="f" weight="0.5pt"/>
                <v:imagedata o:title=""/>
                <o:lock v:ext="edit" aspectratio="f"/>
                <v:textbox>
                  <w:txbxContent>
                    <w:p>
                      <w:pPr>
                        <w:rPr>
                          <w:rFonts w:hint="default" w:eastAsia="宋体"/>
                          <w:lang w:val="en-US" w:eastAsia="zh-CN"/>
                        </w:rPr>
                      </w:pPr>
                      <w:r>
                        <w:rPr>
                          <w:rFonts w:hint="eastAsia"/>
                          <w:sz w:val="13"/>
                          <w:szCs w:val="13"/>
                          <w:lang w:val="en-US" w:eastAsia="zh-CN"/>
                        </w:rPr>
                        <w:t>项目</w:t>
                      </w:r>
                      <w:r>
                        <w:rPr>
                          <w:rFonts w:hint="eastAsia"/>
                          <w:sz w:val="15"/>
                          <w:szCs w:val="15"/>
                          <w:lang w:val="en-US" w:eastAsia="zh-CN"/>
                        </w:rPr>
                        <w:t>支出130.35万元，占48.42%</w:t>
                      </w:r>
                    </w:p>
                  </w:txbxContent>
                </v:textbox>
              </v:shape>
            </w:pict>
          </mc:Fallback>
        </mc:AlternateContent>
      </w:r>
      <w:r>
        <w:rPr>
          <w:sz w:val="32"/>
        </w:rPr>
        <mc:AlternateContent>
          <mc:Choice Requires="wps">
            <w:drawing>
              <wp:anchor distT="0" distB="0" distL="114300" distR="114300" simplePos="0" relativeHeight="251660288" behindDoc="0" locked="0" layoutInCell="1" allowOverlap="1">
                <wp:simplePos x="0" y="0"/>
                <wp:positionH relativeFrom="column">
                  <wp:posOffset>2176780</wp:posOffset>
                </wp:positionH>
                <wp:positionV relativeFrom="paragraph">
                  <wp:posOffset>1361440</wp:posOffset>
                </wp:positionV>
                <wp:extent cx="942340" cy="485775"/>
                <wp:effectExtent l="0" t="0" r="10160" b="9525"/>
                <wp:wrapNone/>
                <wp:docPr id="4" name="文本框 4"/>
                <wp:cNvGraphicFramePr/>
                <a:graphic xmlns:a="http://schemas.openxmlformats.org/drawingml/2006/main">
                  <a:graphicData uri="http://schemas.microsoft.com/office/word/2010/wordprocessingShape">
                    <wps:wsp>
                      <wps:cNvSpPr txBox="1"/>
                      <wps:spPr>
                        <a:xfrm>
                          <a:off x="3604895" y="2533015"/>
                          <a:ext cx="942340" cy="4857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5"/>
                                <w:szCs w:val="15"/>
                                <w:lang w:val="en-US" w:eastAsia="zh-CN"/>
                              </w:rPr>
                            </w:pPr>
                            <w:r>
                              <w:rPr>
                                <w:rFonts w:hint="eastAsia"/>
                                <w:sz w:val="15"/>
                                <w:szCs w:val="15"/>
                                <w:lang w:val="en-US" w:eastAsia="zh-CN"/>
                              </w:rPr>
                              <w:t>基本支出138.85万元，占51.58%</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71.4pt;margin-top:107.2pt;height:38.25pt;width:74.2pt;z-index:251660288;mso-width-relative:page;mso-height-relative:page;" filled="f" stroked="f" coordsize="21600,21600" o:gfxdata="UEsDBAoAAAAAAIdO4kAAAAAAAAAAAAAAAAAEAAAAZHJzL1BLAwQUAAAACACHTuJANFcIZNsAAAAL&#10;AQAADwAAAGRycy9kb3ducmV2LnhtbE2PzU7DMBCE70i8g7VI3KgdE1AT4lQoUoWE4NDSC7dN7CYR&#10;9jrE7g88PeYEx50dzXxTrc7OsqOZw+hJQbYQwAx1Xo/UK9i9rW+WwEJE0mg9GQVfJsCqvryosNT+&#10;RBtz3MaepRAKJSoYYpxKzkM3GIdh4SdD6bf3s8OYzrnnesZTCneWSyHuucORUsOAk2kG031sD07B&#10;c7N+xU0r3fLbNk8v+8fpc/d+p9T1VSYegEVzjn9m+MVP6FAnptYfSAdmFdzmMqFHBTLLc2DJkReZ&#10;BNYmpRAF8Lri/zfUP1BLAwQUAAAACACHTuJAsdtPeCsCAAAjBAAADgAAAGRycy9lMm9Eb2MueG1s&#10;rVPLjtMwFN0j8Q+W9zRpm/SlpqMyoyKkihmpINauYzeR/MJ2m5QPgD9gxYY939Xv4NppOxWwQmyc&#10;a9+T+zj33PldKwU6MOtqrQrc76UYMUV1WatdgT+8X72aYOQ8USURWrECH5nDd4uXL+aNmbGBrrQo&#10;mUUQRLlZYwpceW9mSeJoxSRxPW2YAifXVhIPV7tLSksaiC5FMkjTUdJoWxqrKXMOXh86J17E+Jwz&#10;6h85d8wjUWCozcfTxnMbzmQxJ7OdJaaq6bkM8g9VSFIrSHoN9UA8QXtb/xFK1tRqp7nvUS0TzXlN&#10;WewBuumnv3WzqYhhsRcgx5krTe7/haXvDk8W1WWBM4wUkTCi07evp+8/Tz++oCzQ0xg3A9TGAM63&#10;r3ULY768O3gMXbfcyvCFfhD4h6M0m0xzjI4FHuTDYdrPO6JZ6xEFwDQbDDMYBwVANsnH4+hPngMZ&#10;6/wbpiUKRoEtzDHSSw5r56EogF4gIa/Sq1qIOEuhUFPg0TBP4w9XD/whFPwY2unKDpZvt+25x60u&#10;j9Ci1Z1GnKGrGpKvifNPxIIooF4Qun+EgwsNSfTZwqjS9vPf3gMeZgVejBoQWYHdpz2xDCPxVsEU&#10;p/0s0ODjJcvHA7jYW8/21qP28l6DjvuwUoZGM+C9uJjcavkR9mEZsoKLKAq5C+wv5r3vpA/7RNly&#10;GUGgQ0P8Wm0MDaE7Opd7r3kdmQ40ddyc2QMlxgGctyZI/fYeUc+7vfg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NFcIZNsAAAALAQAADwAAAAAAAAABACAAAAAiAAAAZHJzL2Rvd25yZXYueG1sUEsB&#10;AhQAFAAAAAgAh07iQLHbT3grAgAAIwQAAA4AAAAAAAAAAQAgAAAAKgEAAGRycy9lMm9Eb2MueG1s&#10;UEsFBgAAAAAGAAYAWQEAAMcFAAAAAA==&#10;">
                <v:fill on="f" focussize="0,0"/>
                <v:stroke on="f" weight="0.5pt"/>
                <v:imagedata o:title=""/>
                <o:lock v:ext="edit" aspectratio="f"/>
                <v:textbox>
                  <w:txbxContent>
                    <w:p>
                      <w:pPr>
                        <w:rPr>
                          <w:rFonts w:hint="default" w:eastAsia="宋体"/>
                          <w:sz w:val="15"/>
                          <w:szCs w:val="15"/>
                          <w:lang w:val="en-US" w:eastAsia="zh-CN"/>
                        </w:rPr>
                      </w:pPr>
                      <w:r>
                        <w:rPr>
                          <w:rFonts w:hint="eastAsia"/>
                          <w:sz w:val="15"/>
                          <w:szCs w:val="15"/>
                          <w:lang w:val="en-US" w:eastAsia="zh-CN"/>
                        </w:rPr>
                        <w:t>基本支出138.85万元，占51.58%</w:t>
                      </w:r>
                    </w:p>
                  </w:txbxContent>
                </v:textbox>
              </v:shape>
            </w:pict>
          </mc:Fallback>
        </mc:AlternateContent>
      </w:r>
      <w:r>
        <w:rPr>
          <w:rFonts w:hint="eastAsia" w:ascii="仿宋" w:hAnsi="仿宋" w:eastAsia="仿宋" w:cs="Times New Roman"/>
          <w:color w:val="auto"/>
          <w:kern w:val="2"/>
          <w:sz w:val="28"/>
          <w:szCs w:val="28"/>
          <w:highlight w:val="none"/>
          <w:lang w:val="en-US" w:eastAsia="zh-CN" w:bidi="ar-SA"/>
        </w:rPr>
        <w:t>（图3：支出决算结构图）（饼状图）</w:t>
      </w:r>
    </w:p>
    <w:p>
      <w:pPr>
        <w:spacing w:line="600" w:lineRule="exact"/>
        <w:ind w:firstLine="640" w:firstLineChars="200"/>
        <w:outlineLvl w:val="1"/>
        <w:rPr>
          <w:rStyle w:val="28"/>
          <w:rFonts w:ascii="黑体" w:hAnsi="黑体" w:eastAsia="黑体"/>
          <w:b w:val="0"/>
          <w:color w:val="auto"/>
          <w:highlight w:val="none"/>
        </w:rPr>
      </w:pPr>
      <w:bookmarkStart w:id="43" w:name="_Toc15396606"/>
      <w:bookmarkStart w:id="44" w:name="_Toc15377208"/>
      <w:bookmarkStart w:id="45" w:name="_Toc4970"/>
      <w:r>
        <w:rPr>
          <w:rFonts w:hint="eastAsia" w:ascii="黑体" w:hAnsi="黑体" w:eastAsia="黑体"/>
          <w:color w:val="auto"/>
          <w:sz w:val="32"/>
          <w:szCs w:val="32"/>
          <w:highlight w:val="none"/>
        </w:rPr>
        <w:t>四、财</w:t>
      </w:r>
      <w:r>
        <w:rPr>
          <w:rStyle w:val="28"/>
          <w:rFonts w:hint="eastAsia" w:ascii="黑体" w:hAnsi="黑体" w:eastAsia="黑体"/>
          <w:b w:val="0"/>
          <w:color w:val="auto"/>
          <w:highlight w:val="none"/>
        </w:rPr>
        <w:t>政拨款收入支出决算总体情况说明</w:t>
      </w:r>
      <w:bookmarkEnd w:id="43"/>
      <w:bookmarkEnd w:id="44"/>
      <w:bookmarkEnd w:id="45"/>
    </w:p>
    <w:p>
      <w:pPr>
        <w:spacing w:line="600" w:lineRule="exact"/>
        <w:ind w:firstLine="640" w:firstLineChars="20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年财政拨款收、支总计</w:t>
      </w:r>
      <w:r>
        <w:rPr>
          <w:rFonts w:hint="eastAsia" w:ascii="仿宋" w:hAnsi="仿宋" w:eastAsia="仿宋"/>
          <w:color w:val="auto"/>
          <w:sz w:val="32"/>
          <w:szCs w:val="32"/>
          <w:highlight w:val="none"/>
          <w:lang w:val="en-US" w:eastAsia="zh-CN"/>
        </w:rPr>
        <w:t>271.88</w:t>
      </w:r>
      <w:r>
        <w:rPr>
          <w:rFonts w:hint="eastAsia" w:ascii="仿宋" w:hAnsi="仿宋" w:eastAsia="仿宋"/>
          <w:color w:val="auto"/>
          <w:sz w:val="32"/>
          <w:szCs w:val="32"/>
          <w:highlight w:val="none"/>
        </w:rPr>
        <w:t>万元。与</w:t>
      </w: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20</w:t>
      </w:r>
      <w:r>
        <w:rPr>
          <w:rFonts w:hint="eastAsia" w:ascii="仿宋" w:hAnsi="仿宋" w:eastAsia="仿宋"/>
          <w:color w:val="auto"/>
          <w:sz w:val="32"/>
          <w:szCs w:val="32"/>
          <w:highlight w:val="none"/>
        </w:rPr>
        <w:t>年相比，</w:t>
      </w:r>
      <w:r>
        <w:rPr>
          <w:rFonts w:hint="eastAsia" w:ascii="仿宋" w:hAnsi="仿宋" w:eastAsia="仿宋"/>
          <w:color w:val="000000"/>
          <w:sz w:val="32"/>
          <w:szCs w:val="32"/>
        </w:rPr>
        <w:t>收、支总计各增加</w:t>
      </w:r>
      <w:r>
        <w:rPr>
          <w:rFonts w:hint="eastAsia" w:ascii="仿宋" w:hAnsi="仿宋" w:eastAsia="仿宋"/>
          <w:color w:val="000000"/>
          <w:sz w:val="32"/>
          <w:szCs w:val="32"/>
          <w:lang w:val="en-US" w:eastAsia="zh-CN"/>
        </w:rPr>
        <w:t>30.03</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12.41</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val="en-US" w:eastAsia="zh-CN"/>
        </w:rPr>
        <w:t>人员新增经费增加</w:t>
      </w:r>
      <w:r>
        <w:rPr>
          <w:rFonts w:hint="eastAsia" w:ascii="仿宋" w:hAnsi="仿宋" w:eastAsia="仿宋"/>
          <w:color w:val="000000"/>
          <w:sz w:val="32"/>
          <w:szCs w:val="32"/>
          <w:lang w:eastAsia="zh-CN"/>
        </w:rPr>
        <w:t>。</w:t>
      </w:r>
    </w:p>
    <w:p/>
    <w:p>
      <w:pPr>
        <w:jc w:val="center"/>
        <w:rPr>
          <w:rFonts w:hint="eastAsia" w:ascii="仿宋" w:hAnsi="仿宋" w:eastAsia="仿宋" w:cs="Times New Roman"/>
          <w:color w:val="auto"/>
          <w:kern w:val="2"/>
          <w:sz w:val="28"/>
          <w:szCs w:val="28"/>
          <w:highlight w:val="none"/>
          <w:lang w:val="en-US" w:eastAsia="zh-CN" w:bidi="ar-SA"/>
        </w:rPr>
      </w:pPr>
      <w:r>
        <w:rPr>
          <w:sz w:val="24"/>
        </w:rPr>
        <mc:AlternateContent>
          <mc:Choice Requires="wps">
            <w:drawing>
              <wp:anchor distT="0" distB="0" distL="114300" distR="114300" simplePos="0" relativeHeight="251668480" behindDoc="0" locked="0" layoutInCell="1" allowOverlap="1">
                <wp:simplePos x="0" y="0"/>
                <wp:positionH relativeFrom="column">
                  <wp:posOffset>1604645</wp:posOffset>
                </wp:positionH>
                <wp:positionV relativeFrom="paragraph">
                  <wp:posOffset>920115</wp:posOffset>
                </wp:positionV>
                <wp:extent cx="1780540" cy="314325"/>
                <wp:effectExtent l="0" t="0" r="0" b="0"/>
                <wp:wrapNone/>
                <wp:docPr id="13" name="文本框 13"/>
                <wp:cNvGraphicFramePr/>
                <a:graphic xmlns:a="http://schemas.openxmlformats.org/drawingml/2006/main">
                  <a:graphicData uri="http://schemas.microsoft.com/office/word/2010/wordprocessingShape">
                    <wps:wsp>
                      <wps:cNvSpPr txBox="1"/>
                      <wps:spPr>
                        <a:xfrm>
                          <a:off x="2833370" y="6810375"/>
                          <a:ext cx="1780540" cy="3143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sz w:val="18"/>
                                <w:szCs w:val="18"/>
                              </w:rPr>
                            </w:pPr>
                            <w:r>
                              <w:rPr>
                                <w:rFonts w:hint="eastAsia" w:ascii="仿宋" w:hAnsi="仿宋" w:eastAsia="仿宋"/>
                                <w:color w:val="000000"/>
                                <w:sz w:val="18"/>
                                <w:szCs w:val="18"/>
                              </w:rPr>
                              <w:t>增加</w:t>
                            </w:r>
                            <w:r>
                              <w:rPr>
                                <w:rFonts w:hint="eastAsia" w:ascii="仿宋" w:hAnsi="仿宋" w:eastAsia="仿宋"/>
                                <w:color w:val="000000"/>
                                <w:sz w:val="18"/>
                                <w:szCs w:val="18"/>
                                <w:lang w:val="en-US" w:eastAsia="zh-CN"/>
                              </w:rPr>
                              <w:t>30.03</w:t>
                            </w:r>
                            <w:r>
                              <w:rPr>
                                <w:rFonts w:hint="eastAsia" w:ascii="仿宋" w:hAnsi="仿宋" w:eastAsia="仿宋"/>
                                <w:color w:val="000000"/>
                                <w:sz w:val="18"/>
                                <w:szCs w:val="18"/>
                              </w:rPr>
                              <w:t>万元，增长</w:t>
                            </w:r>
                            <w:r>
                              <w:rPr>
                                <w:rFonts w:hint="eastAsia" w:ascii="仿宋" w:hAnsi="仿宋" w:eastAsia="仿宋"/>
                                <w:color w:val="000000"/>
                                <w:sz w:val="18"/>
                                <w:szCs w:val="18"/>
                                <w:lang w:val="en-US" w:eastAsia="zh-CN"/>
                              </w:rPr>
                              <w:t>12.41</w:t>
                            </w:r>
                            <w:r>
                              <w:rPr>
                                <w:rFonts w:ascii="仿宋" w:hAnsi="仿宋" w:eastAsia="仿宋"/>
                                <w:color w:val="000000"/>
                                <w:sz w:val="18"/>
                                <w:szCs w:val="18"/>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6.35pt;margin-top:72.45pt;height:24.75pt;width:140.2pt;z-index:251668480;mso-width-relative:page;mso-height-relative:page;" filled="f" stroked="f" coordsize="21600,21600" o:gfxdata="UEsDBAoAAAAAAIdO4kAAAAAAAAAAAAAAAAAEAAAAZHJzL1BLAwQUAAAACACHTuJAyqwYR9wAAAAL&#10;AQAADwAAAGRycy9kb3ducmV2LnhtbE2PTU/DMAyG70j8h8hI3FjaroWtNJ1QpQkJscPGLtzcJmsr&#10;Gqc02Qf8eswJjvb76PXjYnWxgziZyfeOFMSzCIShxumeWgX7t/XdAoQPSBoHR0bBl/GwKq+vCsy1&#10;O9PWnHahFVxCPkcFXQhjLqVvOmPRz9xoiLODmywGHqdW6gnPXG4HmUTRvbTYE1/ocDRVZ5qP3dEq&#10;eKnWG9zWiV18D9Xz6+Fp/Ny/Z0rd3sTRI4hgLuEPhl99VoeSnWp3JO3FoCDJkgdGOUjTJQgmsvk8&#10;BlHzZpmmIMtC/v+h/AFQSwMEFAAAAAgAh07iQO8TBCQrAgAAJgQAAA4AAABkcnMvZTJvRG9jLnht&#10;bK1TzY7aMBC+V+o7WL6XJAQWiggruiuqSqi7Eq16No4NkWKPaxsS+gDtG+ypl977XDxHxw6wqO2p&#10;6sUez3yen29mpretqsleWFeBLmjWSykRmkNZ6U1BP35YvBpT4jzTJatBi4IehKO3s5cvpo2ZiD5s&#10;oS6FJehEu0ljCrr13kySxPGtUMz1wAiNRglWMY9Pu0lKyxr0ruqkn6Y3SQO2NBa4cA61952RzqJ/&#10;KQX3D1I64UldUMzNx9PGcx3OZDZlk41lZlvxUxrsH7JQrNIY9OLqnnlGdrb6w5WquAUH0vc4qASk&#10;rLiINWA1WfpbNastMyLWguQ4c6HJ/T+3/P3+0ZKqxN7llGimsEfHp2/H7z+PP74S1CFBjXETxK0M&#10;In37BloEn/UOlaHuVloVbqyIoL0/zvN8hIQfCnozztJ8NOyoFq0nPDgYjdPhAAEcEXk2yPsRkDx7&#10;Mtb5twIUCUJBLbYyMsz2S+cxK4SeISGwhkVV17GdtSYNhs2HafxwseCPWuPHUE+Xd5B8u25PRa6h&#10;PGCNFroxcYYvKgy+ZM4/MotzgfnirPsHPGQNGAROEiVbsF/+pg94bBdaKWlwzgrqPu+YFZTU7zQ2&#10;8nU2CDT4+BgMR3182GvL+tqid+oOcJQz3CrDoxjwvj6L0oL6hCsxD1HRxDTH2AX1Z/HOd9OPK8XF&#10;fB5BOIqG+aVeGR5cd3TOdx5kFZkONHXcnNjDYYwNOC1OmPbrd0Q9r/fs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MqsGEfcAAAACwEAAA8AAAAAAAAAAQAgAAAAIgAAAGRycy9kb3ducmV2LnhtbFBL&#10;AQIUABQAAAAIAIdO4kDvEwQkKwIAACYEAAAOAAAAAAAAAAEAIAAAACsBAABkcnMvZTJvRG9jLnht&#10;bFBLBQYAAAAABgAGAFkBAADIBQAAAAA=&#10;">
                <v:fill on="f" focussize="0,0"/>
                <v:stroke on="f" weight="0.5pt"/>
                <v:imagedata o:title=""/>
                <o:lock v:ext="edit" aspectratio="f"/>
                <v:textbox>
                  <w:txbxContent>
                    <w:p>
                      <w:pPr>
                        <w:rPr>
                          <w:sz w:val="18"/>
                          <w:szCs w:val="18"/>
                        </w:rPr>
                      </w:pPr>
                      <w:r>
                        <w:rPr>
                          <w:rFonts w:hint="eastAsia" w:ascii="仿宋" w:hAnsi="仿宋" w:eastAsia="仿宋"/>
                          <w:color w:val="000000"/>
                          <w:sz w:val="18"/>
                          <w:szCs w:val="18"/>
                        </w:rPr>
                        <w:t>增加</w:t>
                      </w:r>
                      <w:r>
                        <w:rPr>
                          <w:rFonts w:hint="eastAsia" w:ascii="仿宋" w:hAnsi="仿宋" w:eastAsia="仿宋"/>
                          <w:color w:val="000000"/>
                          <w:sz w:val="18"/>
                          <w:szCs w:val="18"/>
                          <w:lang w:val="en-US" w:eastAsia="zh-CN"/>
                        </w:rPr>
                        <w:t>30.03</w:t>
                      </w:r>
                      <w:r>
                        <w:rPr>
                          <w:rFonts w:hint="eastAsia" w:ascii="仿宋" w:hAnsi="仿宋" w:eastAsia="仿宋"/>
                          <w:color w:val="000000"/>
                          <w:sz w:val="18"/>
                          <w:szCs w:val="18"/>
                        </w:rPr>
                        <w:t>万元，增长</w:t>
                      </w:r>
                      <w:r>
                        <w:rPr>
                          <w:rFonts w:hint="eastAsia" w:ascii="仿宋" w:hAnsi="仿宋" w:eastAsia="仿宋"/>
                          <w:color w:val="000000"/>
                          <w:sz w:val="18"/>
                          <w:szCs w:val="18"/>
                          <w:lang w:val="en-US" w:eastAsia="zh-CN"/>
                        </w:rPr>
                        <w:t>12.41</w:t>
                      </w:r>
                      <w:r>
                        <w:rPr>
                          <w:rFonts w:ascii="仿宋" w:hAnsi="仿宋" w:eastAsia="仿宋"/>
                          <w:color w:val="000000"/>
                          <w:sz w:val="18"/>
                          <w:szCs w:val="18"/>
                        </w:rPr>
                        <w:t>%</w:t>
                      </w:r>
                    </w:p>
                  </w:txbxContent>
                </v:textbox>
              </v:shape>
            </w:pict>
          </mc:Fallback>
        </mc:AlternateContent>
      </w:r>
      <w:r>
        <w:rPr>
          <w:sz w:val="24"/>
        </w:rPr>
        <mc:AlternateContent>
          <mc:Choice Requires="wps">
            <w:drawing>
              <wp:anchor distT="0" distB="0" distL="114300" distR="114300" simplePos="0" relativeHeight="251667456" behindDoc="0" locked="0" layoutInCell="1" allowOverlap="1">
                <wp:simplePos x="0" y="0"/>
                <wp:positionH relativeFrom="column">
                  <wp:posOffset>1737995</wp:posOffset>
                </wp:positionH>
                <wp:positionV relativeFrom="paragraph">
                  <wp:posOffset>880745</wp:posOffset>
                </wp:positionV>
                <wp:extent cx="1047750" cy="228600"/>
                <wp:effectExtent l="12700" t="12700" r="25400" b="25400"/>
                <wp:wrapNone/>
                <wp:docPr id="11" name="文本框 11"/>
                <wp:cNvGraphicFramePr/>
                <a:graphic xmlns:a="http://schemas.openxmlformats.org/drawingml/2006/main">
                  <a:graphicData uri="http://schemas.microsoft.com/office/word/2010/wordprocessingShape">
                    <wps:wsp>
                      <wps:cNvSpPr txBox="1"/>
                      <wps:spPr>
                        <a:xfrm>
                          <a:off x="2880995" y="6885305"/>
                          <a:ext cx="1047750" cy="228600"/>
                        </a:xfrm>
                        <a:prstGeom prst="rect">
                          <a:avLst/>
                        </a:prstGeom>
                      </wps:spPr>
                      <wps:style>
                        <a:lnRef idx="2">
                          <a:schemeClr val="dk1"/>
                        </a:lnRef>
                        <a:fillRef idx="1">
                          <a:schemeClr val="lt1"/>
                        </a:fillRef>
                        <a:effectRef idx="0">
                          <a:schemeClr val="dk1"/>
                        </a:effectRef>
                        <a:fontRef idx="minor">
                          <a:schemeClr val="dk1"/>
                        </a:fontRef>
                      </wps:style>
                      <wps:txbx>
                        <w:txbxContent>
                          <w:p>
                            <w:pPr>
                              <w:rPr>
                                <w:rFonts w:hint="eastAsia" w:eastAsia="宋体"/>
                                <w:lang w:val="en-US" w:eastAsia="zh-CN"/>
                              </w:rPr>
                            </w:pPr>
                            <w:r>
                              <w:rPr>
                                <w:rFonts w:hint="eastAsia"/>
                                <w:lang w:val="en-US" w:eastAsia="zh-CN"/>
                              </w:rPr>
                              <w:t>增加</w:t>
                            </w:r>
                            <w:r>
                              <w:rPr>
                                <w:rFonts w:hint="eastAsia" w:ascii="仿宋" w:hAnsi="仿宋" w:eastAsia="仿宋"/>
                                <w:color w:val="000000"/>
                                <w:sz w:val="32"/>
                                <w:szCs w:val="32"/>
                              </w:rPr>
                              <w:t>增加</w:t>
                            </w:r>
                            <w:r>
                              <w:rPr>
                                <w:rFonts w:hint="eastAsia" w:ascii="仿宋" w:hAnsi="仿宋" w:eastAsia="仿宋"/>
                                <w:color w:val="000000"/>
                                <w:sz w:val="32"/>
                                <w:szCs w:val="32"/>
                                <w:lang w:val="en-US" w:eastAsia="zh-CN"/>
                              </w:rPr>
                              <w:t>30.03</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12.41</w:t>
                            </w:r>
                            <w:r>
                              <w:rPr>
                                <w:rFonts w:ascii="仿宋" w:hAnsi="仿宋" w:eastAsia="仿宋"/>
                                <w:color w:val="000000"/>
                                <w:sz w:val="32"/>
                                <w:szCs w:val="32"/>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6.85pt;margin-top:69.35pt;height:18pt;width:82.5pt;z-index:251667456;mso-width-relative:page;mso-height-relative:page;" fillcolor="#FFFFFF [3201]" filled="t" stroked="t" coordsize="21600,21600" o:gfxdata="UEsDBAoAAAAAAIdO4kAAAAAAAAAAAAAAAAAEAAAAZHJzL1BLAwQUAAAACACHTuJA9j2IV9cAAAAL&#10;AQAADwAAAGRycy9kb3ducmV2LnhtbE2PQU/DMAyF70j7D5GRuLF067RMpekOkzgMIQTbtHPWmLai&#10;caomXcu/x3Bht2e/p+fP+XZyrbhiHxpPGhbzBARS6W1DlYbT8flxAyJEQ9a0nlDDNwbYFrO73GTW&#10;j/SB10OsBJdQyIyGOsYukzKUNToT5r5DYu/T985EHvtK2t6MXO5auUyStXSmIb5Qmw53NZZfh8Fp&#10;kPvxLZWv72t13r8MJxdsOpHV+uF+kTyBiDjF/zD84jM6FMx08QPZIFoNS5UqjrKRblhwYvUnLrxR&#10;KwWyyOXtD8UPUEsDBBQAAAAIAIdO4kBg4H6KaAIAALMEAAAOAAAAZHJzL2Uyb0RvYy54bWytVM1u&#10;EzEQviPxDpbvdDchadMomyqkCkKqaKWAODteO7uS1za2k93yAPAGnLhw57n6HHz2pm0KPSH24J3x&#10;fDs/38zs7KJrFNkL52ujCzo4ySkRmpuy1tuCfvywejWhxAemS6aMFgW9FZ5ezF++mLV2KoamMqoU&#10;jsCJ9tPWFrQKwU6zzPNKNMyfGCs0jNK4hgWobpuVjrXw3qhsmOenWWtcaZ3hwnvcXvZGOk/+pRQ8&#10;XEvpRSCqoMgtpNOlcxPPbD5j061jtqr5IQ32D1k0rNYI+uDqkgVGdq7+y1VTc2e8keGEmyYzUtZc&#10;pBpQzSD/o5p1xaxItYAcbx9o8v/PLX+/v3GkLtG7ASWaNejR3fdvdz9+3f38SnAHglrrp8CtLZCh&#10;e2M6gO/vPS5j3Z10TXyjIgL7cDLJz8/HlNwW9HQyGb/Oxz3VoguERwf56OxsjI5wIIbDyWmeepE9&#10;erLOh7fCNCQKBXVoZWKY7a98QFaA3kNiYG9UXa5qpZLitpulcmTP0PZVemJ4fPIEpjRpEX08QnDC&#10;GcZPKhYgNhaEeL2lhKkt5poHl2I/+dofB8nT81yQmOQl81WfTPJwgCmNlCK5PYlRCt2mOzC+MeUt&#10;CHemn1lv+aqGqyvmww1zGFLkjMUL1zikMijEHCRKKuO+PHcf8ZgdWClpMfQo8vOOOUGJeqcxVeeD&#10;0ShuSVJG47MhFHds2Rxb9K5ZGhCMwUF2SYz4oO5F6UzzCfu5iFFhYpojdkFBcS8uQ7+K2G8uFosE&#10;wl5YFq702vLoOrZTm8UuGFmntkeaem4O7GEzUmsPWxxX71hPqMd/zfw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AAAAAGRycy9QSwECFAAU&#10;AAAACACHTuJA9j2IV9cAAAALAQAADwAAAAAAAAABACAAAAAiAAAAZHJzL2Rvd25yZXYueG1sUEsB&#10;AhQAFAAAAAgAh07iQGDgfopoAgAAswQAAA4AAAAAAAAAAQAgAAAAJgEAAGRycy9lMm9Eb2MueG1s&#10;UEsFBgAAAAAGAAYAWQEAAAAGAAAAAA==&#10;">
                <v:fill on="t" focussize="0,0"/>
                <v:stroke weight="2pt" color="#000000 [3200]" joinstyle="round"/>
                <v:imagedata o:title=""/>
                <o:lock v:ext="edit" aspectratio="f"/>
                <v:textbox>
                  <w:txbxContent>
                    <w:p>
                      <w:pPr>
                        <w:rPr>
                          <w:rFonts w:hint="eastAsia" w:eastAsia="宋体"/>
                          <w:lang w:val="en-US" w:eastAsia="zh-CN"/>
                        </w:rPr>
                      </w:pPr>
                      <w:r>
                        <w:rPr>
                          <w:rFonts w:hint="eastAsia"/>
                          <w:lang w:val="en-US" w:eastAsia="zh-CN"/>
                        </w:rPr>
                        <w:t>增加</w:t>
                      </w:r>
                      <w:r>
                        <w:rPr>
                          <w:rFonts w:hint="eastAsia" w:ascii="仿宋" w:hAnsi="仿宋" w:eastAsia="仿宋"/>
                          <w:color w:val="000000"/>
                          <w:sz w:val="32"/>
                          <w:szCs w:val="32"/>
                        </w:rPr>
                        <w:t>增加</w:t>
                      </w:r>
                      <w:r>
                        <w:rPr>
                          <w:rFonts w:hint="eastAsia" w:ascii="仿宋" w:hAnsi="仿宋" w:eastAsia="仿宋"/>
                          <w:color w:val="000000"/>
                          <w:sz w:val="32"/>
                          <w:szCs w:val="32"/>
                          <w:lang w:val="en-US" w:eastAsia="zh-CN"/>
                        </w:rPr>
                        <w:t>30.03</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12.41</w:t>
                      </w:r>
                      <w:r>
                        <w:rPr>
                          <w:rFonts w:ascii="仿宋" w:hAnsi="仿宋" w:eastAsia="仿宋"/>
                          <w:color w:val="000000"/>
                          <w:sz w:val="32"/>
                          <w:szCs w:val="32"/>
                        </w:rPr>
                        <w:t>%</w:t>
                      </w:r>
                    </w:p>
                  </w:txbxContent>
                </v:textbox>
              </v:shape>
            </w:pict>
          </mc:Fallback>
        </mc:AlternateContent>
      </w:r>
      <w:r>
        <w:rPr>
          <w:sz w:val="24"/>
        </w:rPr>
        <mc:AlternateContent>
          <mc:Choice Requires="wps">
            <w:drawing>
              <wp:anchor distT="0" distB="0" distL="114300" distR="114300" simplePos="0" relativeHeight="251666432" behindDoc="0" locked="0" layoutInCell="1" allowOverlap="1">
                <wp:simplePos x="0" y="0"/>
                <wp:positionH relativeFrom="column">
                  <wp:posOffset>1566545</wp:posOffset>
                </wp:positionH>
                <wp:positionV relativeFrom="paragraph">
                  <wp:posOffset>947420</wp:posOffset>
                </wp:positionV>
                <wp:extent cx="1647825" cy="285750"/>
                <wp:effectExtent l="4445" t="4445" r="5080" b="14605"/>
                <wp:wrapNone/>
                <wp:docPr id="10" name="文本框 10"/>
                <wp:cNvGraphicFramePr/>
                <a:graphic xmlns:a="http://schemas.openxmlformats.org/drawingml/2006/main">
                  <a:graphicData uri="http://schemas.microsoft.com/office/word/2010/wordprocessingShape">
                    <wps:wsp>
                      <wps:cNvSpPr txBox="1"/>
                      <wps:spPr>
                        <a:xfrm>
                          <a:off x="2709545" y="6951980"/>
                          <a:ext cx="1647825" cy="28575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
                              <w:rPr>
                                <w:rFonts w:hint="eastAsia" w:ascii="仿宋" w:hAnsi="仿宋" w:eastAsia="仿宋"/>
                                <w:color w:val="000000"/>
                                <w:sz w:val="32"/>
                                <w:szCs w:val="32"/>
                              </w:rPr>
                              <w:t>增加</w:t>
                            </w:r>
                            <w:r>
                              <w:rPr>
                                <w:rFonts w:hint="eastAsia" w:ascii="仿宋" w:hAnsi="仿宋" w:eastAsia="仿宋"/>
                                <w:color w:val="000000"/>
                                <w:sz w:val="32"/>
                                <w:szCs w:val="32"/>
                                <w:lang w:val="en-US" w:eastAsia="zh-CN"/>
                              </w:rPr>
                              <w:t>30.03</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12.41</w:t>
                            </w:r>
                            <w:r>
                              <w:rPr>
                                <w:rFonts w:ascii="仿宋" w:hAnsi="仿宋" w:eastAsia="仿宋"/>
                                <w:color w:val="000000"/>
                                <w:sz w:val="32"/>
                                <w:szCs w:val="32"/>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3.35pt;margin-top:74.6pt;height:22.5pt;width:129.75pt;z-index:251666432;mso-width-relative:page;mso-height-relative:page;" fillcolor="#FFFFFF [3201]" filled="t" stroked="t" coordsize="21600,21600" o:gfxdata="UEsDBAoAAAAAAIdO4kAAAAAAAAAAAAAAAAAEAAAAZHJzL1BLAwQUAAAACACHTuJAXFJW1dgAAAAL&#10;AQAADwAAAGRycy9kb3ducmV2LnhtbE2PzU7DMBCE70i8g7WVuFG7bgg0xKkEEhLiRpsLNzfeJlH9&#10;E9luU96e5QS33Z3R7Df19uosu2BMY/AKVksBDH0XzOh7Be3+7f4JWMraG22DRwXfmGDb3N7UujJh&#10;9p942eWeUYhPlVYw5DxVnKduQKfTMkzoSTuG6HSmNfbcRD1TuLNcClFyp0dPHwY94euA3Wl3dgre&#10;y5f8ha35MGu5DnPLu3i0Sam7xUo8A8t4zX9m+MUndGiI6RDO3iRmFciifCQrCcVGAiPHgyhpONBl&#10;U0jgTc3/d2h+AFBLAwQUAAAACACHTuJAKvaUekgCAAB3BAAADgAAAGRycy9lMm9Eb2MueG1srVTN&#10;bhMxEL4j8Q6W73STkDQ/yqYKrYKQKlopIM6O15us8HqM7WS3PAC8AScu3HmuPgefnaQNlBMiB2fs&#10;+fLNzDczmV60tWY75XxFJufdsw5nykgqKrPO+ft3ixcjznwQphCajMr5nfL8Yvb82bSxE9WjDelC&#10;OQYS4yeNzfkmBDvJMi83qhb+jKwycJbkahFwdeuscKIBe62zXqdznjXkCutIKu/xerV38lniL0sl&#10;w01ZehWYzjlyC+l06VzFM5tNxWTthN1U8pCG+IcsalEZBH2guhJBsK2rnlDVlXTkqQxnkuqMyrKS&#10;KtWAarqdP6pZboRVqRaI4+2DTP7/0cq3u1vHqgK9gzxG1OjR/bev999/3v/4wvAGgRrrJ8AtLZCh&#10;fUUtwMd3j8dYd1u6On6jIgZ/b9gZD/oDzu5yfj4edMejg9SqDUxGgvP+cNQDQALRGw2GgwTIHpms&#10;8+G1oppFI+cOrUwKi921D8gK0CMkBvakq2JRaZ0ubr261I7tBNq+SJ+YMH7yG0wb1iC/l4j9hCJy&#10;P1CstJAfnzKATxvQRoH2QkQrtKv2oNqKijuI5mg/d97KRQXea+HDrXAYNGiO5Qk3OEpNSIYOFmcb&#10;cp//9h7x6D+8nDUY3Jz7T1vhFGf6jcFkjLv9fpz0dOkPhj1c3Klndeox2/qSIFIXa2plMiM+6KNZ&#10;Oqo/YMfmMSpcwkjEznk4mpdhv07YUanm8wTCbFsRrs3SykgdxTU03wYqq9S6KNNem4N6mO7UnsMm&#10;xvU5vSfU4//F7B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BcUlbV2AAAAAsBAAAPAAAAAAAAAAEA&#10;IAAAACIAAABkcnMvZG93bnJldi54bWxQSwECFAAUAAAACACHTuJAKvaUekgCAAB3BAAADgAAAAAA&#10;AAABACAAAAAnAQAAZHJzL2Uyb0RvYy54bWxQSwUGAAAAAAYABgBZAQAA4QUAAAAA&#10;">
                <v:fill on="t" focussize="0,0"/>
                <v:stroke weight="0.5pt" color="#000000 [3204]" joinstyle="round"/>
                <v:imagedata o:title=""/>
                <o:lock v:ext="edit" aspectratio="f"/>
                <v:textbox>
                  <w:txbxContent>
                    <w:p>
                      <w:r>
                        <w:rPr>
                          <w:rFonts w:hint="eastAsia" w:ascii="仿宋" w:hAnsi="仿宋" w:eastAsia="仿宋"/>
                          <w:color w:val="000000"/>
                          <w:sz w:val="32"/>
                          <w:szCs w:val="32"/>
                        </w:rPr>
                        <w:t>增加</w:t>
                      </w:r>
                      <w:r>
                        <w:rPr>
                          <w:rFonts w:hint="eastAsia" w:ascii="仿宋" w:hAnsi="仿宋" w:eastAsia="仿宋"/>
                          <w:color w:val="000000"/>
                          <w:sz w:val="32"/>
                          <w:szCs w:val="32"/>
                          <w:lang w:val="en-US" w:eastAsia="zh-CN"/>
                        </w:rPr>
                        <w:t>30.03</w:t>
                      </w:r>
                      <w:r>
                        <w:rPr>
                          <w:rFonts w:hint="eastAsia" w:ascii="仿宋" w:hAnsi="仿宋" w:eastAsia="仿宋"/>
                          <w:color w:val="000000"/>
                          <w:sz w:val="32"/>
                          <w:szCs w:val="32"/>
                        </w:rPr>
                        <w:t>万元，增长</w:t>
                      </w:r>
                      <w:r>
                        <w:rPr>
                          <w:rFonts w:hint="eastAsia" w:ascii="仿宋" w:hAnsi="仿宋" w:eastAsia="仿宋"/>
                          <w:color w:val="000000"/>
                          <w:sz w:val="32"/>
                          <w:szCs w:val="32"/>
                          <w:lang w:val="en-US" w:eastAsia="zh-CN"/>
                        </w:rPr>
                        <w:t>12.41</w:t>
                      </w:r>
                      <w:r>
                        <w:rPr>
                          <w:rFonts w:ascii="仿宋" w:hAnsi="仿宋" w:eastAsia="仿宋"/>
                          <w:color w:val="000000"/>
                          <w:sz w:val="32"/>
                          <w:szCs w:val="32"/>
                        </w:rPr>
                        <w:t>%</w:t>
                      </w:r>
                    </w:p>
                  </w:txbxContent>
                </v:textbox>
              </v:shape>
            </w:pict>
          </mc:Fallback>
        </mc:AlternateContent>
      </w:r>
      <w:r>
        <w:rPr>
          <w:sz w:val="24"/>
        </w:rPr>
        <mc:AlternateContent>
          <mc:Choice Requires="wps">
            <w:drawing>
              <wp:anchor distT="0" distB="0" distL="114300" distR="114300" simplePos="0" relativeHeight="251665408" behindDoc="0" locked="0" layoutInCell="1" allowOverlap="1">
                <wp:simplePos x="0" y="0"/>
                <wp:positionH relativeFrom="column">
                  <wp:posOffset>1795145</wp:posOffset>
                </wp:positionH>
                <wp:positionV relativeFrom="paragraph">
                  <wp:posOffset>852170</wp:posOffset>
                </wp:positionV>
                <wp:extent cx="1409700" cy="209550"/>
                <wp:effectExtent l="4445" t="4445" r="14605" b="14605"/>
                <wp:wrapNone/>
                <wp:docPr id="9" name="文本框 9"/>
                <wp:cNvGraphicFramePr/>
                <a:graphic xmlns:a="http://schemas.openxmlformats.org/drawingml/2006/main">
                  <a:graphicData uri="http://schemas.microsoft.com/office/word/2010/wordprocessingShape">
                    <wps:wsp>
                      <wps:cNvSpPr txBox="1"/>
                      <wps:spPr>
                        <a:xfrm>
                          <a:off x="2938145" y="6856730"/>
                          <a:ext cx="1409700" cy="20955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1.35pt;margin-top:67.1pt;height:16.5pt;width:111pt;z-index:251665408;mso-width-relative:page;mso-height-relative:page;" fillcolor="#FFFFFF [3201]" filled="t" stroked="t" coordsize="21600,21600" o:gfxdata="UEsDBAoAAAAAAIdO4kAAAAAAAAAAAAAAAAAEAAAAZHJzL1BLAwQUAAAACACHTuJAvB28GtcAAAAL&#10;AQAADwAAAGRycy9kb3ducmV2LnhtbE2PzU7DMBCE70i8g7WVuFG7TkmrEKcSSEiIG20u3Nx4m0T1&#10;T2S7TXl7lhMcd+bT7Ey9uznLrhjTGLyC1VIAQ98FM/peQXt4e9wCS1l7o23wqOAbE+ya+7taVybM&#10;/hOv+9wzCvGp0gqGnKeK89QN6HRahgk9eacQnc50xp6bqGcKd5ZLIUru9Ojpw6AnfB2wO+8vTsF7&#10;+ZK/sDUfppBFmFvexZNNSj0sVuIZWMZb/oPhtz5Vh4Y6HcPFm8SsArmVG0LJKNYSGBFPYk3KkZRy&#10;I4E3Nf+/ofkBUEsDBBQAAAAIAIdO4kAmXpE5SAIAAHUEAAAOAAAAZHJzL2Uyb0RvYy54bWytVM2O&#10;2jAQvlfqO1i+l4T/HxFWlBVVJdRdiVY9G8chUR2PaxsS+gDdN+ipl977XDxHxyawtPRUlYMZez6+&#10;mflmhuldXUqyF8YWoBLabsWUCMUhLdQ2oR/eL1+NKLGOqZRJUCKhB2Hp3ezli2mlJ6IDOchUGIIk&#10;yk4qndDcOT2JIstzUTLbAi0UOjMwJXN4NdsoNaxC9lJGnTgeRBWYVBvgwlp8vT856SzwZ5ng7iHL&#10;rHBEJhRzc+E04dz4M5pN2WRrmM4L3qTB/iGLkhUKg16o7pljZGeKG6qy4AYsZK7FoYwgywouQg1Y&#10;TTv+o5p1zrQItaA4Vl9ksv+Plr/bPxpSpAkdU6JYiS06fns6fv95/PGVjL08lbYTRK014lz9Gmps&#10;8/nd4qOvus5M6b+xHoL+zrg7avf6lBwSOhj1B8NuI7SoHeGeoBePhzH2gyOiE4/7/QCInpm0se6N&#10;gJJ4I6EGGxn0ZfuVdZgVQs8QH9iCLNJlIWW4mO1mIQ3ZM2z6Mnx8wviT32BSkQrz62LsGwrPfaHY&#10;SMY/3TIgn1RI6wU6CeEtV2/qRrUNpAcUzcBp6qzmywJ5V8y6R2ZwzFAAXB33gEcmAZOBxqIkB/Pl&#10;b+8ej91HLyUVjm1C7ecdM4IS+VbhXIzbvZ6f83Dp9YcdvJhrz+bao3blAlCkNi6p5sH0eCfPZmag&#10;/IgbNvdR0cUUx9gJdWdz4U7LhBvKxXweQDjZmrmVWmvuqb24CuY7B1kRWudlOmnTqIezHdrT7KFf&#10;nut7QD3/W8x+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LwdvBrXAAAACwEAAA8AAAAAAAAAAQAg&#10;AAAAIgAAAGRycy9kb3ducmV2LnhtbFBLAQIUABQAAAAIAIdO4kAmXpE5SAIAAHUEAAAOAAAAAAAA&#10;AAEAIAAAACYBAABkcnMvZTJvRG9jLnhtbFBLBQYAAAAABgAGAFkBAADgBQAAAAA=&#10;">
                <v:fill on="t" focussize="0,0"/>
                <v:stroke weight="0.5pt" color="#000000 [3204]" joinstyle="round"/>
                <v:imagedata o:title=""/>
                <o:lock v:ext="edit" aspectratio="f"/>
                <v:textbox>
                  <w:txbxContent>
                    <w:p/>
                  </w:txbxContent>
                </v:textbox>
              </v:shape>
            </w:pict>
          </mc:Fallback>
        </mc:AlternateContent>
      </w:r>
      <w:r>
        <w:rPr>
          <w:rFonts w:hint="eastAsia" w:ascii="仿宋" w:hAnsi="仿宋" w:eastAsia="仿宋"/>
          <w:color w:val="000000"/>
          <w:sz w:val="24"/>
          <w:szCs w:val="24"/>
          <w:lang w:eastAsia="zh-CN"/>
        </w:rPr>
        <w:pict>
          <v:shape id="Object 11" o:spid="_x0000_s1026" o:spt="75" type="#_x0000_t75" style="position:absolute;left:0pt;margin-left:-9.2pt;margin-top:10.95pt;height:216.15pt;width:426.05pt;mso-wrap-distance-bottom:0pt;mso-wrap-distance-left:9pt;mso-wrap-distance-right:9pt;mso-wrap-distance-top:0pt;z-index:251667456;mso-width-relative:page;mso-height-relative:page;" o:ole="t" filled="f" o:preferrelative="t" stroked="f" coordsize="21600,21600">
            <v:path/>
            <v:fill on="f" focussize="0,0"/>
            <v:stroke on="f"/>
            <v:imagedata r:id="rId16" o:title=""/>
            <o:lock v:ext="edit" aspectratio="t"/>
            <w10:wrap type="square"/>
          </v:shape>
          <o:OLEObject Type="Embed" ProgID="Excel.Chart.8" ShapeID="Object 11" DrawAspect="Content" ObjectID="_1468075728" r:id="rId15">
            <o:LockedField>false</o:LockedField>
          </o:OLEObject>
        </w:pict>
      </w:r>
      <w:r>
        <w:rPr>
          <w:sz w:val="28"/>
        </w:rPr>
        <mc:AlternateContent>
          <mc:Choice Requires="wps">
            <w:drawing>
              <wp:anchor distT="0" distB="0" distL="114300" distR="114300" simplePos="0" relativeHeight="251664384" behindDoc="0" locked="0" layoutInCell="1" allowOverlap="1">
                <wp:simplePos x="0" y="0"/>
                <wp:positionH relativeFrom="column">
                  <wp:posOffset>1776095</wp:posOffset>
                </wp:positionH>
                <wp:positionV relativeFrom="paragraph">
                  <wp:posOffset>967740</wp:posOffset>
                </wp:positionV>
                <wp:extent cx="1133475" cy="219075"/>
                <wp:effectExtent l="4445" t="4445" r="5080" b="5080"/>
                <wp:wrapNone/>
                <wp:docPr id="8" name="文本框 8"/>
                <wp:cNvGraphicFramePr/>
                <a:graphic xmlns:a="http://schemas.openxmlformats.org/drawingml/2006/main">
                  <a:graphicData uri="http://schemas.microsoft.com/office/word/2010/wordprocessingShape">
                    <wps:wsp>
                      <wps:cNvSpPr txBox="1"/>
                      <wps:spPr>
                        <a:xfrm>
                          <a:off x="2919095" y="6972300"/>
                          <a:ext cx="1133475" cy="21907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9.85pt;margin-top:76.2pt;height:17.25pt;width:89.25pt;z-index:251664384;mso-width-relative:page;mso-height-relative:page;" fillcolor="#FFFFFF [3201]" filled="t" stroked="t" coordsize="21600,21600" o:gfxdata="UEsDBAoAAAAAAIdO4kAAAAAAAAAAAAAAAAAEAAAAZHJzL1BLAwQUAAAACACHTuJAjHUoqNgAAAAL&#10;AQAADwAAAGRycy9kb3ducmV2LnhtbE2PwU7DMAyG70i8Q2Qkbixdt3VdaToJJCTEjdELt6zx2orE&#10;qZJsHW+POcHR/j/9/lzvr86KC4Y4elKwXGQgkDpvRuoVtB8vDyWImDQZbT2hgm+MsG9ub2pdGT/T&#10;O14OqRdcQrHSCoaUpkrK2A3odFz4CYmzkw9OJx5DL03QM5c7K/MsK6TTI/GFQU/4PGD3dTg7Ba/F&#10;U/rE1ryZVb7ycyu7cLJRqfu7ZfYIIuE1/cHwq8/q0LDT0Z/JRGEV5NvdllEONvkaBBPrTZmDOPKm&#10;LHYgm1r+/6H5AVBLAwQUAAAACACHTuJA9Yg6JkcCAAB1BAAADgAAAGRycy9lMm9Eb2MueG1srVTN&#10;jtMwEL4j8Q6W7zRJf3a3VdNV6aoIqWJXKoiz6zhNhOMxttukPAC8AScu3HmuPgdjJ+12WU6IHtyx&#10;59M3M9/MZHrbVJLshbElqJQmvZgSoThkpdqm9MP75asbSqxjKmMSlEjpQVh6O3v5YlrriehDATIT&#10;hiCJspNap7RwTk+iyPJCVMz2QAuFzhxMxRxezTbKDKuRvZJRP46vohpMpg1wYS2+3rVOOgv8eS64&#10;u89zKxyRKcXcXDhNODf+jGZTNtkapouSd2mwf8iiYqXCoGeqO+YY2ZnyGVVVcgMWctfjUEWQ5yUX&#10;oQasJon/qGZdMC1CLSiO1WeZ7P+j5e/2D4aUWUqxUYpV2KLj92/HH7+OP7+SGy9Pre0EUWuNONe8&#10;hgbbfHq3+OirbnJT+X+sh6C/P07G8XhEySGlV+Pr/iDuhBaNI9wTJIPB8BoBHBF9BKONoaJHJm2s&#10;eyOgIt5IqcFGBn3ZfmVdCz1BfGALssyWpZThYrabhTRkz7Dpy/Dr2J/ApCI15jcYxYH5ic9znyk2&#10;kvFPzxkwW6kwaS9QK4S3XLNpOtU2kB1QNAPt1FnNlyXyrph1D8zgmOFA4uq4ezxyCZgMdBYlBZgv&#10;f3v3eOw+eimpcWxTaj/vmBGUyLcK52KcDId+zsNlOLru48VcejaXHrWrFoAiJbikmgfT4508mbmB&#10;6iNu2NxHRRdTHGOn1J3MhWuXCTeUi/k8gHCyNXMrtdbcU/uWKJjvHORlaJ2XqdWmUw9nOzS/20O/&#10;PJf3gHr8Wsx+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Ix1KKjYAAAACwEAAA8AAAAAAAAAAQAg&#10;AAAAIgAAAGRycy9kb3ducmV2LnhtbFBLAQIUABQAAAAIAIdO4kD1iDomRwIAAHUEAAAOAAAAAAAA&#10;AAEAIAAAACcBAABkcnMvZTJvRG9jLnhtbFBLBQYAAAAABgAGAFkBAADgBQAAAAA=&#10;">
                <v:fill on="t" focussize="0,0"/>
                <v:stroke weight="0.5pt" color="#000000 [3204]" joinstyle="round"/>
                <v:imagedata o:title=""/>
                <o:lock v:ext="edit" aspectratio="f"/>
                <v:textbox>
                  <w:txbxContent>
                    <w:p/>
                  </w:txbxContent>
                </v:textbox>
              </v:shape>
            </w:pict>
          </mc:Fallback>
        </mc:AlternateContent>
      </w:r>
      <w:r>
        <w:rPr>
          <w:rFonts w:hint="eastAsia" w:ascii="仿宋" w:hAnsi="仿宋" w:eastAsia="仿宋" w:cs="Times New Roman"/>
          <w:color w:val="auto"/>
          <w:kern w:val="2"/>
          <w:sz w:val="28"/>
          <w:szCs w:val="28"/>
          <w:highlight w:val="none"/>
          <w:lang w:val="en-US" w:eastAsia="zh-CN" w:bidi="ar-SA"/>
        </w:rPr>
        <w:t>（图4：财政拨款收、支决算总计变动情况）（柱状图）</w:t>
      </w:r>
    </w:p>
    <w:p>
      <w:pPr>
        <w:spacing w:line="600" w:lineRule="exact"/>
        <w:ind w:firstLine="640" w:firstLineChars="200"/>
        <w:outlineLvl w:val="1"/>
        <w:rPr>
          <w:rStyle w:val="28"/>
          <w:rFonts w:ascii="黑体" w:hAnsi="黑体" w:eastAsia="黑体"/>
          <w:b w:val="0"/>
          <w:color w:val="auto"/>
          <w:highlight w:val="none"/>
        </w:rPr>
      </w:pPr>
      <w:bookmarkStart w:id="46" w:name="_Toc15377209"/>
      <w:bookmarkStart w:id="47" w:name="_Toc15396607"/>
      <w:bookmarkStart w:id="48" w:name="_Toc1013"/>
      <w:r>
        <w:rPr>
          <w:rFonts w:hint="eastAsia" w:ascii="黑体" w:hAnsi="黑体" w:eastAsia="黑体"/>
          <w:color w:val="auto"/>
          <w:sz w:val="32"/>
          <w:szCs w:val="32"/>
          <w:highlight w:val="none"/>
        </w:rPr>
        <w:t>五、</w:t>
      </w:r>
      <w:r>
        <w:rPr>
          <w:rFonts w:hint="eastAsia" w:ascii="黑体" w:hAnsi="黑体" w:eastAsia="黑体"/>
          <w:b/>
          <w:color w:val="auto"/>
          <w:sz w:val="32"/>
          <w:szCs w:val="32"/>
          <w:highlight w:val="none"/>
        </w:rPr>
        <w:t>一</w:t>
      </w:r>
      <w:r>
        <w:rPr>
          <w:rStyle w:val="28"/>
          <w:rFonts w:hint="eastAsia" w:ascii="黑体" w:hAnsi="黑体" w:eastAsia="黑体"/>
          <w:b w:val="0"/>
          <w:color w:val="auto"/>
          <w:highlight w:val="none"/>
        </w:rPr>
        <w:t>般公共预算财政拨款支出决算情况说明</w:t>
      </w:r>
      <w:bookmarkEnd w:id="46"/>
      <w:bookmarkEnd w:id="47"/>
      <w:bookmarkEnd w:id="48"/>
    </w:p>
    <w:p>
      <w:pPr>
        <w:spacing w:line="600" w:lineRule="exact"/>
        <w:ind w:firstLine="643" w:firstLineChars="200"/>
        <w:outlineLvl w:val="2"/>
        <w:rPr>
          <w:rFonts w:ascii="仿宋" w:hAnsi="仿宋" w:eastAsia="仿宋"/>
          <w:b/>
          <w:color w:val="auto"/>
          <w:sz w:val="32"/>
          <w:szCs w:val="32"/>
          <w:highlight w:val="none"/>
        </w:rPr>
      </w:pPr>
      <w:bookmarkStart w:id="49" w:name="_Toc15377210"/>
      <w:r>
        <w:rPr>
          <w:rFonts w:hint="eastAsia" w:ascii="仿宋" w:hAnsi="仿宋" w:eastAsia="仿宋"/>
          <w:b/>
          <w:color w:val="auto"/>
          <w:sz w:val="32"/>
          <w:szCs w:val="32"/>
          <w:highlight w:val="none"/>
        </w:rPr>
        <w:t>（一）一般公共预算财政拨款支出决算总体情况</w:t>
      </w:r>
      <w:bookmarkEnd w:id="49"/>
    </w:p>
    <w:p>
      <w:pPr>
        <w:spacing w:line="600" w:lineRule="exact"/>
        <w:ind w:firstLine="640" w:firstLineChars="20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269.2</w:t>
      </w:r>
      <w:r>
        <w:rPr>
          <w:rFonts w:hint="eastAsia" w:ascii="仿宋" w:hAnsi="仿宋" w:eastAsia="仿宋"/>
          <w:color w:val="auto"/>
          <w:sz w:val="32"/>
          <w:szCs w:val="32"/>
          <w:highlight w:val="none"/>
        </w:rPr>
        <w:t>万元，占本年支出合计的</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。与</w:t>
      </w: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20</w:t>
      </w:r>
      <w:r>
        <w:rPr>
          <w:rFonts w:hint="eastAsia" w:ascii="仿宋" w:hAnsi="仿宋" w:eastAsia="仿宋"/>
          <w:color w:val="auto"/>
          <w:sz w:val="32"/>
          <w:szCs w:val="32"/>
          <w:highlight w:val="none"/>
        </w:rPr>
        <w:t>年相比，一般公共预算财政拨款</w:t>
      </w:r>
      <w:r>
        <w:rPr>
          <w:rFonts w:hint="eastAsia" w:ascii="仿宋" w:hAnsi="仿宋" w:eastAsia="仿宋"/>
          <w:color w:val="auto"/>
          <w:sz w:val="32"/>
          <w:szCs w:val="32"/>
          <w:highlight w:val="none"/>
          <w:lang w:eastAsia="zh-CN"/>
        </w:rPr>
        <w:t>支出</w:t>
      </w:r>
      <w:r>
        <w:rPr>
          <w:rFonts w:hint="eastAsia" w:ascii="仿宋" w:hAnsi="仿宋" w:eastAsia="仿宋"/>
          <w:color w:val="auto"/>
          <w:sz w:val="32"/>
          <w:szCs w:val="32"/>
          <w:highlight w:val="none"/>
        </w:rPr>
        <w:t>增加</w:t>
      </w:r>
      <w:r>
        <w:rPr>
          <w:rFonts w:hint="eastAsia" w:ascii="仿宋" w:hAnsi="仿宋" w:eastAsia="仿宋"/>
          <w:color w:val="auto"/>
          <w:sz w:val="32"/>
          <w:szCs w:val="32"/>
          <w:highlight w:val="none"/>
          <w:lang w:val="en-US" w:eastAsia="zh-CN"/>
        </w:rPr>
        <w:t>45.48</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20.33</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val="en-US" w:eastAsia="zh-CN"/>
        </w:rPr>
        <w:t>人员新增经费增加</w:t>
      </w:r>
      <w:r>
        <w:rPr>
          <w:rFonts w:hint="eastAsia" w:ascii="仿宋" w:hAnsi="仿宋" w:eastAsia="仿宋"/>
          <w:color w:val="000000"/>
          <w:sz w:val="32"/>
          <w:szCs w:val="32"/>
          <w:lang w:eastAsia="zh-CN"/>
        </w:rPr>
        <w:t>。</w:t>
      </w:r>
    </w:p>
    <w:p>
      <w:pPr>
        <w:pStyle w:val="33"/>
        <w:rPr>
          <w:rFonts w:hint="eastAsia" w:ascii="仿宋" w:hAnsi="仿宋" w:eastAsia="仿宋"/>
          <w:color w:val="000000"/>
          <w:sz w:val="32"/>
          <w:szCs w:val="32"/>
          <w:lang w:eastAsia="zh-CN"/>
        </w:rPr>
      </w:pPr>
      <w:r>
        <w:rPr>
          <w:sz w:val="32"/>
        </w:rPr>
        <mc:AlternateContent>
          <mc:Choice Requires="wps">
            <w:drawing>
              <wp:anchor distT="0" distB="0" distL="114300" distR="114300" simplePos="0" relativeHeight="251663360" behindDoc="0" locked="0" layoutInCell="1" allowOverlap="1">
                <wp:simplePos x="0" y="0"/>
                <wp:positionH relativeFrom="column">
                  <wp:posOffset>1920240</wp:posOffset>
                </wp:positionH>
                <wp:positionV relativeFrom="paragraph">
                  <wp:posOffset>723900</wp:posOffset>
                </wp:positionV>
                <wp:extent cx="1569720" cy="256540"/>
                <wp:effectExtent l="0" t="0" r="0" b="0"/>
                <wp:wrapNone/>
                <wp:docPr id="7" name="文本框 7" descr="7b0a20202020227461726765744964223a202270726f636573734f6e6c696e6554657874426f78220a7d0a"/>
                <wp:cNvGraphicFramePr/>
                <a:graphic xmlns:a="http://schemas.openxmlformats.org/drawingml/2006/main">
                  <a:graphicData uri="http://schemas.microsoft.com/office/word/2010/wordprocessingShape">
                    <wps:wsp>
                      <wps:cNvSpPr txBox="1"/>
                      <wps:spPr>
                        <a:xfrm>
                          <a:off x="3414395" y="4000500"/>
                          <a:ext cx="1569720" cy="2565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5"/>
                                <w:szCs w:val="15"/>
                                <w:lang w:val="en-US" w:eastAsia="zh-CN"/>
                              </w:rPr>
                            </w:pPr>
                            <w:r>
                              <w:rPr>
                                <w:rFonts w:hint="eastAsia"/>
                                <w:sz w:val="15"/>
                                <w:szCs w:val="15"/>
                                <w:lang w:val="en-US" w:eastAsia="zh-CN"/>
                              </w:rPr>
                              <w:t>增加45.48万元，增长20.33%</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alt="7b0a20202020227461726765744964223a202270726f636573734f6e6c696e6554657874426f78220a7d0a" type="#_x0000_t202" style="position:absolute;left:0pt;margin-left:151.2pt;margin-top:57pt;height:20.2pt;width:123.6pt;z-index:251663360;mso-width-relative:page;mso-height-relative:page;" filled="f" stroked="f" coordsize="21600,21600" o:gfxdata="UEsDBAoAAAAAAIdO4kAAAAAAAAAAAAAAAAAEAAAAZHJzL1BLAwQUAAAACACHTuJAockVntsAAAAL&#10;AQAADwAAAGRycy9kb3ducmV2LnhtbE2PzU7DMBCE70i8g7VI3Kid4FQljVOhSBUSgkNLL9yceJtE&#10;je0Quz/w9CynctyZT7MzxepiB3bCKfTeKUhmAhi6xpvetQp2H+uHBbAQtTN68A4VfGOAVXl7U+jc&#10;+LPb4GkbW0YhLuRaQRfjmHMemg6tDjM/oiNv7yerI51Ty82kzxRuB54KMedW944+dHrEqsPmsD1a&#10;Ba/V+l1v6tQufobq5W3/PH7tPjOl7u8SsQQW8RKvMPzVp+pQUqfaH50JbFDwKFJJKBmJpFFEZPJp&#10;DqwmJZMSeFnw/xvKX1BLAwQUAAAACACHTuJAeAD8YmoCAACDBAAADgAAAGRycy9lMm9Eb2MueG1s&#10;rVTNbhMxEL4j8Q6W73Q3+9tE3VShVRFSRSsVxNnx2s1Ku7axnW7KA8AbcOLCnefqc/DZ2bQVcEIo&#10;0mQ8M56fz9/syelu6MmdsK7TqqGzo5QSobhuO3Xb0A/vL14dU+I8Uy3rtRINvReOni5fvjgZzUJk&#10;eqP7VliCJMotRtPQjfdmkSSOb8TA3JE2QsEptR2Yx9HeJq1lI7IPfZKlaZWM2rbGai6cg/V876TL&#10;mF9Kwf2VlE540jcUvfkobZTrIJPlCVvcWmY2HZ/aYP/QxcA6haKPqc6ZZ2Rruz9SDR232mnpj7ge&#10;Ei1lx0WcAdPM0t+mudkwI+IsAMeZR5jc/0vL391dW9K1Da0pUWzAEz18+/rw/efDjy8EplY4Drjq&#10;dcqydPpldVHN6qyqq7IuinlVZFkevFmdwiqrHPa8zgtZiYpXc8iyLGA7RjT89XGWpaxuUxbQH41b&#10;oIkbgzb87rXegUUHu4MxgLqTdgj/gIvAnxezIp+XlNw3tEjTtEyndxQ7T3hIUFbzOsNzc0RkZVUW&#10;MSB5ymSs82+EHkhQGmrBk/h87O7SeXSF0ENIKKz0Rdf3kSu9ImNDq7xM44VHD270ChfDPPu+g+Z3&#10;69005Fq395jR6j0HneEXHYpfMuevmQXp0C8WyV9ByF6jiJ40Sjbafv6bPcSDC/BSMoLEDXWftswK&#10;Svq3CiyZzwqMTnw8FGXExD73rJ971HY409iTGVbW8KjisvX9QZVWDx+xb6tQFS6mOGo31B/UM79f&#10;LewrF6tVDALPDfOX6sbwkHoP52rrtewi0gGmPTYTemB6fIBpK8MqPT/HqKdvx/IX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ockVntsAAAALAQAADwAAAAAAAAABACAAAAAiAAAAZHJzL2Rvd25yZXYu&#10;eG1sUEsBAhQAFAAAAAgAh07iQHgA/GJqAgAAgwQAAA4AAAAAAAAAAQAgAAAAKgEAAGRycy9lMm9E&#10;b2MueG1sUEsFBgAAAAAGAAYAWQEAAAYGAAAAAA==&#10;">
                <v:fill on="f" focussize="0,0"/>
                <v:stroke on="f" weight="0.5pt"/>
                <v:imagedata o:title=""/>
                <o:lock v:ext="edit" aspectratio="f"/>
                <v:textbox>
                  <w:txbxContent>
                    <w:p>
                      <w:pPr>
                        <w:rPr>
                          <w:rFonts w:hint="default" w:eastAsia="宋体"/>
                          <w:sz w:val="15"/>
                          <w:szCs w:val="15"/>
                          <w:lang w:val="en-US" w:eastAsia="zh-CN"/>
                        </w:rPr>
                      </w:pPr>
                      <w:r>
                        <w:rPr>
                          <w:rFonts w:hint="eastAsia"/>
                          <w:sz w:val="15"/>
                          <w:szCs w:val="15"/>
                          <w:lang w:val="en-US" w:eastAsia="zh-CN"/>
                        </w:rPr>
                        <w:t>增加45.48万元，增长20.33%</w:t>
                      </w:r>
                    </w:p>
                  </w:txbxContent>
                </v:textbox>
              </v:shape>
            </w:pict>
          </mc:Fallback>
        </mc:AlternateContent>
      </w:r>
      <w:r>
        <w:rPr>
          <w:rFonts w:hint="eastAsia" w:ascii="仿宋" w:hAnsi="仿宋" w:eastAsia="仿宋"/>
          <w:color w:val="000000"/>
          <w:sz w:val="32"/>
          <w:szCs w:val="32"/>
          <w:lang w:eastAsia="zh-CN"/>
        </w:rPr>
        <w:object>
          <v:shape id="_x0000_i1028" o:spt="75" type="#_x0000_t75" style="height:222.75pt;width:366.75pt;" o:ole="t" filled="f" o:preferrelative="t" stroked="f" coordsize="21600,21600">
            <v:path/>
            <v:fill on="f" focussize="0,0"/>
            <v:stroke on="f"/>
            <v:imagedata r:id="rId18" o:title=""/>
            <o:lock v:ext="edit" aspectratio="t"/>
            <w10:wrap type="none"/>
            <w10:anchorlock/>
          </v:shape>
          <o:OLEObject Type="Embed" ProgID="Excel.Chart.8" ShapeID="_x0000_i1028" DrawAspect="Content" ObjectID="_1468075729" r:id="rId17">
            <o:LockedField>false</o:LockedField>
          </o:OLEObject>
        </w:object>
      </w:r>
    </w:p>
    <w:p>
      <w:pPr>
        <w:jc w:val="center"/>
        <w:rPr>
          <w:rFonts w:ascii="仿宋" w:hAnsi="仿宋" w:eastAsia="仿宋"/>
          <w:color w:val="auto"/>
          <w:sz w:val="32"/>
          <w:szCs w:val="32"/>
          <w:highlight w:val="none"/>
        </w:rPr>
      </w:pPr>
      <w:r>
        <w:rPr>
          <w:rFonts w:hint="eastAsia" w:ascii="仿宋" w:hAnsi="仿宋" w:eastAsia="仿宋" w:cs="Times New Roman"/>
          <w:color w:val="auto"/>
          <w:kern w:val="2"/>
          <w:sz w:val="28"/>
          <w:szCs w:val="28"/>
          <w:highlight w:val="none"/>
          <w:lang w:val="en-US" w:eastAsia="zh-CN" w:bidi="ar-SA"/>
        </w:rPr>
        <w:t>（图5：一般公共预算财政拨款支出决算变动情况）（柱状图）</w:t>
      </w:r>
    </w:p>
    <w:p>
      <w:pPr>
        <w:spacing w:line="600" w:lineRule="exact"/>
        <w:ind w:firstLine="643" w:firstLineChars="200"/>
        <w:outlineLvl w:val="2"/>
        <w:rPr>
          <w:rFonts w:ascii="仿宋" w:hAnsi="仿宋" w:eastAsia="仿宋"/>
          <w:b/>
          <w:color w:val="auto"/>
          <w:sz w:val="32"/>
          <w:szCs w:val="32"/>
          <w:highlight w:val="none"/>
        </w:rPr>
      </w:pPr>
      <w:bookmarkStart w:id="50" w:name="_Toc15377211"/>
      <w:r>
        <w:rPr>
          <w:rFonts w:hint="eastAsia" w:ascii="仿宋" w:hAnsi="仿宋" w:eastAsia="仿宋"/>
          <w:b/>
          <w:color w:val="auto"/>
          <w:sz w:val="32"/>
          <w:szCs w:val="32"/>
          <w:highlight w:val="none"/>
        </w:rPr>
        <w:t>（二）一般公共预算财政拨款支出决算结构情况</w:t>
      </w:r>
      <w:bookmarkEnd w:id="50"/>
    </w:p>
    <w:p>
      <w:pPr>
        <w:spacing w:line="600" w:lineRule="exact"/>
        <w:ind w:firstLine="640"/>
        <w:rPr>
          <w:rFonts w:hint="eastAsia"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269.2</w:t>
      </w:r>
      <w:r>
        <w:rPr>
          <w:rFonts w:hint="eastAsia" w:ascii="仿宋" w:hAnsi="仿宋" w:eastAsia="仿宋"/>
          <w:color w:val="auto"/>
          <w:sz w:val="32"/>
          <w:szCs w:val="32"/>
          <w:highlight w:val="none"/>
        </w:rPr>
        <w:t>万元，主要用于以下方面</w:t>
      </w:r>
      <w:r>
        <w:rPr>
          <w:rFonts w:ascii="仿宋" w:hAnsi="仿宋" w:eastAsia="仿宋"/>
          <w:color w:val="auto"/>
          <w:sz w:val="32"/>
          <w:szCs w:val="32"/>
          <w:highlight w:val="none"/>
        </w:rPr>
        <w:t>:</w:t>
      </w:r>
      <w:r>
        <w:rPr>
          <w:rFonts w:hint="eastAsia" w:ascii="仿宋" w:hAnsi="仿宋" w:eastAsia="仿宋"/>
          <w:b/>
          <w:color w:val="000000"/>
          <w:sz w:val="32"/>
          <w:szCs w:val="32"/>
        </w:rPr>
        <w:t>一般公共服务（类）</w:t>
      </w:r>
      <w:r>
        <w:rPr>
          <w:rFonts w:hint="eastAsia" w:ascii="仿宋" w:hAnsi="仿宋" w:eastAsia="仿宋"/>
          <w:color w:val="000000"/>
          <w:sz w:val="32"/>
          <w:szCs w:val="32"/>
        </w:rPr>
        <w:t>支出</w:t>
      </w:r>
      <w:r>
        <w:rPr>
          <w:rFonts w:hint="eastAsia" w:ascii="仿宋" w:hAnsi="仿宋" w:eastAsia="仿宋"/>
          <w:color w:val="000000"/>
          <w:sz w:val="32"/>
          <w:szCs w:val="32"/>
          <w:lang w:val="en-US" w:eastAsia="zh-CN"/>
        </w:rPr>
        <w:t>243.55</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90.47</w:t>
      </w:r>
      <w:r>
        <w:rPr>
          <w:rFonts w:ascii="仿宋" w:hAnsi="仿宋" w:eastAsia="仿宋"/>
          <w:color w:val="000000"/>
          <w:sz w:val="32"/>
          <w:szCs w:val="32"/>
        </w:rPr>
        <w:t>%</w:t>
      </w:r>
      <w:r>
        <w:rPr>
          <w:rFonts w:hint="eastAsia" w:ascii="仿宋" w:hAnsi="仿宋" w:eastAsia="仿宋"/>
          <w:color w:val="000000"/>
          <w:sz w:val="32"/>
          <w:szCs w:val="32"/>
        </w:rPr>
        <w:t>；</w:t>
      </w:r>
      <w:r>
        <w:rPr>
          <w:rFonts w:hint="eastAsia" w:ascii="仿宋" w:hAnsi="仿宋" w:eastAsia="仿宋"/>
          <w:b/>
          <w:color w:val="000000"/>
          <w:sz w:val="32"/>
          <w:szCs w:val="32"/>
        </w:rPr>
        <w:t>社会保障和就业（类）</w:t>
      </w:r>
      <w:r>
        <w:rPr>
          <w:rFonts w:hint="eastAsia" w:ascii="仿宋" w:hAnsi="仿宋" w:eastAsia="仿宋"/>
          <w:color w:val="000000"/>
          <w:sz w:val="32"/>
          <w:szCs w:val="32"/>
        </w:rPr>
        <w:t>支出</w:t>
      </w:r>
      <w:r>
        <w:rPr>
          <w:rFonts w:hint="eastAsia" w:ascii="仿宋" w:hAnsi="仿宋" w:eastAsia="仿宋"/>
          <w:color w:val="000000"/>
          <w:sz w:val="32"/>
          <w:szCs w:val="32"/>
          <w:lang w:val="en-US" w:eastAsia="zh-CN"/>
        </w:rPr>
        <w:t>10.25</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3.8</w:t>
      </w:r>
      <w:r>
        <w:rPr>
          <w:rFonts w:ascii="仿宋" w:hAnsi="仿宋" w:eastAsia="仿宋"/>
          <w:color w:val="000000"/>
          <w:sz w:val="32"/>
          <w:szCs w:val="32"/>
        </w:rPr>
        <w:t>%</w:t>
      </w:r>
      <w:r>
        <w:rPr>
          <w:rFonts w:hint="eastAsia" w:ascii="仿宋" w:hAnsi="仿宋" w:eastAsia="仿宋"/>
          <w:color w:val="000000"/>
          <w:sz w:val="32"/>
          <w:szCs w:val="32"/>
        </w:rPr>
        <w:t>；</w:t>
      </w:r>
      <w:r>
        <w:rPr>
          <w:rFonts w:hint="eastAsia" w:ascii="仿宋" w:hAnsi="仿宋" w:eastAsia="仿宋"/>
          <w:b/>
          <w:bCs/>
          <w:color w:val="000000"/>
          <w:sz w:val="32"/>
          <w:szCs w:val="32"/>
        </w:rPr>
        <w:t>卫生健康支出</w:t>
      </w:r>
      <w:r>
        <w:rPr>
          <w:rFonts w:hint="eastAsia" w:ascii="仿宋" w:hAnsi="仿宋" w:eastAsia="仿宋"/>
          <w:color w:val="000000"/>
          <w:sz w:val="32"/>
          <w:szCs w:val="32"/>
          <w:lang w:val="en-US" w:eastAsia="zh-CN"/>
        </w:rPr>
        <w:t>6.07</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2.25</w:t>
      </w:r>
      <w:r>
        <w:rPr>
          <w:rFonts w:ascii="仿宋" w:hAnsi="仿宋" w:eastAsia="仿宋"/>
          <w:color w:val="000000"/>
          <w:sz w:val="32"/>
          <w:szCs w:val="32"/>
        </w:rPr>
        <w:t>%</w:t>
      </w:r>
      <w:r>
        <w:rPr>
          <w:rFonts w:hint="eastAsia" w:ascii="仿宋" w:hAnsi="仿宋" w:eastAsia="仿宋"/>
          <w:color w:val="000000"/>
          <w:sz w:val="32"/>
          <w:szCs w:val="32"/>
        </w:rPr>
        <w:t>；</w:t>
      </w:r>
      <w:r>
        <w:rPr>
          <w:rFonts w:hint="eastAsia" w:ascii="仿宋" w:hAnsi="仿宋" w:eastAsia="仿宋"/>
          <w:b/>
          <w:bCs/>
          <w:color w:val="000000"/>
          <w:sz w:val="32"/>
          <w:szCs w:val="32"/>
        </w:rPr>
        <w:t>住房保障支出</w:t>
      </w:r>
      <w:r>
        <w:rPr>
          <w:rFonts w:hint="eastAsia" w:ascii="仿宋" w:hAnsi="仿宋" w:eastAsia="仿宋"/>
          <w:color w:val="000000"/>
          <w:sz w:val="32"/>
          <w:szCs w:val="32"/>
          <w:lang w:val="en-US" w:eastAsia="zh-CN"/>
        </w:rPr>
        <w:t>9.33</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3.48</w:t>
      </w:r>
      <w:r>
        <w:rPr>
          <w:rFonts w:ascii="仿宋" w:hAnsi="仿宋" w:eastAsia="仿宋"/>
          <w:color w:val="000000"/>
          <w:sz w:val="32"/>
          <w:szCs w:val="32"/>
        </w:rPr>
        <w:t>%</w:t>
      </w:r>
      <w:r>
        <w:rPr>
          <w:rFonts w:hint="eastAsia" w:ascii="仿宋" w:hAnsi="仿宋" w:eastAsia="仿宋"/>
          <w:color w:val="000000"/>
          <w:sz w:val="32"/>
          <w:szCs w:val="32"/>
        </w:rPr>
        <w:t>。</w:t>
      </w:r>
    </w:p>
    <w:p>
      <w:pPr>
        <w:spacing w:line="600" w:lineRule="exact"/>
        <w:ind w:firstLine="640"/>
        <w:rPr>
          <w:rFonts w:ascii="仿宋" w:hAnsi="仿宋" w:eastAsia="仿宋"/>
          <w:color w:val="auto"/>
          <w:sz w:val="32"/>
          <w:szCs w:val="32"/>
          <w:highlight w:val="none"/>
        </w:rPr>
      </w:pPr>
    </w:p>
    <w:p>
      <w:pPr>
        <w:pStyle w:val="33"/>
        <w:rPr>
          <w:rFonts w:ascii="仿宋" w:hAnsi="仿宋" w:eastAsia="仿宋"/>
          <w:color w:val="auto"/>
          <w:sz w:val="32"/>
          <w:szCs w:val="32"/>
          <w:highlight w:val="none"/>
        </w:rPr>
      </w:pPr>
    </w:p>
    <w:p>
      <w:pPr>
        <w:rPr>
          <w:rFonts w:ascii="仿宋" w:hAnsi="仿宋" w:eastAsia="仿宋"/>
          <w:color w:val="auto"/>
          <w:sz w:val="32"/>
          <w:szCs w:val="32"/>
          <w:highlight w:val="none"/>
        </w:rPr>
      </w:pPr>
    </w:p>
    <w:p>
      <w:pPr>
        <w:pStyle w:val="33"/>
        <w:rPr>
          <w:rFonts w:hint="eastAsia" w:ascii="仿宋" w:hAnsi="仿宋" w:eastAsia="仿宋"/>
          <w:color w:val="000000"/>
          <w:sz w:val="32"/>
          <w:szCs w:val="32"/>
          <w:lang w:eastAsia="zh-CN"/>
        </w:rPr>
      </w:pPr>
      <w:r>
        <w:rPr>
          <w:rFonts w:hint="eastAsia" w:ascii="仿宋" w:hAnsi="仿宋" w:eastAsia="仿宋"/>
          <w:color w:val="000000"/>
          <w:sz w:val="32"/>
          <w:szCs w:val="32"/>
          <w:lang w:eastAsia="zh-CN"/>
        </w:rPr>
        <w:object>
          <v:shape id="_x0000_i1029" o:spt="75" type="#_x0000_t75" style="height:207pt;width:374.3pt;" o:ole="t" filled="f" o:preferrelative="t" stroked="f" coordsize="21600,21600">
            <v:path/>
            <v:fill on="f" focussize="0,0"/>
            <v:stroke on="f"/>
            <v:imagedata r:id="rId20" o:title=""/>
            <o:lock v:ext="edit" aspectratio="t"/>
            <w10:wrap type="none"/>
            <w10:anchorlock/>
          </v:shape>
          <o:OLEObject Type="Embed" ProgID="Excel.Chart.8" ShapeID="_x0000_i1029" DrawAspect="Content" ObjectID="_1468075730" r:id="rId19">
            <o:LockedField>false</o:LockedField>
          </o:OLEObject>
        </w:object>
      </w:r>
    </w:p>
    <w:p>
      <w:pPr>
        <w:jc w:val="center"/>
        <w:rPr>
          <w:rFonts w:hint="eastAsia" w:ascii="仿宋" w:hAnsi="仿宋" w:eastAsia="仿宋" w:cs="Times New Roman"/>
          <w:color w:val="auto"/>
          <w:kern w:val="2"/>
          <w:sz w:val="28"/>
          <w:szCs w:val="28"/>
          <w:highlight w:val="none"/>
          <w:lang w:val="en-US" w:eastAsia="zh-CN" w:bidi="ar-SA"/>
        </w:rPr>
      </w:pPr>
      <w:r>
        <w:rPr>
          <w:rFonts w:hint="eastAsia" w:ascii="仿宋" w:hAnsi="仿宋" w:eastAsia="仿宋" w:cs="Times New Roman"/>
          <w:color w:val="auto"/>
          <w:kern w:val="2"/>
          <w:sz w:val="28"/>
          <w:szCs w:val="28"/>
          <w:highlight w:val="none"/>
          <w:lang w:val="en-US" w:eastAsia="zh-CN" w:bidi="ar-SA"/>
        </w:rPr>
        <w:t>（图6：一般公共预算财政拨款支出决算结构）（饼状图）</w:t>
      </w:r>
    </w:p>
    <w:p>
      <w:pPr>
        <w:spacing w:line="600" w:lineRule="exact"/>
        <w:ind w:firstLine="643" w:firstLineChars="200"/>
        <w:outlineLvl w:val="2"/>
        <w:rPr>
          <w:rFonts w:ascii="仿宋" w:hAnsi="仿宋" w:eastAsia="仿宋"/>
          <w:b/>
          <w:color w:val="auto"/>
          <w:sz w:val="32"/>
          <w:szCs w:val="32"/>
          <w:highlight w:val="none"/>
        </w:rPr>
      </w:pPr>
      <w:bookmarkStart w:id="51" w:name="_Toc15377212"/>
      <w:r>
        <w:rPr>
          <w:rFonts w:hint="eastAsia" w:ascii="仿宋" w:hAnsi="仿宋" w:eastAsia="仿宋"/>
          <w:b/>
          <w:color w:val="auto"/>
          <w:sz w:val="32"/>
          <w:szCs w:val="32"/>
          <w:highlight w:val="none"/>
        </w:rPr>
        <w:t>（三）一般公共预算财政拨款支出决算具体情况</w:t>
      </w:r>
      <w:bookmarkEnd w:id="51"/>
    </w:p>
    <w:p>
      <w:pPr>
        <w:keepNext w:val="0"/>
        <w:keepLines w:val="0"/>
        <w:pageBreakBefore w:val="0"/>
        <w:kinsoku/>
        <w:wordWrap/>
        <w:overflowPunct/>
        <w:topLinePunct w:val="0"/>
        <w:autoSpaceDE/>
        <w:autoSpaceDN/>
        <w:bidi w:val="0"/>
        <w:adjustRightInd/>
        <w:snapToGrid/>
        <w:spacing w:line="576" w:lineRule="exact"/>
        <w:ind w:firstLine="643" w:firstLineChars="200"/>
        <w:outlineLvl w:val="1"/>
        <w:rPr>
          <w:rFonts w:ascii="仿宋" w:hAnsi="仿宋" w:eastAsia="仿宋"/>
          <w:color w:val="auto"/>
          <w:sz w:val="32"/>
          <w:szCs w:val="32"/>
          <w:highlight w:val="none"/>
        </w:rPr>
      </w:pPr>
      <w:bookmarkStart w:id="52" w:name="_Toc15378460"/>
      <w:bookmarkStart w:id="53" w:name="_Toc29270"/>
      <w:bookmarkStart w:id="54" w:name="_Toc15377213"/>
      <w:bookmarkStart w:id="55" w:name="_Toc15377444"/>
      <w:bookmarkStart w:id="56" w:name="_Toc5569"/>
      <w:r>
        <w:rPr>
          <w:rFonts w:hint="eastAsia" w:ascii="仿宋" w:hAnsi="仿宋" w:eastAsia="仿宋"/>
          <w:b/>
          <w:color w:val="auto"/>
          <w:sz w:val="32"/>
          <w:szCs w:val="32"/>
          <w:highlight w:val="none"/>
        </w:rPr>
        <w:t>20</w:t>
      </w:r>
      <w:r>
        <w:rPr>
          <w:rFonts w:hint="eastAsia" w:ascii="仿宋" w:hAnsi="仿宋" w:eastAsia="仿宋"/>
          <w:b/>
          <w:color w:val="auto"/>
          <w:sz w:val="32"/>
          <w:szCs w:val="32"/>
          <w:highlight w:val="none"/>
          <w:lang w:val="en-US" w:eastAsia="zh-CN"/>
        </w:rPr>
        <w:t>21</w:t>
      </w:r>
      <w:r>
        <w:rPr>
          <w:rFonts w:hint="eastAsia" w:ascii="仿宋" w:hAnsi="仿宋" w:eastAsia="仿宋"/>
          <w:b/>
          <w:color w:val="auto"/>
          <w:sz w:val="32"/>
          <w:szCs w:val="32"/>
          <w:highlight w:val="none"/>
        </w:rPr>
        <w:t>年</w:t>
      </w:r>
      <w:r>
        <w:rPr>
          <w:rFonts w:hint="eastAsia" w:ascii="仿宋" w:hAnsi="仿宋" w:eastAsia="仿宋"/>
          <w:b/>
          <w:color w:val="auto"/>
          <w:sz w:val="32"/>
          <w:szCs w:val="32"/>
          <w:highlight w:val="none"/>
          <w:lang w:eastAsia="zh-CN"/>
        </w:rPr>
        <w:t>一</w:t>
      </w:r>
      <w:r>
        <w:rPr>
          <w:rFonts w:hint="eastAsia" w:ascii="仿宋" w:hAnsi="仿宋" w:eastAsia="仿宋"/>
          <w:b/>
          <w:color w:val="auto"/>
          <w:sz w:val="32"/>
          <w:szCs w:val="32"/>
          <w:highlight w:val="none"/>
        </w:rPr>
        <w:t>般公共预算支出决算数为</w:t>
      </w:r>
      <w:r>
        <w:rPr>
          <w:rFonts w:hint="eastAsia" w:ascii="仿宋" w:hAnsi="仿宋" w:eastAsia="仿宋"/>
          <w:color w:val="auto"/>
          <w:sz w:val="32"/>
          <w:szCs w:val="32"/>
          <w:highlight w:val="none"/>
          <w:lang w:val="en-US" w:eastAsia="zh-CN"/>
        </w:rPr>
        <w:t>269.2</w:t>
      </w:r>
      <w:r>
        <w:rPr>
          <w:rFonts w:hint="eastAsia" w:ascii="仿宋" w:hAnsi="仿宋" w:eastAsia="仿宋"/>
          <w:color w:val="auto"/>
          <w:sz w:val="32"/>
          <w:szCs w:val="32"/>
          <w:highlight w:val="none"/>
        </w:rPr>
        <w:t>，</w:t>
      </w:r>
      <w:r>
        <w:rPr>
          <w:rStyle w:val="16"/>
          <w:rFonts w:hint="eastAsia" w:ascii="仿宋" w:hAnsi="仿宋" w:eastAsia="仿宋"/>
          <w:bCs/>
          <w:color w:val="auto"/>
          <w:sz w:val="32"/>
          <w:szCs w:val="32"/>
          <w:highlight w:val="none"/>
        </w:rPr>
        <w:t>完成预算</w:t>
      </w:r>
      <w:r>
        <w:rPr>
          <w:rStyle w:val="16"/>
          <w:rFonts w:hint="eastAsia" w:ascii="仿宋" w:hAnsi="仿宋" w:eastAsia="仿宋"/>
          <w:bCs/>
          <w:color w:val="auto"/>
          <w:sz w:val="32"/>
          <w:szCs w:val="32"/>
          <w:highlight w:val="none"/>
          <w:lang w:val="en-US" w:eastAsia="zh-CN"/>
        </w:rPr>
        <w:t>99</w:t>
      </w:r>
      <w:r>
        <w:rPr>
          <w:rStyle w:val="16"/>
          <w:rFonts w:ascii="仿宋" w:hAnsi="仿宋" w:eastAsia="仿宋"/>
          <w:bCs/>
          <w:color w:val="auto"/>
          <w:sz w:val="32"/>
          <w:szCs w:val="32"/>
          <w:highlight w:val="none"/>
        </w:rPr>
        <w:t>%</w:t>
      </w:r>
      <w:r>
        <w:rPr>
          <w:rStyle w:val="16"/>
          <w:rFonts w:hint="eastAsia" w:ascii="仿宋" w:hAnsi="仿宋" w:eastAsia="仿宋"/>
          <w:bCs/>
          <w:color w:val="auto"/>
          <w:sz w:val="32"/>
          <w:szCs w:val="32"/>
          <w:highlight w:val="none"/>
        </w:rPr>
        <w:t>。其中：</w:t>
      </w:r>
      <w:bookmarkEnd w:id="52"/>
      <w:bookmarkEnd w:id="53"/>
      <w:bookmarkEnd w:id="54"/>
      <w:bookmarkEnd w:id="55"/>
      <w:bookmarkEnd w:id="56"/>
    </w:p>
    <w:p>
      <w:pPr>
        <w:pStyle w:val="33"/>
        <w:keepNext w:val="0"/>
        <w:keepLines w:val="0"/>
        <w:pageBreakBefore w:val="0"/>
        <w:kinsoku/>
        <w:wordWrap/>
        <w:overflowPunct/>
        <w:topLinePunct w:val="0"/>
        <w:autoSpaceDE/>
        <w:autoSpaceDN/>
        <w:bidi w:val="0"/>
        <w:adjustRightInd/>
        <w:snapToGrid/>
        <w:spacing w:line="576" w:lineRule="exact"/>
        <w:ind w:firstLine="643" w:firstLineChars="200"/>
        <w:jc w:val="both"/>
        <w:rPr>
          <w:rStyle w:val="16"/>
          <w:rFonts w:hint="eastAsia" w:ascii="仿宋_GB2312" w:hAnsi="仿宋_GB2312" w:eastAsia="仿宋_GB2312" w:cs="仿宋_GB2312"/>
          <w:b/>
          <w:bCs w:val="0"/>
          <w:color w:val="000000"/>
          <w:sz w:val="32"/>
          <w:szCs w:val="32"/>
          <w:lang w:val="en-US" w:eastAsia="zh-CN"/>
        </w:rPr>
      </w:pPr>
      <w:r>
        <w:rPr>
          <w:rStyle w:val="16"/>
          <w:rFonts w:hint="eastAsia" w:ascii="仿宋_GB2312" w:hAnsi="仿宋_GB2312" w:eastAsia="仿宋_GB2312" w:cs="仿宋_GB2312"/>
          <w:b/>
          <w:bCs w:val="0"/>
          <w:color w:val="000000"/>
          <w:sz w:val="32"/>
          <w:szCs w:val="32"/>
          <w:lang w:val="en-US" w:eastAsia="zh-CN"/>
        </w:rPr>
        <w:t>一般公共服务（类）商贸事务（款）事业运行（项）：支出决算为123.03万元，完成预算45.7%。</w:t>
      </w:r>
    </w:p>
    <w:p>
      <w:pPr>
        <w:pStyle w:val="33"/>
        <w:keepNext w:val="0"/>
        <w:keepLines w:val="0"/>
        <w:pageBreakBefore w:val="0"/>
        <w:kinsoku/>
        <w:wordWrap/>
        <w:overflowPunct/>
        <w:topLinePunct w:val="0"/>
        <w:autoSpaceDE/>
        <w:autoSpaceDN/>
        <w:bidi w:val="0"/>
        <w:adjustRightInd/>
        <w:snapToGrid/>
        <w:spacing w:line="576" w:lineRule="exact"/>
        <w:ind w:firstLine="643" w:firstLineChars="200"/>
        <w:jc w:val="both"/>
        <w:rPr>
          <w:rStyle w:val="16"/>
          <w:rFonts w:hint="eastAsia" w:ascii="仿宋_GB2312" w:hAnsi="仿宋_GB2312" w:eastAsia="仿宋_GB2312" w:cs="仿宋_GB2312"/>
          <w:b/>
          <w:bCs w:val="0"/>
          <w:color w:val="000000"/>
          <w:sz w:val="32"/>
          <w:szCs w:val="32"/>
          <w:lang w:val="en-US" w:eastAsia="zh-CN"/>
        </w:rPr>
      </w:pPr>
      <w:r>
        <w:rPr>
          <w:rStyle w:val="16"/>
          <w:rFonts w:hint="eastAsia" w:ascii="仿宋_GB2312" w:hAnsi="仿宋_GB2312" w:eastAsia="仿宋_GB2312" w:cs="仿宋_GB2312"/>
          <w:b/>
          <w:bCs w:val="0"/>
          <w:color w:val="000000"/>
          <w:sz w:val="32"/>
          <w:szCs w:val="32"/>
          <w:lang w:val="en-US" w:eastAsia="zh-CN"/>
        </w:rPr>
        <w:t>2.一般公共服务（类）商贸事务（款）招商引资（项）：支出决算为120.52万元，完成预算44.33%。</w:t>
      </w:r>
    </w:p>
    <w:p>
      <w:pPr>
        <w:keepNext w:val="0"/>
        <w:keepLines w:val="0"/>
        <w:pageBreakBefore w:val="0"/>
        <w:kinsoku/>
        <w:wordWrap/>
        <w:overflowPunct/>
        <w:topLinePunct w:val="0"/>
        <w:autoSpaceDE/>
        <w:autoSpaceDN/>
        <w:bidi w:val="0"/>
        <w:adjustRightInd/>
        <w:snapToGrid/>
        <w:spacing w:line="576" w:lineRule="exact"/>
        <w:ind w:firstLine="643" w:firstLineChars="200"/>
        <w:rPr>
          <w:rStyle w:val="16"/>
          <w:rFonts w:hint="eastAsia" w:ascii="仿宋_GB2312" w:hAnsi="仿宋_GB2312" w:eastAsia="仿宋_GB2312" w:cs="仿宋_GB2312"/>
          <w:b w:val="0"/>
          <w:bCs w:val="0"/>
          <w:color w:val="000000"/>
          <w:sz w:val="32"/>
          <w:szCs w:val="32"/>
        </w:rPr>
      </w:pPr>
      <w:r>
        <w:rPr>
          <w:rStyle w:val="16"/>
          <w:rFonts w:hint="eastAsia" w:ascii="仿宋_GB2312" w:hAnsi="仿宋_GB2312" w:eastAsia="仿宋_GB2312" w:cs="仿宋_GB2312"/>
          <w:b/>
          <w:bCs w:val="0"/>
          <w:color w:val="000000"/>
          <w:sz w:val="32"/>
          <w:szCs w:val="32"/>
          <w:lang w:val="en-US" w:eastAsia="zh-CN"/>
        </w:rPr>
        <w:t>3.</w:t>
      </w:r>
      <w:r>
        <w:rPr>
          <w:rStyle w:val="16"/>
          <w:rFonts w:hint="eastAsia" w:ascii="仿宋_GB2312" w:hAnsi="仿宋_GB2312" w:eastAsia="仿宋_GB2312" w:cs="仿宋_GB2312"/>
          <w:b/>
          <w:bCs/>
          <w:color w:val="000000"/>
          <w:sz w:val="32"/>
          <w:szCs w:val="32"/>
        </w:rPr>
        <w:t>社会保障和就业（类）</w:t>
      </w:r>
      <w:r>
        <w:rPr>
          <w:rStyle w:val="16"/>
          <w:rFonts w:hint="eastAsia" w:ascii="仿宋_GB2312" w:hAnsi="仿宋_GB2312" w:eastAsia="仿宋_GB2312" w:cs="仿宋_GB2312"/>
          <w:b/>
          <w:bCs/>
          <w:color w:val="000000"/>
          <w:sz w:val="32"/>
          <w:szCs w:val="32"/>
          <w:lang w:val="en-US" w:eastAsia="zh-CN"/>
        </w:rPr>
        <w:t>行政事业单位离退休</w:t>
      </w:r>
      <w:r>
        <w:rPr>
          <w:rStyle w:val="16"/>
          <w:rFonts w:hint="eastAsia" w:ascii="仿宋_GB2312" w:hAnsi="仿宋_GB2312" w:eastAsia="仿宋_GB2312" w:cs="仿宋_GB2312"/>
          <w:b/>
          <w:bCs/>
          <w:color w:val="000000"/>
          <w:sz w:val="32"/>
          <w:szCs w:val="32"/>
        </w:rPr>
        <w:t>（款）</w:t>
      </w:r>
      <w:r>
        <w:rPr>
          <w:rStyle w:val="16"/>
          <w:rFonts w:hint="eastAsia" w:ascii="仿宋_GB2312" w:hAnsi="仿宋_GB2312" w:eastAsia="仿宋_GB2312" w:cs="仿宋_GB2312"/>
          <w:b/>
          <w:bCs/>
          <w:color w:val="000000"/>
          <w:sz w:val="32"/>
          <w:szCs w:val="32"/>
          <w:lang w:val="en-US" w:eastAsia="zh-CN"/>
        </w:rPr>
        <w:t>机关事业单位基本养老保险缴费支出</w:t>
      </w:r>
      <w:r>
        <w:rPr>
          <w:rStyle w:val="16"/>
          <w:rFonts w:hint="eastAsia" w:ascii="仿宋_GB2312" w:hAnsi="仿宋_GB2312" w:eastAsia="仿宋_GB2312" w:cs="仿宋_GB2312"/>
          <w:b/>
          <w:bCs/>
          <w:color w:val="000000"/>
          <w:sz w:val="32"/>
          <w:szCs w:val="32"/>
        </w:rPr>
        <w:t xml:space="preserve">（项）: </w:t>
      </w:r>
      <w:r>
        <w:rPr>
          <w:rStyle w:val="16"/>
          <w:rFonts w:hint="eastAsia" w:ascii="仿宋_GB2312" w:hAnsi="仿宋_GB2312" w:eastAsia="仿宋_GB2312" w:cs="仿宋_GB2312"/>
          <w:b w:val="0"/>
          <w:bCs w:val="0"/>
          <w:color w:val="000000"/>
          <w:sz w:val="32"/>
          <w:szCs w:val="32"/>
        </w:rPr>
        <w:t>支出决算为</w:t>
      </w:r>
      <w:r>
        <w:rPr>
          <w:rStyle w:val="16"/>
          <w:rFonts w:hint="eastAsia" w:ascii="仿宋_GB2312" w:hAnsi="仿宋_GB2312" w:eastAsia="仿宋_GB2312" w:cs="仿宋_GB2312"/>
          <w:b w:val="0"/>
          <w:bCs w:val="0"/>
          <w:color w:val="000000"/>
          <w:sz w:val="32"/>
          <w:szCs w:val="32"/>
          <w:lang w:val="en-US" w:eastAsia="zh-CN"/>
        </w:rPr>
        <w:t>10.25</w:t>
      </w:r>
      <w:r>
        <w:rPr>
          <w:rStyle w:val="16"/>
          <w:rFonts w:hint="eastAsia" w:ascii="仿宋_GB2312" w:hAnsi="仿宋_GB2312" w:eastAsia="仿宋_GB2312" w:cs="仿宋_GB2312"/>
          <w:b w:val="0"/>
          <w:bCs w:val="0"/>
          <w:color w:val="000000"/>
          <w:sz w:val="32"/>
          <w:szCs w:val="32"/>
        </w:rPr>
        <w:t>万元，完成预算</w:t>
      </w:r>
      <w:r>
        <w:rPr>
          <w:rStyle w:val="16"/>
          <w:rFonts w:hint="eastAsia" w:ascii="仿宋_GB2312" w:hAnsi="仿宋_GB2312" w:eastAsia="仿宋_GB2312" w:cs="仿宋_GB2312"/>
          <w:b w:val="0"/>
          <w:bCs w:val="0"/>
          <w:color w:val="000000"/>
          <w:sz w:val="32"/>
          <w:szCs w:val="32"/>
          <w:lang w:val="en-US" w:eastAsia="zh-CN"/>
        </w:rPr>
        <w:t>3.78</w:t>
      </w:r>
      <w:r>
        <w:rPr>
          <w:rStyle w:val="16"/>
          <w:rFonts w:hint="eastAsia" w:ascii="仿宋_GB2312" w:hAnsi="仿宋_GB2312" w:eastAsia="仿宋_GB2312" w:cs="仿宋_GB2312"/>
          <w:b w:val="0"/>
          <w:bCs w:val="0"/>
          <w:color w:val="000000"/>
          <w:sz w:val="32"/>
          <w:szCs w:val="32"/>
        </w:rPr>
        <w:t>%。</w:t>
      </w:r>
    </w:p>
    <w:p>
      <w:pPr>
        <w:keepNext w:val="0"/>
        <w:keepLines w:val="0"/>
        <w:pageBreakBefore w:val="0"/>
        <w:kinsoku/>
        <w:wordWrap/>
        <w:overflowPunct/>
        <w:topLinePunct w:val="0"/>
        <w:autoSpaceDE/>
        <w:autoSpaceDN/>
        <w:bidi w:val="0"/>
        <w:adjustRightInd/>
        <w:snapToGrid/>
        <w:spacing w:line="576" w:lineRule="exact"/>
        <w:ind w:firstLine="643" w:firstLineChars="200"/>
        <w:rPr>
          <w:rFonts w:hint="eastAsia" w:ascii="仿宋_GB2312" w:hAnsi="仿宋_GB2312" w:eastAsia="仿宋_GB2312" w:cs="仿宋_GB2312"/>
          <w:lang w:val="en-US" w:eastAsia="zh-CN"/>
        </w:rPr>
      </w:pPr>
      <w:r>
        <w:rPr>
          <w:rStyle w:val="16"/>
          <w:rFonts w:hint="eastAsia" w:ascii="仿宋_GB2312" w:hAnsi="仿宋_GB2312" w:eastAsia="仿宋_GB2312" w:cs="仿宋_GB2312"/>
          <w:b/>
          <w:bCs w:val="0"/>
          <w:color w:val="000000"/>
          <w:sz w:val="32"/>
          <w:szCs w:val="32"/>
          <w:lang w:val="en-US" w:eastAsia="zh-CN"/>
        </w:rPr>
        <w:t>4.住房保障支出（类）住房改革支出（款）住房公积金（项）：</w:t>
      </w:r>
      <w:r>
        <w:rPr>
          <w:rStyle w:val="16"/>
          <w:rFonts w:hint="eastAsia" w:ascii="仿宋_GB2312" w:hAnsi="仿宋_GB2312" w:eastAsia="仿宋_GB2312" w:cs="仿宋_GB2312"/>
          <w:b w:val="0"/>
          <w:bCs/>
          <w:color w:val="000000"/>
          <w:sz w:val="32"/>
          <w:szCs w:val="32"/>
          <w:lang w:val="en-US" w:eastAsia="zh-CN"/>
        </w:rPr>
        <w:t>支出决算为9.33万元，完成预算3.43%。</w:t>
      </w:r>
    </w:p>
    <w:p>
      <w:pPr>
        <w:keepNext w:val="0"/>
        <w:keepLines w:val="0"/>
        <w:pageBreakBefore w:val="0"/>
        <w:kinsoku/>
        <w:wordWrap/>
        <w:overflowPunct/>
        <w:topLinePunct w:val="0"/>
        <w:autoSpaceDE/>
        <w:autoSpaceDN/>
        <w:bidi w:val="0"/>
        <w:adjustRightInd/>
        <w:snapToGrid/>
        <w:spacing w:line="576" w:lineRule="exact"/>
        <w:ind w:firstLine="643" w:firstLineChars="200"/>
        <w:rPr>
          <w:rFonts w:ascii="仿宋" w:hAnsi="仿宋" w:eastAsia="仿宋"/>
          <w:b/>
          <w:color w:val="auto"/>
          <w:sz w:val="32"/>
          <w:szCs w:val="32"/>
          <w:highlight w:val="none"/>
        </w:rPr>
      </w:pPr>
      <w:r>
        <w:rPr>
          <w:rStyle w:val="16"/>
          <w:rFonts w:hint="eastAsia" w:ascii="仿宋" w:hAnsi="仿宋" w:eastAsia="仿宋"/>
          <w:bCs/>
          <w:color w:val="000000"/>
          <w:sz w:val="32"/>
          <w:szCs w:val="32"/>
          <w:lang w:val="en-US" w:eastAsia="zh-CN"/>
        </w:rPr>
        <w:t>5</w:t>
      </w:r>
      <w:r>
        <w:rPr>
          <w:rStyle w:val="16"/>
          <w:rFonts w:ascii="仿宋" w:hAnsi="仿宋" w:eastAsia="仿宋"/>
          <w:bCs/>
          <w:color w:val="000000"/>
          <w:sz w:val="32"/>
          <w:szCs w:val="32"/>
        </w:rPr>
        <w:t>.</w:t>
      </w:r>
      <w:r>
        <w:rPr>
          <w:rFonts w:hint="eastAsia" w:ascii="仿宋" w:hAnsi="仿宋" w:eastAsia="仿宋"/>
          <w:b/>
          <w:bCs/>
          <w:color w:val="000000"/>
          <w:sz w:val="32"/>
          <w:szCs w:val="32"/>
        </w:rPr>
        <w:t>卫生健康</w:t>
      </w:r>
      <w:r>
        <w:rPr>
          <w:rFonts w:hint="eastAsia" w:ascii="仿宋" w:hAnsi="仿宋" w:eastAsia="仿宋"/>
          <w:b/>
          <w:bCs/>
          <w:color w:val="000000"/>
          <w:sz w:val="32"/>
          <w:szCs w:val="32"/>
          <w:lang w:val="en-US" w:eastAsia="zh-CN"/>
        </w:rPr>
        <w:t>支出</w:t>
      </w:r>
      <w:r>
        <w:rPr>
          <w:rStyle w:val="16"/>
          <w:rFonts w:hint="eastAsia" w:ascii="仿宋" w:hAnsi="仿宋" w:eastAsia="仿宋"/>
          <w:bCs/>
          <w:color w:val="000000"/>
          <w:sz w:val="32"/>
          <w:szCs w:val="32"/>
        </w:rPr>
        <w:t>（类）</w:t>
      </w:r>
      <w:r>
        <w:rPr>
          <w:rStyle w:val="16"/>
          <w:rFonts w:hint="eastAsia" w:ascii="仿宋" w:hAnsi="仿宋" w:eastAsia="仿宋"/>
          <w:bCs/>
          <w:color w:val="000000"/>
          <w:sz w:val="32"/>
          <w:szCs w:val="32"/>
          <w:lang w:val="en-US" w:eastAsia="zh-CN"/>
        </w:rPr>
        <w:t>行政事业单位医疗</w:t>
      </w:r>
      <w:r>
        <w:rPr>
          <w:rStyle w:val="16"/>
          <w:rFonts w:hint="eastAsia" w:ascii="仿宋" w:hAnsi="仿宋" w:eastAsia="仿宋"/>
          <w:bCs/>
          <w:color w:val="000000"/>
          <w:sz w:val="32"/>
          <w:szCs w:val="32"/>
        </w:rPr>
        <w:t>（款）</w:t>
      </w:r>
      <w:r>
        <w:rPr>
          <w:rStyle w:val="16"/>
          <w:rFonts w:hint="eastAsia" w:ascii="仿宋" w:hAnsi="仿宋" w:eastAsia="仿宋"/>
          <w:bCs/>
          <w:color w:val="000000"/>
          <w:sz w:val="32"/>
          <w:szCs w:val="32"/>
          <w:lang w:val="en-US" w:eastAsia="zh-CN"/>
        </w:rPr>
        <w:t>行政单位医疗</w:t>
      </w:r>
      <w:r>
        <w:rPr>
          <w:rStyle w:val="16"/>
          <w:rFonts w:hint="eastAsia" w:ascii="仿宋" w:hAnsi="仿宋" w:eastAsia="仿宋"/>
          <w:bCs/>
          <w:color w:val="000000"/>
          <w:sz w:val="32"/>
          <w:szCs w:val="32"/>
        </w:rPr>
        <w:t>（项）</w:t>
      </w:r>
      <w:r>
        <w:rPr>
          <w:rStyle w:val="16"/>
          <w:rFonts w:ascii="仿宋" w:hAnsi="仿宋" w:eastAsia="仿宋"/>
          <w:bCs/>
          <w:color w:val="000000"/>
          <w:sz w:val="32"/>
          <w:szCs w:val="32"/>
        </w:rPr>
        <w:t>:</w:t>
      </w:r>
      <w:r>
        <w:rPr>
          <w:rStyle w:val="16"/>
          <w:rFonts w:hint="eastAsia" w:ascii="仿宋" w:hAnsi="仿宋" w:eastAsia="仿宋"/>
          <w:b w:val="0"/>
          <w:bCs/>
          <w:color w:val="000000"/>
          <w:sz w:val="32"/>
          <w:szCs w:val="32"/>
        </w:rPr>
        <w:t>支出决算为</w:t>
      </w:r>
      <w:r>
        <w:rPr>
          <w:rStyle w:val="16"/>
          <w:rFonts w:hint="eastAsia" w:ascii="仿宋" w:hAnsi="仿宋" w:eastAsia="仿宋"/>
          <w:b w:val="0"/>
          <w:bCs/>
          <w:color w:val="000000"/>
          <w:sz w:val="32"/>
          <w:szCs w:val="32"/>
          <w:lang w:val="en-US" w:eastAsia="zh-CN"/>
        </w:rPr>
        <w:t>6.07</w:t>
      </w:r>
      <w:r>
        <w:rPr>
          <w:rStyle w:val="16"/>
          <w:rFonts w:hint="eastAsia" w:ascii="仿宋" w:hAnsi="仿宋" w:eastAsia="仿宋"/>
          <w:b w:val="0"/>
          <w:bCs/>
          <w:color w:val="000000"/>
          <w:sz w:val="32"/>
          <w:szCs w:val="32"/>
        </w:rPr>
        <w:t>万元，完成预算</w:t>
      </w:r>
      <w:r>
        <w:rPr>
          <w:rStyle w:val="16"/>
          <w:rFonts w:hint="eastAsia" w:ascii="仿宋" w:hAnsi="仿宋" w:eastAsia="仿宋"/>
          <w:b w:val="0"/>
          <w:bCs/>
          <w:color w:val="000000"/>
          <w:sz w:val="32"/>
          <w:szCs w:val="32"/>
          <w:lang w:val="en-US" w:eastAsia="zh-CN"/>
        </w:rPr>
        <w:t>2.23</w:t>
      </w:r>
      <w:r>
        <w:rPr>
          <w:rStyle w:val="16"/>
          <w:rFonts w:ascii="仿宋" w:hAnsi="仿宋" w:eastAsia="仿宋"/>
          <w:b w:val="0"/>
          <w:bCs/>
          <w:color w:val="000000"/>
          <w:sz w:val="32"/>
          <w:szCs w:val="32"/>
        </w:rPr>
        <w:t>%</w:t>
      </w:r>
      <w:r>
        <w:rPr>
          <w:rStyle w:val="16"/>
          <w:rFonts w:hint="eastAsia" w:ascii="仿宋" w:hAnsi="仿宋" w:eastAsia="仿宋"/>
          <w:b w:val="0"/>
          <w:bCs/>
          <w:color w:val="000000"/>
          <w:sz w:val="32"/>
          <w:szCs w:val="32"/>
          <w:lang w:eastAsia="zh-CN"/>
        </w:rPr>
        <w:t>。</w:t>
      </w:r>
    </w:p>
    <w:p>
      <w:pPr>
        <w:tabs>
          <w:tab w:val="right" w:pos="8306"/>
        </w:tabs>
        <w:spacing w:line="600" w:lineRule="exact"/>
        <w:ind w:firstLine="640"/>
        <w:outlineLvl w:val="1"/>
        <w:rPr>
          <w:rStyle w:val="28"/>
          <w:color w:val="auto"/>
          <w:highlight w:val="none"/>
        </w:rPr>
      </w:pPr>
      <w:bookmarkStart w:id="57" w:name="_Toc15396608"/>
      <w:bookmarkStart w:id="58" w:name="_Toc15377214"/>
      <w:bookmarkStart w:id="59" w:name="_Toc27521"/>
      <w:r>
        <w:rPr>
          <w:rFonts w:hint="eastAsia" w:ascii="黑体" w:eastAsia="黑体"/>
          <w:color w:val="auto"/>
          <w:sz w:val="32"/>
          <w:szCs w:val="32"/>
          <w:highlight w:val="none"/>
        </w:rPr>
        <w:t>六</w:t>
      </w:r>
      <w:r>
        <w:rPr>
          <w:rFonts w:hint="eastAsia" w:ascii="黑体" w:eastAsia="黑体"/>
          <w:b/>
          <w:color w:val="auto"/>
          <w:sz w:val="32"/>
          <w:szCs w:val="32"/>
          <w:highlight w:val="none"/>
        </w:rPr>
        <w:t>、</w:t>
      </w:r>
      <w:r>
        <w:rPr>
          <w:rFonts w:hint="eastAsia" w:ascii="黑体" w:hAnsi="黑体" w:eastAsia="黑体"/>
          <w:b/>
          <w:color w:val="auto"/>
          <w:sz w:val="32"/>
          <w:szCs w:val="32"/>
          <w:highlight w:val="none"/>
        </w:rPr>
        <w:t>一</w:t>
      </w:r>
      <w:r>
        <w:rPr>
          <w:rStyle w:val="28"/>
          <w:rFonts w:hint="eastAsia" w:ascii="黑体" w:hAnsi="黑体" w:eastAsia="黑体"/>
          <w:b w:val="0"/>
          <w:color w:val="auto"/>
          <w:highlight w:val="none"/>
        </w:rPr>
        <w:t>般公共预算财政拨款基本支出决算情况说明</w:t>
      </w:r>
      <w:bookmarkEnd w:id="57"/>
      <w:bookmarkEnd w:id="58"/>
      <w:bookmarkEnd w:id="59"/>
      <w:r>
        <w:rPr>
          <w:rStyle w:val="28"/>
          <w:rFonts w:ascii="黑体" w:hAnsi="黑体" w:eastAsia="黑体"/>
          <w:b w:val="0"/>
          <w:color w:val="auto"/>
          <w:highlight w:val="none"/>
        </w:rPr>
        <w:tab/>
      </w:r>
    </w:p>
    <w:p>
      <w:pPr>
        <w:spacing w:line="600" w:lineRule="exact"/>
        <w:ind w:firstLine="645"/>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年一般公共预算财政拨款基本支出</w:t>
      </w:r>
      <w:r>
        <w:rPr>
          <w:rFonts w:hint="eastAsia" w:ascii="仿宋" w:hAnsi="仿宋" w:eastAsia="仿宋"/>
          <w:color w:val="auto"/>
          <w:sz w:val="32"/>
          <w:szCs w:val="32"/>
          <w:highlight w:val="none"/>
          <w:lang w:val="en-US" w:eastAsia="zh-CN"/>
        </w:rPr>
        <w:t>138.85</w:t>
      </w:r>
      <w:r>
        <w:rPr>
          <w:rFonts w:hint="eastAsia" w:ascii="仿宋" w:hAnsi="仿宋" w:eastAsia="仿宋"/>
          <w:color w:val="auto"/>
          <w:sz w:val="32"/>
          <w:szCs w:val="32"/>
          <w:highlight w:val="none"/>
        </w:rPr>
        <w:t>万元，其中：</w:t>
      </w:r>
    </w:p>
    <w:p>
      <w:pPr>
        <w:spacing w:line="600" w:lineRule="exact"/>
        <w:ind w:firstLine="645"/>
        <w:rPr>
          <w:rFonts w:hint="eastAsia" w:ascii="仿宋" w:hAnsi="仿宋" w:eastAsia="仿宋"/>
          <w:color w:val="auto"/>
          <w:sz w:val="32"/>
          <w:szCs w:val="32"/>
          <w:highlight w:val="none"/>
          <w:lang w:eastAsia="zh-CN"/>
        </w:rPr>
      </w:pPr>
      <w:r>
        <w:rPr>
          <w:rFonts w:hint="eastAsia" w:ascii="仿宋" w:hAnsi="仿宋" w:eastAsia="仿宋"/>
          <w:color w:val="auto"/>
          <w:sz w:val="32"/>
          <w:szCs w:val="32"/>
          <w:highlight w:val="none"/>
        </w:rPr>
        <w:t>人员经费</w:t>
      </w:r>
      <w:r>
        <w:rPr>
          <w:rFonts w:hint="eastAsia" w:ascii="仿宋" w:hAnsi="仿宋" w:eastAsia="仿宋"/>
          <w:color w:val="auto"/>
          <w:sz w:val="32"/>
          <w:szCs w:val="32"/>
          <w:highlight w:val="none"/>
          <w:lang w:val="en-US" w:eastAsia="zh-CN"/>
        </w:rPr>
        <w:t>121.07</w:t>
      </w:r>
      <w:r>
        <w:rPr>
          <w:rFonts w:hint="eastAsia" w:ascii="仿宋" w:hAnsi="仿宋" w:eastAsia="仿宋"/>
          <w:color w:val="auto"/>
          <w:sz w:val="32"/>
          <w:szCs w:val="32"/>
          <w:highlight w:val="none"/>
        </w:rPr>
        <w:t>万元，主要包括：基本工资、津贴补贴、奖金、伙食补助费、绩效工资、机关事业单位基本养老保险缴费、职业年金缴费、其他社会保障缴费、其他工资福利支出、离休费、退休费、抚恤金、生活补助、医疗费补助、奖励金、住房公积金、其他对个人和家庭的补助支出等。</w:t>
      </w:r>
    </w:p>
    <w:p>
      <w:pPr>
        <w:spacing w:line="600" w:lineRule="exact"/>
        <w:ind w:firstLine="645"/>
        <w:rPr>
          <w:rFonts w:ascii="仿宋" w:hAnsi="仿宋" w:eastAsia="仿宋"/>
          <w:color w:val="auto"/>
          <w:sz w:val="32"/>
          <w:szCs w:val="32"/>
          <w:highlight w:val="none"/>
        </w:rPr>
      </w:pPr>
      <w:r>
        <w:rPr>
          <w:rFonts w:hint="eastAsia" w:ascii="仿宋" w:hAnsi="仿宋" w:eastAsia="仿宋"/>
          <w:color w:val="auto"/>
          <w:sz w:val="32"/>
          <w:szCs w:val="32"/>
          <w:highlight w:val="none"/>
        </w:rPr>
        <w:t>公用经费</w:t>
      </w:r>
      <w:r>
        <w:rPr>
          <w:rFonts w:hint="eastAsia" w:ascii="仿宋" w:hAnsi="仿宋" w:eastAsia="仿宋"/>
          <w:color w:val="auto"/>
          <w:sz w:val="32"/>
          <w:szCs w:val="32"/>
          <w:highlight w:val="none"/>
          <w:lang w:val="en-US" w:eastAsia="zh-CN"/>
        </w:rPr>
        <w:t>17.78</w:t>
      </w:r>
      <w:r>
        <w:rPr>
          <w:rFonts w:hint="eastAsia" w:ascii="仿宋" w:hAnsi="仿宋" w:eastAsia="仿宋"/>
          <w:color w:val="auto"/>
          <w:sz w:val="32"/>
          <w:szCs w:val="32"/>
          <w:highlight w:val="none"/>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0"/>
        <w:outlineLvl w:val="1"/>
        <w:rPr>
          <w:rStyle w:val="28"/>
          <w:rFonts w:ascii="黑体" w:hAnsi="黑体" w:eastAsia="黑体"/>
          <w:b w:val="0"/>
          <w:color w:val="auto"/>
          <w:highlight w:val="none"/>
        </w:rPr>
      </w:pPr>
      <w:bookmarkStart w:id="60" w:name="_Toc15377215"/>
      <w:bookmarkStart w:id="61" w:name="_Toc26758"/>
      <w:bookmarkStart w:id="62" w:name="_Toc15396609"/>
      <w:r>
        <w:rPr>
          <w:rFonts w:hint="eastAsia" w:ascii="黑体" w:eastAsia="黑体"/>
          <w:color w:val="auto"/>
          <w:sz w:val="32"/>
          <w:szCs w:val="32"/>
          <w:highlight w:val="none"/>
        </w:rPr>
        <w:t>七、</w:t>
      </w:r>
      <w:r>
        <w:rPr>
          <w:rStyle w:val="28"/>
          <w:rFonts w:hint="eastAsia" w:ascii="黑体" w:hAnsi="黑体" w:eastAsia="黑体"/>
          <w:color w:val="auto"/>
          <w:highlight w:val="none"/>
        </w:rPr>
        <w:t>“</w:t>
      </w:r>
      <w:r>
        <w:rPr>
          <w:rStyle w:val="28"/>
          <w:rFonts w:hint="eastAsia" w:ascii="黑体" w:hAnsi="黑体" w:eastAsia="黑体"/>
          <w:b w:val="0"/>
          <w:color w:val="auto"/>
          <w:highlight w:val="none"/>
        </w:rPr>
        <w:t>三公”经费财政拨款支出决算情况说明</w:t>
      </w:r>
      <w:bookmarkEnd w:id="60"/>
      <w:bookmarkEnd w:id="61"/>
      <w:bookmarkEnd w:id="62"/>
    </w:p>
    <w:p>
      <w:pPr>
        <w:spacing w:line="600" w:lineRule="exact"/>
        <w:ind w:firstLine="640"/>
        <w:outlineLvl w:val="2"/>
        <w:rPr>
          <w:rFonts w:ascii="仿宋" w:hAnsi="仿宋" w:eastAsia="仿宋"/>
          <w:b/>
          <w:color w:val="auto"/>
          <w:sz w:val="32"/>
          <w:szCs w:val="32"/>
          <w:highlight w:val="none"/>
        </w:rPr>
      </w:pPr>
      <w:bookmarkStart w:id="63" w:name="_Toc15377216"/>
      <w:r>
        <w:rPr>
          <w:rFonts w:hint="eastAsia" w:ascii="仿宋" w:hAnsi="仿宋" w:eastAsia="仿宋"/>
          <w:b/>
          <w:color w:val="auto"/>
          <w:sz w:val="32"/>
          <w:szCs w:val="32"/>
          <w:highlight w:val="none"/>
        </w:rPr>
        <w:t>（一）“三公”经费财政拨款支出决算总体情况说明</w:t>
      </w:r>
      <w:bookmarkEnd w:id="63"/>
    </w:p>
    <w:p>
      <w:pPr>
        <w:spacing w:line="600" w:lineRule="exact"/>
        <w:ind w:firstLine="64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年“三公”经费财政拨款支出决算为</w:t>
      </w:r>
      <w:r>
        <w:rPr>
          <w:rFonts w:hint="eastAsia" w:ascii="仿宋" w:hAnsi="仿宋" w:eastAsia="仿宋"/>
          <w:color w:val="auto"/>
          <w:sz w:val="32"/>
          <w:szCs w:val="32"/>
          <w:highlight w:val="none"/>
          <w:lang w:val="en-US" w:eastAsia="zh-CN"/>
        </w:rPr>
        <w:t>15.89</w:t>
      </w:r>
      <w:r>
        <w:rPr>
          <w:rFonts w:hint="eastAsia" w:ascii="仿宋" w:hAnsi="仿宋" w:eastAsia="仿宋"/>
          <w:color w:val="auto"/>
          <w:sz w:val="32"/>
          <w:szCs w:val="32"/>
          <w:highlight w:val="none"/>
        </w:rPr>
        <w:t>万元，完成预算</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color w:val="000000"/>
          <w:sz w:val="32"/>
          <w:szCs w:val="32"/>
        </w:rPr>
        <w:t>决算数与预算数持平。</w:t>
      </w:r>
      <w:r>
        <w:rPr>
          <w:rFonts w:hint="eastAsia" w:ascii="仿宋" w:hAnsi="仿宋" w:eastAsia="仿宋"/>
          <w:color w:val="auto"/>
          <w:sz w:val="32"/>
          <w:szCs w:val="32"/>
          <w:highlight w:val="none"/>
        </w:rPr>
        <w:t>。</w:t>
      </w:r>
    </w:p>
    <w:p>
      <w:pPr>
        <w:spacing w:line="600" w:lineRule="exact"/>
        <w:ind w:firstLine="640"/>
        <w:outlineLvl w:val="2"/>
        <w:rPr>
          <w:rFonts w:ascii="仿宋" w:hAnsi="仿宋" w:eastAsia="仿宋"/>
          <w:b/>
          <w:color w:val="auto"/>
          <w:sz w:val="32"/>
          <w:szCs w:val="32"/>
          <w:highlight w:val="none"/>
        </w:rPr>
      </w:pPr>
      <w:bookmarkStart w:id="64" w:name="_Toc15377217"/>
      <w:r>
        <w:rPr>
          <w:rFonts w:hint="eastAsia" w:ascii="仿宋" w:hAnsi="仿宋" w:eastAsia="仿宋"/>
          <w:b/>
          <w:color w:val="auto"/>
          <w:sz w:val="32"/>
          <w:szCs w:val="32"/>
          <w:highlight w:val="none"/>
        </w:rPr>
        <w:t>（二）“三公”经费财政拨款支出决算具体情况说明</w:t>
      </w:r>
      <w:bookmarkEnd w:id="64"/>
    </w:p>
    <w:p>
      <w:pPr>
        <w:spacing w:line="600" w:lineRule="exact"/>
        <w:ind w:firstLine="640"/>
        <w:rPr>
          <w:rFonts w:hint="eastAsia" w:ascii="仿宋" w:hAnsi="仿宋" w:eastAsia="仿宋"/>
          <w:color w:val="000000"/>
          <w:sz w:val="32"/>
          <w:szCs w:val="32"/>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w:t>
      </w:r>
      <w:r>
        <w:rPr>
          <w:rFonts w:hint="eastAsia" w:ascii="仿宋" w:hAnsi="仿宋" w:eastAsia="仿宋"/>
          <w:color w:val="000000"/>
          <w:sz w:val="32"/>
          <w:szCs w:val="32"/>
        </w:rPr>
        <w:t>年“三公”经费财政拨款支出决算中，因公出国（境）费支出决算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；公务用车购置及运行维护费支出决算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；公务接待费支出决算</w:t>
      </w:r>
      <w:r>
        <w:rPr>
          <w:rFonts w:hint="eastAsia" w:ascii="仿宋" w:hAnsi="仿宋" w:eastAsia="仿宋"/>
          <w:color w:val="000000"/>
          <w:sz w:val="32"/>
          <w:szCs w:val="32"/>
          <w:lang w:val="en-US" w:eastAsia="zh-CN"/>
        </w:rPr>
        <w:t>15.9</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。具体情况如下：</w:t>
      </w:r>
    </w:p>
    <w:p>
      <w:pPr>
        <w:pStyle w:val="33"/>
      </w:pPr>
      <w:r>
        <w:rPr>
          <w:rFonts w:hint="eastAsia" w:ascii="仿宋" w:hAnsi="仿宋" w:eastAsia="仿宋"/>
          <w:color w:val="000000"/>
          <w:sz w:val="32"/>
          <w:szCs w:val="32"/>
          <w:lang w:eastAsia="zh-CN"/>
        </w:rPr>
        <w:object>
          <v:shape id="_x0000_i1030" o:spt="75" type="#_x0000_t75" style="height:219.6pt;width:402.7pt;" o:ole="t" filled="f" o:preferrelative="t" stroked="f" coordsize="21600,21600">
            <v:path/>
            <v:fill on="f" focussize="0,0"/>
            <v:stroke on="f"/>
            <v:imagedata r:id="rId22" o:title=""/>
            <o:lock v:ext="edit" aspectratio="t"/>
            <w10:wrap type="none"/>
            <w10:anchorlock/>
          </v:shape>
          <o:OLEObject Type="Embed" ProgID="Excel.Chart.8" ShapeID="_x0000_i1030" DrawAspect="Content" ObjectID="_1468075731" r:id="rId21">
            <o:LockedField>false</o:LockedField>
          </o:OLEObject>
        </w:object>
      </w:r>
    </w:p>
    <w:p>
      <w:pPr>
        <w:jc w:val="center"/>
        <w:rPr>
          <w:rFonts w:hint="eastAsia" w:ascii="仿宋" w:hAnsi="仿宋" w:eastAsia="仿宋" w:cs="Times New Roman"/>
          <w:color w:val="auto"/>
          <w:kern w:val="2"/>
          <w:sz w:val="28"/>
          <w:szCs w:val="28"/>
          <w:highlight w:val="none"/>
          <w:lang w:val="en-US" w:eastAsia="zh-CN" w:bidi="ar-SA"/>
        </w:rPr>
      </w:pPr>
      <w:r>
        <w:rPr>
          <w:rFonts w:hint="eastAsia" w:ascii="仿宋" w:hAnsi="仿宋" w:eastAsia="仿宋" w:cs="Times New Roman"/>
          <w:color w:val="auto"/>
          <w:kern w:val="2"/>
          <w:sz w:val="28"/>
          <w:szCs w:val="28"/>
          <w:highlight w:val="none"/>
          <w:lang w:val="en-US" w:eastAsia="zh-CN" w:bidi="ar-SA"/>
        </w:rPr>
        <w:t>（图7：“三公”经费财政拨款支出结构）（饼状图）</w:t>
      </w:r>
    </w:p>
    <w:p>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1.</w:t>
      </w:r>
      <w:r>
        <w:rPr>
          <w:rFonts w:hint="eastAsia" w:ascii="仿宋_GB2312" w:eastAsia="仿宋_GB2312"/>
          <w:b/>
          <w:color w:val="000000"/>
          <w:sz w:val="32"/>
          <w:szCs w:val="32"/>
        </w:rPr>
        <w:t>因公出国（境）经费支出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2.</w:t>
      </w:r>
      <w:r>
        <w:rPr>
          <w:rFonts w:hint="eastAsia" w:ascii="仿宋_GB2312" w:eastAsia="仿宋_GB2312"/>
          <w:b/>
          <w:color w:val="000000"/>
          <w:sz w:val="32"/>
          <w:szCs w:val="32"/>
        </w:rPr>
        <w:t>公务用车购置及运行维护费支出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w:t>
      </w:r>
    </w:p>
    <w:p>
      <w:pPr>
        <w:spacing w:line="600" w:lineRule="exact"/>
        <w:ind w:firstLine="640"/>
        <w:rPr>
          <w:rFonts w:ascii="仿宋_GB2312" w:eastAsia="仿宋_GB2312"/>
          <w:color w:val="000000"/>
          <w:sz w:val="32"/>
          <w:szCs w:val="32"/>
        </w:rPr>
      </w:pPr>
      <w:r>
        <w:rPr>
          <w:rFonts w:ascii="仿宋_GB2312" w:eastAsia="仿宋_GB2312"/>
          <w:b/>
          <w:color w:val="000000"/>
          <w:sz w:val="32"/>
          <w:szCs w:val="32"/>
        </w:rPr>
        <w:t>3.</w:t>
      </w:r>
      <w:r>
        <w:rPr>
          <w:rFonts w:hint="eastAsia" w:ascii="仿宋_GB2312" w:eastAsia="仿宋_GB2312"/>
          <w:b/>
          <w:color w:val="000000"/>
          <w:sz w:val="32"/>
          <w:szCs w:val="32"/>
        </w:rPr>
        <w:t>公务接待费支出</w:t>
      </w:r>
      <w:r>
        <w:rPr>
          <w:rFonts w:hint="eastAsia" w:ascii="仿宋_GB2312" w:eastAsia="仿宋_GB2312"/>
          <w:color w:val="000000"/>
          <w:sz w:val="32"/>
          <w:szCs w:val="32"/>
          <w:lang w:val="en-US" w:eastAsia="zh-CN"/>
        </w:rPr>
        <w:t>15.89</w:t>
      </w:r>
      <w:r>
        <w:rPr>
          <w:rFonts w:hint="eastAsia" w:ascii="仿宋_GB2312" w:eastAsia="仿宋_GB2312"/>
          <w:color w:val="000000"/>
          <w:sz w:val="32"/>
          <w:szCs w:val="32"/>
        </w:rPr>
        <w:t>万元，</w:t>
      </w:r>
      <w:r>
        <w:rPr>
          <w:rStyle w:val="16"/>
          <w:rFonts w:hint="eastAsia" w:ascii="仿宋" w:hAnsi="仿宋" w:eastAsia="仿宋"/>
          <w:b w:val="0"/>
          <w:bCs/>
          <w:color w:val="000000"/>
          <w:sz w:val="32"/>
          <w:szCs w:val="32"/>
        </w:rPr>
        <w:t>完成预算</w:t>
      </w:r>
      <w:r>
        <w:rPr>
          <w:rStyle w:val="16"/>
          <w:rFonts w:hint="eastAsia" w:ascii="仿宋" w:hAnsi="仿宋" w:eastAsia="仿宋"/>
          <w:b w:val="0"/>
          <w:bCs/>
          <w:color w:val="000000"/>
          <w:sz w:val="32"/>
          <w:szCs w:val="32"/>
          <w:lang w:val="en-US" w:eastAsia="zh-CN"/>
        </w:rPr>
        <w:t>100</w:t>
      </w:r>
      <w:r>
        <w:rPr>
          <w:rStyle w:val="16"/>
          <w:rFonts w:ascii="仿宋" w:hAnsi="仿宋" w:eastAsia="仿宋"/>
          <w:b w:val="0"/>
          <w:bCs/>
          <w:color w:val="000000"/>
          <w:sz w:val="32"/>
          <w:szCs w:val="32"/>
        </w:rPr>
        <w:t>%</w:t>
      </w:r>
      <w:r>
        <w:rPr>
          <w:rStyle w:val="16"/>
          <w:rFonts w:hint="eastAsia" w:ascii="仿宋" w:hAnsi="仿宋" w:eastAsia="仿宋"/>
          <w:b w:val="0"/>
          <w:bCs/>
          <w:color w:val="000000"/>
          <w:sz w:val="32"/>
          <w:szCs w:val="32"/>
        </w:rPr>
        <w:t>。</w:t>
      </w:r>
      <w:r>
        <w:rPr>
          <w:rFonts w:hint="eastAsia" w:ascii="仿宋_GB2312" w:eastAsia="仿宋_GB2312"/>
          <w:color w:val="000000"/>
          <w:sz w:val="32"/>
          <w:szCs w:val="32"/>
        </w:rPr>
        <w:t>公务接待费支出决算</w:t>
      </w:r>
      <w:r>
        <w:rPr>
          <w:rFonts w:hint="eastAsia" w:ascii="仿宋_GB2312" w:eastAsia="仿宋_GB2312"/>
          <w:color w:val="000000"/>
          <w:sz w:val="32"/>
          <w:szCs w:val="32"/>
          <w:lang w:val="en-US" w:eastAsia="zh-CN"/>
        </w:rPr>
        <w:t>与2020</w:t>
      </w:r>
      <w:r>
        <w:rPr>
          <w:rFonts w:hint="eastAsia" w:ascii="仿宋_GB2312" w:eastAsia="仿宋_GB2312"/>
          <w:color w:val="000000"/>
          <w:sz w:val="32"/>
          <w:szCs w:val="32"/>
        </w:rPr>
        <w:t>年</w:t>
      </w:r>
      <w:r>
        <w:rPr>
          <w:rFonts w:hint="eastAsia" w:ascii="仿宋_GB2312" w:eastAsia="仿宋_GB2312"/>
          <w:color w:val="000000"/>
          <w:sz w:val="32"/>
          <w:szCs w:val="32"/>
          <w:lang w:val="en-US" w:eastAsia="zh-CN"/>
        </w:rPr>
        <w:t>持平</w:t>
      </w:r>
      <w:r>
        <w:rPr>
          <w:rFonts w:hint="eastAsia" w:ascii="仿宋_GB2312" w:eastAsia="仿宋_GB2312"/>
          <w:color w:val="000000"/>
          <w:sz w:val="32"/>
          <w:szCs w:val="32"/>
        </w:rPr>
        <w:t>。其中：</w:t>
      </w:r>
    </w:p>
    <w:p>
      <w:pPr>
        <w:spacing w:line="600" w:lineRule="exact"/>
        <w:ind w:firstLine="640"/>
        <w:rPr>
          <w:rFonts w:ascii="仿宋_GB2312" w:eastAsia="仿宋_GB2312"/>
          <w:color w:val="000000"/>
          <w:sz w:val="32"/>
          <w:szCs w:val="32"/>
        </w:rPr>
      </w:pPr>
      <w:r>
        <w:rPr>
          <w:rFonts w:hint="eastAsia" w:ascii="仿宋" w:hAnsi="仿宋" w:eastAsia="仿宋"/>
          <w:b/>
          <w:color w:val="000000"/>
          <w:sz w:val="32"/>
          <w:szCs w:val="32"/>
        </w:rPr>
        <w:t>国内公务接待支出</w:t>
      </w:r>
      <w:r>
        <w:rPr>
          <w:rFonts w:hint="eastAsia" w:ascii="仿宋" w:hAnsi="仿宋" w:eastAsia="仿宋"/>
          <w:color w:val="000000"/>
          <w:sz w:val="32"/>
          <w:szCs w:val="32"/>
          <w:lang w:val="en-US" w:eastAsia="zh-CN"/>
        </w:rPr>
        <w:t>15.89</w:t>
      </w:r>
      <w:r>
        <w:rPr>
          <w:rFonts w:hint="eastAsia" w:ascii="仿宋_GB2312" w:eastAsia="仿宋_GB2312"/>
          <w:color w:val="000000"/>
          <w:sz w:val="32"/>
          <w:szCs w:val="32"/>
        </w:rPr>
        <w:t>万元，主要用于执行公务、开展业务活动开支的交通费、住宿费、用餐费等。国内公务接待</w:t>
      </w:r>
      <w:r>
        <w:rPr>
          <w:rFonts w:hint="eastAsia" w:ascii="仿宋_GB2312" w:eastAsia="仿宋_GB2312"/>
          <w:color w:val="000000"/>
          <w:sz w:val="32"/>
          <w:szCs w:val="32"/>
          <w:lang w:val="en-US" w:eastAsia="zh-CN"/>
        </w:rPr>
        <w:t>158</w:t>
      </w:r>
      <w:r>
        <w:rPr>
          <w:rFonts w:hint="eastAsia" w:ascii="仿宋_GB2312" w:eastAsia="仿宋_GB2312"/>
          <w:color w:val="000000"/>
          <w:sz w:val="32"/>
          <w:szCs w:val="32"/>
        </w:rPr>
        <w:t>批次，</w:t>
      </w:r>
      <w:r>
        <w:rPr>
          <w:rFonts w:hint="eastAsia" w:ascii="仿宋_GB2312" w:eastAsia="仿宋_GB2312"/>
          <w:color w:val="000000"/>
          <w:sz w:val="32"/>
          <w:szCs w:val="32"/>
          <w:lang w:val="en-US" w:eastAsia="zh-CN"/>
        </w:rPr>
        <w:t>2850</w:t>
      </w:r>
      <w:r>
        <w:rPr>
          <w:rFonts w:hint="eastAsia" w:ascii="仿宋_GB2312" w:eastAsia="仿宋_GB2312"/>
          <w:color w:val="000000"/>
          <w:sz w:val="32"/>
          <w:szCs w:val="32"/>
        </w:rPr>
        <w:t>人次（不包括陪同人员），共计支出</w:t>
      </w:r>
      <w:r>
        <w:rPr>
          <w:rFonts w:hint="eastAsia" w:ascii="仿宋_GB2312" w:eastAsia="仿宋_GB2312"/>
          <w:color w:val="000000"/>
          <w:sz w:val="32"/>
          <w:szCs w:val="32"/>
          <w:lang w:val="en-US" w:eastAsia="zh-CN"/>
        </w:rPr>
        <w:t>15.89</w:t>
      </w:r>
      <w:r>
        <w:rPr>
          <w:rFonts w:hint="eastAsia" w:ascii="仿宋_GB2312" w:eastAsia="仿宋_GB2312"/>
          <w:color w:val="000000"/>
          <w:sz w:val="32"/>
          <w:szCs w:val="32"/>
        </w:rPr>
        <w:t>万元，具体内容包括：主要领导开展投促活动</w:t>
      </w:r>
      <w:r>
        <w:rPr>
          <w:rFonts w:hint="eastAsia" w:ascii="仿宋_GB2312" w:eastAsia="仿宋_GB2312"/>
          <w:color w:val="000000"/>
          <w:sz w:val="32"/>
          <w:szCs w:val="32"/>
          <w:lang w:val="en-US" w:eastAsia="zh-CN"/>
        </w:rPr>
        <w:t>30余</w:t>
      </w:r>
      <w:r>
        <w:rPr>
          <w:rFonts w:hint="eastAsia" w:ascii="仿宋_GB2312" w:eastAsia="仿宋_GB2312"/>
          <w:color w:val="000000"/>
          <w:sz w:val="32"/>
          <w:szCs w:val="32"/>
        </w:rPr>
        <w:t>次</w:t>
      </w:r>
      <w:r>
        <w:rPr>
          <w:rFonts w:hint="eastAsia" w:ascii="仿宋_GB2312" w:eastAsia="仿宋_GB2312"/>
          <w:color w:val="000000"/>
          <w:sz w:val="32"/>
          <w:szCs w:val="32"/>
          <w:lang w:eastAsia="zh-CN"/>
        </w:rPr>
        <w:t>，</w:t>
      </w:r>
      <w:r>
        <w:rPr>
          <w:rFonts w:hint="eastAsia" w:ascii="仿宋_GB2312" w:eastAsia="仿宋_GB2312"/>
          <w:color w:val="000000"/>
          <w:sz w:val="32"/>
          <w:szCs w:val="32"/>
          <w:lang w:val="en-US" w:eastAsia="zh-CN"/>
        </w:rPr>
        <w:t>客商来访、小分队外出招商278次</w:t>
      </w:r>
      <w:r>
        <w:rPr>
          <w:rFonts w:hint="eastAsia" w:ascii="仿宋_GB2312" w:eastAsia="仿宋_GB2312"/>
          <w:color w:val="000000"/>
          <w:sz w:val="32"/>
          <w:szCs w:val="32"/>
        </w:rPr>
        <w:t>。</w:t>
      </w:r>
    </w:p>
    <w:p>
      <w:pPr>
        <w:spacing w:line="600" w:lineRule="exact"/>
        <w:ind w:firstLine="640"/>
        <w:outlineLvl w:val="1"/>
        <w:rPr>
          <w:rStyle w:val="28"/>
          <w:rFonts w:ascii="黑体" w:hAnsi="黑体" w:eastAsia="黑体"/>
          <w:color w:val="auto"/>
          <w:highlight w:val="none"/>
        </w:rPr>
      </w:pPr>
      <w:bookmarkStart w:id="65" w:name="_Toc15377218"/>
      <w:bookmarkStart w:id="66" w:name="_Toc22428"/>
      <w:bookmarkStart w:id="67" w:name="_Toc15396610"/>
      <w:r>
        <w:rPr>
          <w:rFonts w:hint="eastAsia" w:ascii="黑体" w:eastAsia="黑体"/>
          <w:color w:val="auto"/>
          <w:sz w:val="32"/>
          <w:szCs w:val="32"/>
          <w:highlight w:val="none"/>
        </w:rPr>
        <w:t>八、</w:t>
      </w:r>
      <w:r>
        <w:rPr>
          <w:rStyle w:val="28"/>
          <w:rFonts w:hint="eastAsia" w:ascii="黑体" w:hAnsi="黑体" w:eastAsia="黑体"/>
          <w:b w:val="0"/>
          <w:color w:val="auto"/>
          <w:highlight w:val="none"/>
        </w:rPr>
        <w:t>政府性基金预算支出决算情况说明</w:t>
      </w:r>
      <w:bookmarkEnd w:id="65"/>
      <w:bookmarkEnd w:id="66"/>
      <w:bookmarkEnd w:id="67"/>
    </w:p>
    <w:p>
      <w:pPr>
        <w:spacing w:line="600" w:lineRule="exact"/>
        <w:ind w:firstLine="640"/>
        <w:rPr>
          <w:rFonts w:hint="eastAsia" w:ascii="仿宋_GB2312" w:eastAsia="仿宋_GB2312"/>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年政府性基金预算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pStyle w:val="6"/>
      </w:pPr>
    </w:p>
    <w:p>
      <w:pPr>
        <w:numPr>
          <w:ilvl w:val="0"/>
          <w:numId w:val="2"/>
        </w:numPr>
        <w:spacing w:line="600" w:lineRule="exact"/>
        <w:ind w:firstLine="640"/>
        <w:outlineLvl w:val="1"/>
        <w:rPr>
          <w:rStyle w:val="28"/>
          <w:rFonts w:ascii="黑体" w:hAnsi="黑体" w:eastAsia="黑体"/>
          <w:b w:val="0"/>
          <w:color w:val="auto"/>
          <w:highlight w:val="none"/>
        </w:rPr>
      </w:pPr>
      <w:bookmarkStart w:id="68" w:name="_Toc29978"/>
      <w:bookmarkStart w:id="69" w:name="_Toc15396611"/>
      <w:bookmarkStart w:id="70" w:name="_Toc15377219"/>
      <w:r>
        <w:rPr>
          <w:rStyle w:val="28"/>
          <w:rFonts w:hint="eastAsia" w:ascii="黑体" w:hAnsi="黑体" w:eastAsia="黑体"/>
          <w:b w:val="0"/>
          <w:color w:val="auto"/>
          <w:highlight w:val="none"/>
        </w:rPr>
        <w:t>国有资本经营预算支出决算情况说明</w:t>
      </w:r>
      <w:bookmarkEnd w:id="68"/>
      <w:bookmarkEnd w:id="69"/>
      <w:bookmarkEnd w:id="70"/>
    </w:p>
    <w:p>
      <w:pPr>
        <w:spacing w:line="600" w:lineRule="exact"/>
        <w:ind w:firstLine="640"/>
        <w:rPr>
          <w:rFonts w:hint="eastAsia"/>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年国有资本经营预算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bookmarkStart w:id="71" w:name="_Toc15377221"/>
      <w:bookmarkStart w:id="72" w:name="_Toc15396612"/>
    </w:p>
    <w:p>
      <w:pPr>
        <w:numPr>
          <w:ilvl w:val="0"/>
          <w:numId w:val="2"/>
        </w:numPr>
        <w:spacing w:line="600" w:lineRule="exact"/>
        <w:ind w:firstLine="640"/>
        <w:outlineLvl w:val="1"/>
        <w:rPr>
          <w:rStyle w:val="28"/>
          <w:rFonts w:hint="eastAsia" w:ascii="黑体" w:hAnsi="黑体" w:eastAsia="黑体"/>
          <w:b w:val="0"/>
          <w:color w:val="auto"/>
          <w:highlight w:val="none"/>
        </w:rPr>
      </w:pPr>
      <w:bookmarkStart w:id="73" w:name="_Toc17616"/>
      <w:r>
        <w:rPr>
          <w:rStyle w:val="28"/>
          <w:rFonts w:hint="eastAsia" w:ascii="黑体" w:hAnsi="黑体" w:eastAsia="黑体"/>
          <w:b w:val="0"/>
          <w:color w:val="auto"/>
          <w:highlight w:val="none"/>
          <w:lang w:val="en-US" w:eastAsia="zh-CN"/>
        </w:rPr>
        <w:t>预算绩效管理情况</w:t>
      </w:r>
      <w:bookmarkEnd w:id="73"/>
    </w:p>
    <w:p>
      <w:pPr>
        <w:autoSpaceDE w:val="0"/>
        <w:autoSpaceDN w:val="0"/>
        <w:adjustRightInd w:val="0"/>
        <w:spacing w:line="600" w:lineRule="exact"/>
        <w:ind w:firstLine="640" w:firstLineChars="200"/>
        <w:jc w:val="left"/>
        <w:rPr>
          <w:rFonts w:hint="eastAsia" w:ascii="仿宋_GB2312" w:hAnsi="Times New Roman" w:eastAsia="仿宋_GB2312" w:cs="Times New Roman"/>
          <w:color w:val="000000"/>
          <w:sz w:val="32"/>
          <w:szCs w:val="32"/>
        </w:rPr>
      </w:pPr>
      <w:r>
        <w:rPr>
          <w:rFonts w:hint="eastAsia" w:ascii="仿宋_GB2312" w:hAnsi="Times New Roman" w:eastAsia="仿宋_GB2312" w:cs="Times New Roman"/>
          <w:color w:val="000000"/>
          <w:sz w:val="32"/>
          <w:szCs w:val="32"/>
        </w:rPr>
        <w:t>根据预算绩效管理要求，</w:t>
      </w:r>
      <w:r>
        <w:rPr>
          <w:rFonts w:hint="eastAsia" w:ascii="仿宋_GB2312" w:hAnsi="Times New Roman" w:eastAsia="仿宋_GB2312" w:cs="Times New Roman"/>
          <w:color w:val="000000"/>
          <w:sz w:val="32"/>
          <w:szCs w:val="32"/>
          <w:lang w:val="en-US" w:eastAsia="zh-CN"/>
        </w:rPr>
        <w:t>本</w:t>
      </w:r>
      <w:r>
        <w:rPr>
          <w:rFonts w:hint="eastAsia" w:ascii="仿宋_GB2312" w:hAnsi="Times New Roman" w:eastAsia="仿宋_GB2312" w:cs="Times New Roman"/>
          <w:color w:val="000000"/>
          <w:sz w:val="32"/>
          <w:szCs w:val="32"/>
        </w:rPr>
        <w:t>单位在年初预算编制阶段，组织对</w:t>
      </w:r>
      <w:r>
        <w:rPr>
          <w:rFonts w:hint="eastAsia" w:ascii="仿宋_GB2312" w:hAnsi="Times New Roman" w:eastAsia="仿宋_GB2312" w:cs="Times New Roman"/>
          <w:color w:val="000000"/>
          <w:sz w:val="32"/>
          <w:szCs w:val="32"/>
          <w:lang w:val="en-US" w:eastAsia="zh-CN"/>
        </w:rPr>
        <w:t>3个</w:t>
      </w:r>
      <w:r>
        <w:rPr>
          <w:rFonts w:hint="eastAsia" w:ascii="仿宋_GB2312" w:hAnsi="Times New Roman" w:eastAsia="仿宋_GB2312" w:cs="Times New Roman"/>
          <w:color w:val="000000"/>
          <w:sz w:val="32"/>
          <w:szCs w:val="32"/>
        </w:rPr>
        <w:t>项目（</w:t>
      </w:r>
      <w:r>
        <w:rPr>
          <w:rFonts w:hint="eastAsia" w:ascii="仿宋_GB2312" w:hAnsi="Times New Roman" w:eastAsia="仿宋_GB2312" w:cs="Times New Roman"/>
          <w:color w:val="000000"/>
          <w:sz w:val="32"/>
          <w:szCs w:val="32"/>
          <w:lang w:val="en-US" w:eastAsia="zh-CN"/>
        </w:rPr>
        <w:t>招商分局经费</w:t>
      </w:r>
      <w:r>
        <w:rPr>
          <w:rFonts w:hint="eastAsia" w:ascii="仿宋_GB2312" w:hAnsi="Times New Roman" w:eastAsia="仿宋_GB2312" w:cs="Times New Roman"/>
          <w:color w:val="000000"/>
          <w:sz w:val="32"/>
          <w:szCs w:val="32"/>
        </w:rPr>
        <w:t>、</w:t>
      </w:r>
      <w:r>
        <w:rPr>
          <w:rFonts w:hint="eastAsia" w:ascii="仿宋_GB2312" w:hAnsi="Times New Roman" w:eastAsia="仿宋_GB2312" w:cs="Times New Roman"/>
          <w:color w:val="000000"/>
          <w:sz w:val="32"/>
          <w:szCs w:val="32"/>
          <w:lang w:val="en-US" w:eastAsia="zh-CN"/>
        </w:rPr>
        <w:t>招商宣传资料费</w:t>
      </w:r>
      <w:r>
        <w:rPr>
          <w:rFonts w:hint="eastAsia" w:ascii="仿宋_GB2312" w:hAnsi="Times New Roman" w:eastAsia="仿宋_GB2312" w:cs="Times New Roman"/>
          <w:color w:val="000000"/>
          <w:sz w:val="32"/>
          <w:szCs w:val="32"/>
        </w:rPr>
        <w:t>、</w:t>
      </w:r>
      <w:r>
        <w:rPr>
          <w:rFonts w:hint="eastAsia" w:ascii="仿宋_GB2312" w:hAnsi="Times New Roman" w:eastAsia="仿宋_GB2312" w:cs="Times New Roman"/>
          <w:color w:val="000000"/>
          <w:sz w:val="32"/>
          <w:szCs w:val="32"/>
          <w:lang w:val="en-US" w:eastAsia="zh-CN"/>
        </w:rPr>
        <w:t>基层党组织活动经费</w:t>
      </w:r>
      <w:r>
        <w:rPr>
          <w:rFonts w:hint="eastAsia" w:ascii="仿宋_GB2312" w:hAnsi="Times New Roman" w:eastAsia="仿宋_GB2312" w:cs="Times New Roman"/>
          <w:color w:val="000000"/>
          <w:sz w:val="32"/>
          <w:szCs w:val="32"/>
        </w:rPr>
        <w:t>）开展了预算事前绩效评估，对3个项目编制了绩效目标，预算执行过程中，选取3个项目开展绩效监控，年终执行完毕后，对3个项目开展了绩效目标完成情况自评。</w:t>
      </w:r>
    </w:p>
    <w:p>
      <w:pPr>
        <w:autoSpaceDE w:val="0"/>
        <w:autoSpaceDN w:val="0"/>
        <w:adjustRightInd w:val="0"/>
        <w:spacing w:line="600" w:lineRule="exact"/>
        <w:ind w:firstLine="640" w:firstLineChars="200"/>
        <w:jc w:val="left"/>
        <w:rPr>
          <w:rFonts w:hint="eastAsia" w:ascii="仿宋_GB2312" w:hAnsi="Times New Roman" w:eastAsia="仿宋_GB2312" w:cs="Times New Roman"/>
          <w:color w:val="000000"/>
          <w:sz w:val="32"/>
          <w:szCs w:val="32"/>
        </w:rPr>
      </w:pPr>
      <w:r>
        <w:rPr>
          <w:rFonts w:hint="eastAsia" w:ascii="仿宋_GB2312" w:hAnsi="Times New Roman" w:eastAsia="仿宋_GB2312" w:cs="Times New Roman"/>
          <w:color w:val="000000"/>
          <w:sz w:val="32"/>
          <w:szCs w:val="32"/>
        </w:rPr>
        <w:t>本</w:t>
      </w:r>
      <w:r>
        <w:rPr>
          <w:rFonts w:hint="eastAsia" w:ascii="仿宋_GB2312" w:hAnsi="Times New Roman" w:eastAsia="仿宋_GB2312" w:cs="Times New Roman"/>
          <w:color w:val="000000"/>
          <w:sz w:val="32"/>
          <w:szCs w:val="32"/>
          <w:lang w:val="en-US" w:eastAsia="zh-CN"/>
        </w:rPr>
        <w:t>单位</w:t>
      </w:r>
      <w:r>
        <w:rPr>
          <w:rFonts w:hint="eastAsia" w:ascii="仿宋_GB2312" w:hAnsi="Times New Roman" w:eastAsia="仿宋_GB2312" w:cs="Times New Roman"/>
          <w:color w:val="000000"/>
          <w:sz w:val="32"/>
          <w:szCs w:val="32"/>
        </w:rPr>
        <w:t>按要求对2021年部门整体支出开展绩效自评，从评价情况来看相关职能部门做好了常规工作,处理突发事件及时有效;落实好人员经费,按月足额保障单位人员的工资、养老保险、医疗保险和住房公积金等;开展好各个项目工作。年终目标完成良好。本</w:t>
      </w:r>
      <w:r>
        <w:rPr>
          <w:rFonts w:hint="eastAsia" w:ascii="仿宋_GB2312" w:hAnsi="Times New Roman" w:eastAsia="仿宋_GB2312" w:cs="Times New Roman"/>
          <w:color w:val="000000"/>
          <w:sz w:val="32"/>
          <w:szCs w:val="32"/>
          <w:lang w:val="en-US" w:eastAsia="zh-CN"/>
        </w:rPr>
        <w:t>单位</w:t>
      </w:r>
      <w:r>
        <w:rPr>
          <w:rFonts w:hint="eastAsia" w:ascii="仿宋_GB2312" w:hAnsi="Times New Roman" w:eastAsia="仿宋_GB2312" w:cs="Times New Roman"/>
          <w:color w:val="000000"/>
          <w:sz w:val="32"/>
          <w:szCs w:val="32"/>
        </w:rPr>
        <w:t>还自行组织了3个项目支出绩效评价，从评价情况来看预算执行进度符合财政要求,各项支出遵照预算执行,着力提高预算执行能力,预算完成情况良好,无违规情况。</w:t>
      </w:r>
    </w:p>
    <w:p>
      <w:pPr>
        <w:numPr>
          <w:ilvl w:val="0"/>
          <w:numId w:val="0"/>
        </w:numPr>
        <w:autoSpaceDE w:val="0"/>
        <w:autoSpaceDN w:val="0"/>
        <w:adjustRightInd w:val="0"/>
        <w:spacing w:line="600" w:lineRule="exact"/>
        <w:ind w:firstLine="640" w:firstLineChars="200"/>
        <w:jc w:val="left"/>
        <w:rPr>
          <w:rFonts w:hint="eastAsia" w:ascii="仿宋_GB2312" w:hAnsi="Times New Roman" w:eastAsia="仿宋_GB2312" w:cs="Times New Roman"/>
          <w:color w:val="000000"/>
          <w:sz w:val="32"/>
          <w:szCs w:val="32"/>
        </w:rPr>
      </w:pPr>
      <w:r>
        <w:rPr>
          <w:rFonts w:hint="eastAsia" w:ascii="仿宋_GB2312" w:hAnsi="Times New Roman" w:eastAsia="仿宋_GB2312" w:cs="Times New Roman"/>
          <w:color w:val="000000"/>
          <w:sz w:val="32"/>
          <w:szCs w:val="32"/>
          <w:lang w:val="en-US" w:eastAsia="zh-CN"/>
        </w:rPr>
        <w:t>1.</w:t>
      </w:r>
      <w:r>
        <w:rPr>
          <w:rFonts w:hint="eastAsia" w:ascii="仿宋_GB2312" w:hAnsi="Times New Roman" w:eastAsia="仿宋_GB2312" w:cs="Times New Roman"/>
          <w:color w:val="000000"/>
          <w:sz w:val="32"/>
          <w:szCs w:val="32"/>
        </w:rPr>
        <w:t>项目绩效目标完成情况。根据预算绩效管理要求，本部门在年初预算编制阶段，组织对本部门项目开展了预算事前绩效评估，对</w:t>
      </w:r>
      <w:r>
        <w:rPr>
          <w:rFonts w:hint="eastAsia" w:ascii="仿宋_GB2312" w:hAnsi="Times New Roman" w:eastAsia="仿宋_GB2312" w:cs="Times New Roman"/>
          <w:color w:val="000000"/>
          <w:sz w:val="32"/>
          <w:szCs w:val="32"/>
          <w:lang w:val="en-US" w:eastAsia="zh-CN"/>
        </w:rPr>
        <w:t>3</w:t>
      </w:r>
      <w:r>
        <w:rPr>
          <w:rFonts w:hint="eastAsia" w:ascii="仿宋_GB2312" w:hAnsi="Times New Roman" w:eastAsia="仿宋_GB2312" w:cs="Times New Roman"/>
          <w:color w:val="000000"/>
          <w:sz w:val="32"/>
          <w:szCs w:val="32"/>
        </w:rPr>
        <w:t>个项目编制了绩效目标，预算执行过程中，选取3个项目开展绩效监控，年终执行完毕后，对</w:t>
      </w:r>
      <w:r>
        <w:rPr>
          <w:rFonts w:hint="eastAsia" w:ascii="仿宋_GB2312" w:hAnsi="Times New Roman" w:eastAsia="仿宋_GB2312" w:cs="Times New Roman"/>
          <w:color w:val="000000"/>
          <w:sz w:val="32"/>
          <w:szCs w:val="32"/>
          <w:lang w:val="en-US" w:eastAsia="zh-CN"/>
        </w:rPr>
        <w:t>3</w:t>
      </w:r>
      <w:r>
        <w:rPr>
          <w:rFonts w:hint="eastAsia" w:ascii="仿宋_GB2312" w:hAnsi="Times New Roman" w:eastAsia="仿宋_GB2312" w:cs="Times New Roman"/>
          <w:color w:val="000000"/>
          <w:sz w:val="32"/>
          <w:szCs w:val="32"/>
        </w:rPr>
        <w:t>个项目开展了绩效目标完成情况梳理填报。</w:t>
      </w:r>
    </w:p>
    <w:p>
      <w:pPr>
        <w:numPr>
          <w:ilvl w:val="0"/>
          <w:numId w:val="0"/>
        </w:numPr>
        <w:spacing w:line="58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（1）招商引资宣传资料费项目绩效目标完成情况综述。项目全年预算数6.</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6万元，执行数为6.</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6万元，完成预算的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%。通过项目实施，保障了20</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年招商</w:t>
      </w:r>
      <w:r>
        <w:rPr>
          <w:rFonts w:hint="eastAsia" w:ascii="仿宋_GB2312" w:hAnsi="仿宋_GB2312" w:eastAsia="仿宋_GB2312" w:cs="仿宋_GB2312"/>
          <w:sz w:val="32"/>
          <w:szCs w:val="32"/>
          <w:lang w:val="en-US" w:eastAsia="zh-CN"/>
        </w:rPr>
        <w:t>引资宣传方面工作的正常开展，制作</w:t>
      </w:r>
      <w:r>
        <w:rPr>
          <w:rFonts w:hint="eastAsia" w:ascii="仿宋_GB2312" w:hAnsi="仿宋_GB2312" w:eastAsia="仿宋_GB2312" w:cs="仿宋_GB2312"/>
          <w:sz w:val="32"/>
          <w:szCs w:val="32"/>
        </w:rPr>
        <w:t>重点项目册1000册，招商宣传册1000册，各类项目宣传广告12批次。</w:t>
      </w:r>
    </w:p>
    <w:p>
      <w:pPr>
        <w:numPr>
          <w:ilvl w:val="0"/>
          <w:numId w:val="0"/>
        </w:numPr>
        <w:spacing w:line="580" w:lineRule="exact"/>
        <w:ind w:firstLine="640" w:firstLineChars="200"/>
        <w:rPr>
          <w:rFonts w:hint="eastAsia"/>
        </w:rPr>
      </w:pPr>
      <w:r>
        <w:rPr>
          <w:rFonts w:hint="eastAsia" w:ascii="仿宋_GB2312" w:hAnsi="仿宋_GB2312" w:eastAsia="仿宋_GB2312" w:cs="仿宋_GB2312"/>
          <w:sz w:val="32"/>
          <w:szCs w:val="32"/>
        </w:rPr>
        <w:t>（2）招商分局经费项目绩效目标完成情况综述。项目全年预算数</w:t>
      </w:r>
      <w:r>
        <w:rPr>
          <w:rFonts w:hint="eastAsia" w:ascii="仿宋_GB2312" w:hAnsi="仿宋_GB2312" w:eastAsia="仿宋_GB2312" w:cs="仿宋_GB2312"/>
          <w:sz w:val="32"/>
          <w:szCs w:val="32"/>
          <w:lang w:val="en-US" w:eastAsia="zh-CN"/>
        </w:rPr>
        <w:t>104</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104</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%。通过项目实施，保障</w:t>
      </w:r>
      <w:r>
        <w:rPr>
          <w:rFonts w:hint="eastAsia" w:ascii="仿宋_GB2312" w:hAnsi="仿宋_GB2312" w:eastAsia="仿宋_GB2312" w:cs="仿宋_GB2312"/>
          <w:sz w:val="32"/>
          <w:szCs w:val="32"/>
          <w:lang w:val="en-US" w:eastAsia="zh-CN"/>
        </w:rPr>
        <w:t>了我单位</w:t>
      </w:r>
      <w:r>
        <w:rPr>
          <w:rFonts w:hint="eastAsia" w:ascii="仿宋_GB2312" w:hAnsi="仿宋_GB2312" w:eastAsia="仿宋_GB2312" w:cs="仿宋_GB2312"/>
          <w:sz w:val="32"/>
          <w:szCs w:val="32"/>
        </w:rPr>
        <w:t>成都招商分局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广东招商分局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浙江招商分局</w:t>
      </w:r>
      <w:r>
        <w:rPr>
          <w:rFonts w:hint="eastAsia" w:ascii="仿宋_GB2312" w:hAnsi="仿宋_GB2312" w:eastAsia="仿宋_GB2312" w:cs="仿宋_GB2312"/>
          <w:sz w:val="32"/>
          <w:szCs w:val="32"/>
          <w:lang w:eastAsia="zh-CN"/>
        </w:rPr>
        <w:t>、北京</w:t>
      </w:r>
      <w:r>
        <w:rPr>
          <w:rFonts w:hint="eastAsia" w:ascii="仿宋_GB2312" w:hAnsi="仿宋_GB2312" w:eastAsia="仿宋_GB2312" w:cs="仿宋_GB2312"/>
          <w:sz w:val="32"/>
          <w:szCs w:val="32"/>
        </w:rPr>
        <w:t>招商分局招商工作顺利开展</w:t>
      </w:r>
      <w:r>
        <w:rPr>
          <w:rFonts w:hint="eastAsia" w:ascii="仿宋_GB2312" w:hAnsi="仿宋_GB2312" w:eastAsia="仿宋_GB2312" w:cs="仿宋_GB2312"/>
          <w:sz w:val="32"/>
          <w:szCs w:val="32"/>
          <w:lang w:val="en-US" w:eastAsia="zh-CN"/>
        </w:rPr>
        <w:t>。</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Times New Roman" w:eastAsia="仿宋_GB2312" w:cs="Times New Roman"/>
          <w:color w:val="000000"/>
          <w:sz w:val="32"/>
          <w:szCs w:val="32"/>
          <w:lang w:eastAsia="zh-CN"/>
        </w:rPr>
        <w:t>（</w:t>
      </w:r>
      <w:r>
        <w:rPr>
          <w:rFonts w:hint="eastAsia" w:ascii="仿宋_GB2312" w:hAnsi="Times New Roman" w:eastAsia="仿宋_GB2312" w:cs="Times New Roman"/>
          <w:color w:val="000000"/>
          <w:sz w:val="32"/>
          <w:szCs w:val="32"/>
          <w:lang w:val="en-US" w:eastAsia="zh-CN"/>
        </w:rPr>
        <w:t>3</w:t>
      </w:r>
      <w:r>
        <w:rPr>
          <w:rFonts w:hint="eastAsia" w:ascii="仿宋_GB2312" w:hAnsi="Times New Roman" w:eastAsia="仿宋_GB2312" w:cs="Times New Roman"/>
          <w:color w:val="000000"/>
          <w:sz w:val="32"/>
          <w:szCs w:val="32"/>
          <w:lang w:eastAsia="zh-CN"/>
        </w:rPr>
        <w:t>）</w:t>
      </w:r>
      <w:r>
        <w:rPr>
          <w:rFonts w:hint="eastAsia" w:ascii="仿宋_GB2312" w:hAnsi="Times New Roman" w:eastAsia="仿宋_GB2312" w:cs="Times New Roman"/>
          <w:color w:val="000000"/>
          <w:sz w:val="32"/>
          <w:szCs w:val="32"/>
        </w:rPr>
        <w:t>党组织活动经费项目绩效目标完成情况综述。项目全年预算数1万元，执行数为1万元，完成预算的100%。</w:t>
      </w:r>
      <w:r>
        <w:rPr>
          <w:rFonts w:hint="eastAsia" w:ascii="仿宋_GB2312" w:hAnsi="仿宋_GB2312" w:eastAsia="仿宋_GB2312" w:cs="仿宋_GB2312"/>
          <w:sz w:val="32"/>
          <w:szCs w:val="32"/>
        </w:rPr>
        <w:t>通过项目实施，</w:t>
      </w:r>
      <w:r>
        <w:rPr>
          <w:rFonts w:hint="eastAsia" w:ascii="仿宋_GB2312" w:hAnsi="仿宋_GB2312" w:eastAsia="仿宋_GB2312" w:cs="仿宋_GB2312"/>
          <w:sz w:val="32"/>
          <w:szCs w:val="32"/>
          <w:lang w:val="en-US" w:eastAsia="zh-CN"/>
        </w:rPr>
        <w:t>县经合中心党支部工作有声有色</w:t>
      </w:r>
      <w:r>
        <w:rPr>
          <w:rFonts w:hint="eastAsia" w:ascii="仿宋_GB2312" w:hAnsi="仿宋_GB2312" w:eastAsia="仿宋_GB2312" w:cs="仿宋_GB2312"/>
          <w:sz w:val="32"/>
          <w:szCs w:val="32"/>
        </w:rPr>
        <w:t>。</w:t>
      </w:r>
    </w:p>
    <w:p>
      <w:pPr>
        <w:pStyle w:val="2"/>
        <w:outlineLvl w:val="9"/>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outlineLvl w:val="9"/>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outlineLvl w:val="9"/>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outlineLvl w:val="9"/>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tbl>
      <w:tblPr>
        <w:tblStyle w:val="14"/>
        <w:tblpPr w:leftFromText="180" w:rightFromText="180" w:vertAnchor="text" w:horzAnchor="page" w:tblpX="659" w:tblpY="301"/>
        <w:tblOverlap w:val="never"/>
        <w:tblW w:w="10590" w:type="dxa"/>
        <w:tblInd w:w="0" w:type="dxa"/>
        <w:tblLayout w:type="fixed"/>
        <w:tblCellMar>
          <w:top w:w="0" w:type="dxa"/>
          <w:left w:w="0" w:type="dxa"/>
          <w:bottom w:w="0" w:type="dxa"/>
          <w:right w:w="0" w:type="dxa"/>
        </w:tblCellMar>
      </w:tblPr>
      <w:tblGrid>
        <w:gridCol w:w="572"/>
        <w:gridCol w:w="88"/>
        <w:gridCol w:w="540"/>
        <w:gridCol w:w="456"/>
        <w:gridCol w:w="1145"/>
        <w:gridCol w:w="754"/>
        <w:gridCol w:w="1913"/>
        <w:gridCol w:w="22"/>
        <w:gridCol w:w="2130"/>
        <w:gridCol w:w="484"/>
        <w:gridCol w:w="2486"/>
      </w:tblGrid>
      <w:tr>
        <w:tblPrEx>
          <w:tblCellMar>
            <w:top w:w="0" w:type="dxa"/>
            <w:left w:w="0" w:type="dxa"/>
            <w:bottom w:w="0" w:type="dxa"/>
            <w:right w:w="0" w:type="dxa"/>
          </w:tblCellMar>
        </w:tblPrEx>
        <w:trPr>
          <w:trHeight w:val="90" w:hRule="atLeast"/>
        </w:trPr>
        <w:tc>
          <w:tcPr>
            <w:tcW w:w="10590" w:type="dxa"/>
            <w:gridSpan w:val="11"/>
            <w:tcBorders>
              <w:top w:val="nil"/>
              <w:left w:val="nil"/>
              <w:bottom w:val="nil"/>
              <w:right w:val="nil"/>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kern w:val="0"/>
                <w:sz w:val="36"/>
                <w:szCs w:val="36"/>
                <w:u w:val="none"/>
                <w:lang w:val="en-US" w:eastAsia="zh-CN" w:bidi="ar"/>
              </w:rPr>
            </w:pPr>
          </w:p>
          <w:p>
            <w:pPr>
              <w:keepNext w:val="0"/>
              <w:keepLines w:val="0"/>
              <w:widowControl/>
              <w:suppressLineNumbers w:val="0"/>
              <w:jc w:val="center"/>
              <w:textAlignment w:val="center"/>
              <w:rPr>
                <w:rFonts w:ascii="黑体" w:hAnsi="宋体" w:eastAsia="黑体" w:cs="黑体"/>
                <w:i w:val="0"/>
                <w:color w:val="000000"/>
                <w:sz w:val="36"/>
                <w:szCs w:val="36"/>
                <w:u w:val="none"/>
              </w:rPr>
            </w:pPr>
            <w:r>
              <w:rPr>
                <w:rFonts w:hint="eastAsia" w:ascii="黑体" w:hAnsi="宋体" w:eastAsia="黑体" w:cs="黑体"/>
                <w:i w:val="0"/>
                <w:color w:val="000000"/>
                <w:kern w:val="0"/>
                <w:sz w:val="36"/>
                <w:szCs w:val="36"/>
                <w:u w:val="none"/>
                <w:lang w:val="en-US" w:eastAsia="zh-CN" w:bidi="ar"/>
              </w:rPr>
              <w:t>项目支出绩效目标完成情况表</w:t>
            </w:r>
          </w:p>
        </w:tc>
      </w:tr>
      <w:tr>
        <w:tblPrEx>
          <w:tblCellMar>
            <w:top w:w="0" w:type="dxa"/>
            <w:left w:w="0" w:type="dxa"/>
            <w:bottom w:w="0" w:type="dxa"/>
            <w:right w:w="0" w:type="dxa"/>
          </w:tblCellMar>
        </w:tblPrEx>
        <w:trPr>
          <w:trHeight w:val="90" w:hRule="atLeast"/>
        </w:trPr>
        <w:tc>
          <w:tcPr>
            <w:tcW w:w="10590" w:type="dxa"/>
            <w:gridSpan w:val="11"/>
            <w:tcBorders>
              <w:top w:val="nil"/>
              <w:left w:val="nil"/>
              <w:bottom w:val="nil"/>
              <w:right w:val="nil"/>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6"/>
                <w:szCs w:val="36"/>
                <w:u w:val="none"/>
              </w:rPr>
            </w:pPr>
            <w:r>
              <w:rPr>
                <w:rFonts w:hint="eastAsia" w:ascii="宋体" w:hAnsi="宋体" w:eastAsia="宋体" w:cs="宋体"/>
                <w:i w:val="0"/>
                <w:color w:val="000000"/>
                <w:kern w:val="0"/>
                <w:sz w:val="36"/>
                <w:szCs w:val="36"/>
                <w:u w:val="none"/>
                <w:lang w:val="en-US" w:eastAsia="zh-CN" w:bidi="ar"/>
              </w:rPr>
              <w:t>(202</w:t>
            </w:r>
            <w:r>
              <w:rPr>
                <w:rFonts w:hint="eastAsia" w:ascii="宋体" w:hAnsi="宋体" w:cs="宋体"/>
                <w:i w:val="0"/>
                <w:color w:val="000000"/>
                <w:kern w:val="0"/>
                <w:sz w:val="36"/>
                <w:szCs w:val="36"/>
                <w:u w:val="none"/>
                <w:lang w:val="en-US" w:eastAsia="zh-CN" w:bidi="ar"/>
              </w:rPr>
              <w:t>1</w:t>
            </w:r>
            <w:r>
              <w:rPr>
                <w:rFonts w:hint="eastAsia" w:ascii="宋体" w:hAnsi="宋体" w:eastAsia="宋体" w:cs="宋体"/>
                <w:i w:val="0"/>
                <w:color w:val="000000"/>
                <w:kern w:val="0"/>
                <w:sz w:val="36"/>
                <w:szCs w:val="36"/>
                <w:u w:val="none"/>
                <w:lang w:val="en-US" w:eastAsia="zh-CN" w:bidi="ar"/>
              </w:rPr>
              <w:t xml:space="preserve"> 年度)</w:t>
            </w:r>
          </w:p>
        </w:tc>
      </w:tr>
      <w:tr>
        <w:tblPrEx>
          <w:tblCellMar>
            <w:top w:w="0" w:type="dxa"/>
            <w:left w:w="0" w:type="dxa"/>
            <w:bottom w:w="0" w:type="dxa"/>
            <w:right w:w="0" w:type="dxa"/>
          </w:tblCellMar>
        </w:tblPrEx>
        <w:trPr>
          <w:trHeight w:val="315" w:hRule="atLeast"/>
        </w:trPr>
        <w:tc>
          <w:tcPr>
            <w:tcW w:w="2801" w:type="dxa"/>
            <w:gridSpan w:val="5"/>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项目名称</w:t>
            </w:r>
          </w:p>
        </w:tc>
        <w:tc>
          <w:tcPr>
            <w:tcW w:w="7789" w:type="dxa"/>
            <w:gridSpan w:val="6"/>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招商引资宣传资料费</w:t>
            </w:r>
          </w:p>
        </w:tc>
      </w:tr>
      <w:tr>
        <w:tblPrEx>
          <w:tblCellMar>
            <w:top w:w="0" w:type="dxa"/>
            <w:left w:w="0" w:type="dxa"/>
            <w:bottom w:w="0" w:type="dxa"/>
            <w:right w:w="0" w:type="dxa"/>
          </w:tblCellMar>
        </w:tblPrEx>
        <w:trPr>
          <w:trHeight w:val="315" w:hRule="atLeast"/>
        </w:trPr>
        <w:tc>
          <w:tcPr>
            <w:tcW w:w="2801" w:type="dxa"/>
            <w:gridSpan w:val="5"/>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预算单位</w:t>
            </w:r>
          </w:p>
        </w:tc>
        <w:tc>
          <w:tcPr>
            <w:tcW w:w="7789" w:type="dxa"/>
            <w:gridSpan w:val="6"/>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4"/>
                <w:szCs w:val="24"/>
                <w:u w:val="none"/>
                <w:lang w:val="en-US"/>
              </w:rPr>
            </w:pPr>
            <w:r>
              <w:rPr>
                <w:rFonts w:hint="eastAsia" w:ascii="宋体" w:hAnsi="宋体" w:eastAsia="宋体" w:cs="宋体"/>
                <w:i w:val="0"/>
                <w:color w:val="000000"/>
                <w:kern w:val="0"/>
                <w:sz w:val="24"/>
                <w:szCs w:val="24"/>
                <w:u w:val="none"/>
                <w:lang w:val="en-US" w:eastAsia="zh-CN" w:bidi="ar"/>
              </w:rPr>
              <w:t>旺苍县经济合作事务中心</w:t>
            </w:r>
          </w:p>
        </w:tc>
      </w:tr>
      <w:tr>
        <w:tblPrEx>
          <w:tblCellMar>
            <w:top w:w="0" w:type="dxa"/>
            <w:left w:w="0" w:type="dxa"/>
            <w:bottom w:w="0" w:type="dxa"/>
            <w:right w:w="0" w:type="dxa"/>
          </w:tblCellMar>
        </w:tblPrEx>
        <w:trPr>
          <w:trHeight w:val="315" w:hRule="atLeast"/>
        </w:trPr>
        <w:tc>
          <w:tcPr>
            <w:tcW w:w="660" w:type="dxa"/>
            <w:gridSpan w:val="2"/>
            <w:vMerge w:val="restart"/>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预算执行情况(万元)</w:t>
            </w:r>
          </w:p>
        </w:tc>
        <w:tc>
          <w:tcPr>
            <w:tcW w:w="2141"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预算数:</w:t>
            </w:r>
          </w:p>
        </w:tc>
        <w:tc>
          <w:tcPr>
            <w:tcW w:w="2689" w:type="dxa"/>
            <w:gridSpan w:val="3"/>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6.26万元</w:t>
            </w:r>
          </w:p>
        </w:tc>
        <w:tc>
          <w:tcPr>
            <w:tcW w:w="2130" w:type="dxa"/>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执行数:</w:t>
            </w:r>
          </w:p>
        </w:tc>
        <w:tc>
          <w:tcPr>
            <w:tcW w:w="2970" w:type="dxa"/>
            <w:gridSpan w:val="2"/>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6.26万元</w:t>
            </w:r>
          </w:p>
        </w:tc>
      </w:tr>
      <w:tr>
        <w:tblPrEx>
          <w:tblCellMar>
            <w:top w:w="0" w:type="dxa"/>
            <w:left w:w="0" w:type="dxa"/>
            <w:bottom w:w="0" w:type="dxa"/>
            <w:right w:w="0" w:type="dxa"/>
          </w:tblCellMar>
        </w:tblPrEx>
        <w:trPr>
          <w:trHeight w:val="517"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141"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其中-财政拨款:</w:t>
            </w: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6.26万元</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其中-财政拨款:</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6.26万元</w:t>
            </w:r>
          </w:p>
        </w:tc>
      </w:tr>
      <w:tr>
        <w:tblPrEx>
          <w:tblCellMar>
            <w:top w:w="0" w:type="dxa"/>
            <w:left w:w="0" w:type="dxa"/>
            <w:bottom w:w="0" w:type="dxa"/>
            <w:right w:w="0" w:type="dxa"/>
          </w:tblCellMar>
        </w:tblPrEx>
        <w:trPr>
          <w:trHeight w:val="488"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141"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其它资金:</w:t>
            </w: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其它资金:</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460" w:hRule="atLeast"/>
        </w:trPr>
        <w:tc>
          <w:tcPr>
            <w:tcW w:w="660" w:type="dxa"/>
            <w:gridSpan w:val="2"/>
            <w:vMerge w:val="restart"/>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年度目标完成情况</w:t>
            </w:r>
          </w:p>
        </w:tc>
        <w:tc>
          <w:tcPr>
            <w:tcW w:w="4830" w:type="dxa"/>
            <w:gridSpan w:val="6"/>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预期目标</w:t>
            </w:r>
          </w:p>
        </w:tc>
        <w:tc>
          <w:tcPr>
            <w:tcW w:w="5100"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实际完成目标</w:t>
            </w:r>
          </w:p>
        </w:tc>
      </w:tr>
      <w:tr>
        <w:tblPrEx>
          <w:tblCellMar>
            <w:top w:w="0" w:type="dxa"/>
            <w:left w:w="0" w:type="dxa"/>
            <w:bottom w:w="0" w:type="dxa"/>
            <w:right w:w="0" w:type="dxa"/>
          </w:tblCellMar>
        </w:tblPrEx>
        <w:trPr>
          <w:trHeight w:val="960"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4830" w:type="dxa"/>
            <w:gridSpan w:val="6"/>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完成202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年招商重点项目册制作1000册，招商宣传册制作1000册，各类项目宣传广告制作12批次。</w:t>
            </w:r>
          </w:p>
        </w:tc>
        <w:tc>
          <w:tcPr>
            <w:tcW w:w="5100"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完成202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年招商重点项目册制作1000册，招商宣传册制作1000册，各类项目宣传广告制作12批次。</w:t>
            </w:r>
          </w:p>
        </w:tc>
      </w:tr>
      <w:tr>
        <w:tblPrEx>
          <w:tblCellMar>
            <w:top w:w="0" w:type="dxa"/>
            <w:left w:w="0" w:type="dxa"/>
            <w:bottom w:w="0" w:type="dxa"/>
            <w:right w:w="0" w:type="dxa"/>
          </w:tblCellMar>
        </w:tblPrEx>
        <w:trPr>
          <w:trHeight w:val="444" w:hRule="atLeast"/>
        </w:trPr>
        <w:tc>
          <w:tcPr>
            <w:tcW w:w="660" w:type="dxa"/>
            <w:gridSpan w:val="2"/>
            <w:vMerge w:val="restart"/>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绩效指标完成情况</w:t>
            </w:r>
          </w:p>
        </w:tc>
        <w:tc>
          <w:tcPr>
            <w:tcW w:w="54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一级指标</w:t>
            </w:r>
          </w:p>
        </w:tc>
        <w:tc>
          <w:tcPr>
            <w:tcW w:w="1601"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二级指标</w:t>
            </w:r>
          </w:p>
        </w:tc>
        <w:tc>
          <w:tcPr>
            <w:tcW w:w="2689" w:type="dxa"/>
            <w:gridSpan w:val="3"/>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三级指标</w:t>
            </w:r>
          </w:p>
        </w:tc>
        <w:tc>
          <w:tcPr>
            <w:tcW w:w="2130" w:type="dxa"/>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预期指标值(包含数字及文字描述)</w:t>
            </w:r>
          </w:p>
        </w:tc>
        <w:tc>
          <w:tcPr>
            <w:tcW w:w="2970" w:type="dxa"/>
            <w:gridSpan w:val="2"/>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实际完成指标值(包含数字及文字描述)</w:t>
            </w:r>
          </w:p>
        </w:tc>
      </w:tr>
      <w:tr>
        <w:tblPrEx>
          <w:tblCellMar>
            <w:top w:w="0" w:type="dxa"/>
            <w:left w:w="0" w:type="dxa"/>
            <w:bottom w:w="0" w:type="dxa"/>
            <w:right w:w="0" w:type="dxa"/>
          </w:tblCellMar>
        </w:tblPrEx>
        <w:trPr>
          <w:trHeight w:val="429"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项目完成指标</w:t>
            </w:r>
          </w:p>
        </w:tc>
        <w:tc>
          <w:tcPr>
            <w:tcW w:w="1601" w:type="dxa"/>
            <w:gridSpan w:val="2"/>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完成2020年招商重点项目册</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1000册</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1000册</w:t>
            </w:r>
          </w:p>
        </w:tc>
      </w:tr>
      <w:tr>
        <w:tblPrEx>
          <w:tblCellMar>
            <w:top w:w="0" w:type="dxa"/>
            <w:left w:w="0" w:type="dxa"/>
            <w:bottom w:w="0" w:type="dxa"/>
            <w:right w:w="0" w:type="dxa"/>
          </w:tblCellMar>
        </w:tblPrEx>
        <w:trPr>
          <w:trHeight w:val="510"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01" w:type="dxa"/>
            <w:gridSpan w:val="2"/>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完成2020年招商宣传册</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1000册</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1000册</w:t>
            </w:r>
          </w:p>
        </w:tc>
      </w:tr>
      <w:tr>
        <w:tblPrEx>
          <w:tblCellMar>
            <w:top w:w="0" w:type="dxa"/>
            <w:left w:w="0" w:type="dxa"/>
            <w:bottom w:w="0" w:type="dxa"/>
            <w:right w:w="0" w:type="dxa"/>
          </w:tblCellMar>
        </w:tblPrEx>
        <w:trPr>
          <w:trHeight w:val="495"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01" w:type="dxa"/>
            <w:gridSpan w:val="2"/>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完成各类项目宣传广告</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12批次</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12批次</w:t>
            </w:r>
          </w:p>
        </w:tc>
      </w:tr>
      <w:tr>
        <w:tblPrEx>
          <w:tblCellMar>
            <w:top w:w="0" w:type="dxa"/>
            <w:left w:w="0" w:type="dxa"/>
            <w:bottom w:w="0" w:type="dxa"/>
            <w:right w:w="0" w:type="dxa"/>
          </w:tblCellMar>
        </w:tblPrEx>
        <w:trPr>
          <w:trHeight w:val="540"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项目完成指标</w:t>
            </w:r>
          </w:p>
        </w:tc>
        <w:tc>
          <w:tcPr>
            <w:tcW w:w="1601"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质量指标</w:t>
            </w: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按总体目标完成</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r>
      <w:tr>
        <w:tblPrEx>
          <w:tblCellMar>
            <w:top w:w="0" w:type="dxa"/>
            <w:left w:w="0" w:type="dxa"/>
            <w:bottom w:w="0" w:type="dxa"/>
            <w:right w:w="0" w:type="dxa"/>
          </w:tblCellMar>
        </w:tblPrEx>
        <w:trPr>
          <w:trHeight w:val="555"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01"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完成时间</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年12月前</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2020年12月前</w:t>
            </w:r>
          </w:p>
        </w:tc>
      </w:tr>
      <w:tr>
        <w:tblPrEx>
          <w:tblCellMar>
            <w:top w:w="0" w:type="dxa"/>
            <w:left w:w="0" w:type="dxa"/>
            <w:bottom w:w="0" w:type="dxa"/>
            <w:right w:w="0" w:type="dxa"/>
          </w:tblCellMar>
        </w:tblPrEx>
        <w:trPr>
          <w:trHeight w:val="660"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项目完成指标</w:t>
            </w:r>
          </w:p>
        </w:tc>
        <w:tc>
          <w:tcPr>
            <w:tcW w:w="1601" w:type="dxa"/>
            <w:gridSpan w:val="2"/>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成本指标</w:t>
            </w: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完成202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年招商重点项目册</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制作费2万元（20元/册）</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制作费2万元（20元/册）</w:t>
            </w:r>
          </w:p>
        </w:tc>
      </w:tr>
      <w:tr>
        <w:tblPrEx>
          <w:tblCellMar>
            <w:top w:w="0" w:type="dxa"/>
            <w:left w:w="0" w:type="dxa"/>
            <w:bottom w:w="0" w:type="dxa"/>
            <w:right w:w="0" w:type="dxa"/>
          </w:tblCellMar>
        </w:tblPrEx>
        <w:trPr>
          <w:trHeight w:val="585"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01" w:type="dxa"/>
            <w:gridSpan w:val="2"/>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完成202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年招商宣传册</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制作费3万元（30元/册）</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制作费3万元（30元/册）</w:t>
            </w:r>
          </w:p>
        </w:tc>
      </w:tr>
      <w:tr>
        <w:tblPrEx>
          <w:tblCellMar>
            <w:top w:w="0" w:type="dxa"/>
            <w:left w:w="0" w:type="dxa"/>
            <w:bottom w:w="0" w:type="dxa"/>
            <w:right w:w="0" w:type="dxa"/>
          </w:tblCellMar>
        </w:tblPrEx>
        <w:trPr>
          <w:trHeight w:val="615"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01" w:type="dxa"/>
            <w:gridSpan w:val="2"/>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完成各类项目宣传广告</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制作费1.26万元（0.13万/批次）</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制作费1.26万元（0.13万/批次）</w:t>
            </w:r>
          </w:p>
        </w:tc>
      </w:tr>
      <w:tr>
        <w:tblPrEx>
          <w:tblCellMar>
            <w:top w:w="0" w:type="dxa"/>
            <w:left w:w="0" w:type="dxa"/>
            <w:bottom w:w="0" w:type="dxa"/>
            <w:right w:w="0" w:type="dxa"/>
          </w:tblCellMar>
        </w:tblPrEx>
        <w:trPr>
          <w:trHeight w:val="474"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项目效益</w:t>
            </w:r>
          </w:p>
        </w:tc>
        <w:tc>
          <w:tcPr>
            <w:tcW w:w="1601"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经济效益</w:t>
            </w:r>
          </w:p>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指标</w:t>
            </w: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720"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01"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社会效益</w:t>
            </w:r>
          </w:p>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指标</w:t>
            </w: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对招商工作起到促进作用</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及时更新宣传我县招商项目和县情</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及时更新宣传我县招商项目和县情</w:t>
            </w:r>
          </w:p>
        </w:tc>
      </w:tr>
      <w:tr>
        <w:tblPrEx>
          <w:tblCellMar>
            <w:top w:w="0" w:type="dxa"/>
            <w:left w:w="0" w:type="dxa"/>
            <w:bottom w:w="0" w:type="dxa"/>
            <w:right w:w="0" w:type="dxa"/>
          </w:tblCellMar>
        </w:tblPrEx>
        <w:trPr>
          <w:trHeight w:val="600"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01"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可持续影响</w:t>
            </w:r>
          </w:p>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指标</w:t>
            </w: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宣传内容可持续</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≥2年</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≥2年</w:t>
            </w:r>
          </w:p>
        </w:tc>
      </w:tr>
      <w:tr>
        <w:tblPrEx>
          <w:tblCellMar>
            <w:top w:w="0" w:type="dxa"/>
            <w:left w:w="0" w:type="dxa"/>
            <w:bottom w:w="0" w:type="dxa"/>
            <w:right w:w="0" w:type="dxa"/>
          </w:tblCellMar>
        </w:tblPrEx>
        <w:trPr>
          <w:trHeight w:val="390"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满意度指标</w:t>
            </w:r>
          </w:p>
        </w:tc>
        <w:tc>
          <w:tcPr>
            <w:tcW w:w="1601" w:type="dxa"/>
            <w:gridSpan w:val="2"/>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满意度指标</w:t>
            </w: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客商反映</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r>
      <w:tr>
        <w:tblPrEx>
          <w:tblCellMar>
            <w:top w:w="0" w:type="dxa"/>
            <w:left w:w="0" w:type="dxa"/>
            <w:bottom w:w="0" w:type="dxa"/>
            <w:right w:w="0" w:type="dxa"/>
          </w:tblCellMar>
        </w:tblPrEx>
        <w:trPr>
          <w:trHeight w:val="495" w:hRule="atLeast"/>
        </w:trPr>
        <w:tc>
          <w:tcPr>
            <w:tcW w:w="660" w:type="dxa"/>
            <w:gridSpan w:val="2"/>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540" w:type="dxa"/>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601" w:type="dxa"/>
            <w:gridSpan w:val="2"/>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社会满意度</w:t>
            </w:r>
          </w:p>
        </w:tc>
        <w:tc>
          <w:tcPr>
            <w:tcW w:w="2130"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2970"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r>
      <w:tr>
        <w:tblPrEx>
          <w:tblCellMar>
            <w:top w:w="0" w:type="dxa"/>
            <w:left w:w="0" w:type="dxa"/>
            <w:bottom w:w="0" w:type="dxa"/>
            <w:right w:w="0" w:type="dxa"/>
          </w:tblCellMar>
        </w:tblPrEx>
        <w:trPr>
          <w:trHeight w:val="450" w:hRule="atLeast"/>
        </w:trPr>
        <w:tc>
          <w:tcPr>
            <w:tcW w:w="10590" w:type="dxa"/>
            <w:gridSpan w:val="11"/>
            <w:tcBorders>
              <w:top w:val="nil"/>
              <w:left w:val="nil"/>
              <w:bottom w:val="nil"/>
              <w:right w:val="nil"/>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kern w:val="0"/>
                <w:sz w:val="36"/>
                <w:szCs w:val="36"/>
                <w:u w:val="none"/>
                <w:lang w:val="en-US" w:eastAsia="zh-CN" w:bidi="ar"/>
              </w:rPr>
            </w:pPr>
          </w:p>
          <w:p>
            <w:pPr>
              <w:keepNext w:val="0"/>
              <w:keepLines w:val="0"/>
              <w:widowControl/>
              <w:suppressLineNumbers w:val="0"/>
              <w:jc w:val="center"/>
              <w:textAlignment w:val="center"/>
              <w:rPr>
                <w:rFonts w:hint="eastAsia" w:ascii="黑体" w:hAnsi="宋体" w:eastAsia="黑体" w:cs="黑体"/>
                <w:i w:val="0"/>
                <w:color w:val="000000"/>
                <w:kern w:val="0"/>
                <w:sz w:val="36"/>
                <w:szCs w:val="36"/>
                <w:u w:val="none"/>
                <w:lang w:val="en-US" w:eastAsia="zh-CN" w:bidi="ar"/>
              </w:rPr>
            </w:pPr>
          </w:p>
          <w:p>
            <w:pPr>
              <w:keepNext w:val="0"/>
              <w:keepLines w:val="0"/>
              <w:widowControl/>
              <w:suppressLineNumbers w:val="0"/>
              <w:jc w:val="center"/>
              <w:textAlignment w:val="center"/>
              <w:rPr>
                <w:rFonts w:ascii="黑体" w:hAnsi="宋体" w:eastAsia="黑体" w:cs="黑体"/>
                <w:i w:val="0"/>
                <w:color w:val="000000"/>
                <w:sz w:val="36"/>
                <w:szCs w:val="36"/>
                <w:u w:val="none"/>
              </w:rPr>
            </w:pPr>
            <w:r>
              <w:rPr>
                <w:rFonts w:hint="eastAsia" w:ascii="黑体" w:hAnsi="宋体" w:eastAsia="黑体" w:cs="黑体"/>
                <w:i w:val="0"/>
                <w:color w:val="000000"/>
                <w:kern w:val="0"/>
                <w:sz w:val="36"/>
                <w:szCs w:val="36"/>
                <w:u w:val="none"/>
                <w:lang w:val="en-US" w:eastAsia="zh-CN" w:bidi="ar"/>
              </w:rPr>
              <w:t>项目支出绩效目标完成情况表</w:t>
            </w:r>
          </w:p>
        </w:tc>
      </w:tr>
      <w:tr>
        <w:tblPrEx>
          <w:tblCellMar>
            <w:top w:w="0" w:type="dxa"/>
            <w:left w:w="0" w:type="dxa"/>
            <w:bottom w:w="0" w:type="dxa"/>
            <w:right w:w="0" w:type="dxa"/>
          </w:tblCellMar>
        </w:tblPrEx>
        <w:trPr>
          <w:trHeight w:val="480" w:hRule="atLeast"/>
        </w:trPr>
        <w:tc>
          <w:tcPr>
            <w:tcW w:w="10590" w:type="dxa"/>
            <w:gridSpan w:val="11"/>
            <w:tcBorders>
              <w:top w:val="nil"/>
              <w:left w:val="nil"/>
              <w:bottom w:val="nil"/>
              <w:right w:val="nil"/>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36"/>
                <w:szCs w:val="36"/>
                <w:u w:val="none"/>
              </w:rPr>
            </w:pPr>
            <w:r>
              <w:rPr>
                <w:rFonts w:hint="eastAsia" w:ascii="宋体" w:hAnsi="宋体" w:eastAsia="宋体" w:cs="宋体"/>
                <w:i w:val="0"/>
                <w:color w:val="000000"/>
                <w:kern w:val="0"/>
                <w:sz w:val="36"/>
                <w:szCs w:val="36"/>
                <w:u w:val="none"/>
                <w:lang w:val="en-US" w:eastAsia="zh-CN" w:bidi="ar"/>
              </w:rPr>
              <w:t>(202</w:t>
            </w:r>
            <w:r>
              <w:rPr>
                <w:rFonts w:hint="eastAsia" w:ascii="宋体" w:hAnsi="宋体" w:cs="宋体"/>
                <w:i w:val="0"/>
                <w:color w:val="000000"/>
                <w:kern w:val="0"/>
                <w:sz w:val="36"/>
                <w:szCs w:val="36"/>
                <w:u w:val="none"/>
                <w:lang w:val="en-US" w:eastAsia="zh-CN" w:bidi="ar"/>
              </w:rPr>
              <w:t>1</w:t>
            </w:r>
            <w:r>
              <w:rPr>
                <w:rFonts w:hint="eastAsia" w:ascii="宋体" w:hAnsi="宋体" w:eastAsia="宋体" w:cs="宋体"/>
                <w:i w:val="0"/>
                <w:color w:val="000000"/>
                <w:kern w:val="0"/>
                <w:sz w:val="36"/>
                <w:szCs w:val="36"/>
                <w:u w:val="none"/>
                <w:lang w:val="en-US" w:eastAsia="zh-CN" w:bidi="ar"/>
              </w:rPr>
              <w:t>年度)</w:t>
            </w:r>
          </w:p>
        </w:tc>
      </w:tr>
      <w:tr>
        <w:tblPrEx>
          <w:tblCellMar>
            <w:top w:w="0" w:type="dxa"/>
            <w:left w:w="0" w:type="dxa"/>
            <w:bottom w:w="0" w:type="dxa"/>
            <w:right w:w="0" w:type="dxa"/>
          </w:tblCellMar>
        </w:tblPrEx>
        <w:trPr>
          <w:trHeight w:val="315" w:hRule="atLeast"/>
        </w:trPr>
        <w:tc>
          <w:tcPr>
            <w:tcW w:w="3555" w:type="dxa"/>
            <w:gridSpan w:val="6"/>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项目名称</w:t>
            </w:r>
          </w:p>
        </w:tc>
        <w:tc>
          <w:tcPr>
            <w:tcW w:w="7035" w:type="dxa"/>
            <w:gridSpan w:val="5"/>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招商分局经费</w:t>
            </w:r>
          </w:p>
        </w:tc>
      </w:tr>
      <w:tr>
        <w:tblPrEx>
          <w:tblCellMar>
            <w:top w:w="0" w:type="dxa"/>
            <w:left w:w="0" w:type="dxa"/>
            <w:bottom w:w="0" w:type="dxa"/>
            <w:right w:w="0" w:type="dxa"/>
          </w:tblCellMar>
        </w:tblPrEx>
        <w:trPr>
          <w:trHeight w:val="315" w:hRule="atLeast"/>
        </w:trPr>
        <w:tc>
          <w:tcPr>
            <w:tcW w:w="3555" w:type="dxa"/>
            <w:gridSpan w:val="6"/>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预算单位</w:t>
            </w:r>
          </w:p>
        </w:tc>
        <w:tc>
          <w:tcPr>
            <w:tcW w:w="7035" w:type="dxa"/>
            <w:gridSpan w:val="5"/>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4"/>
                <w:szCs w:val="24"/>
                <w:u w:val="none"/>
                <w:lang w:val="en-US"/>
              </w:rPr>
            </w:pPr>
            <w:r>
              <w:rPr>
                <w:rFonts w:hint="eastAsia" w:ascii="宋体" w:hAnsi="宋体" w:eastAsia="宋体" w:cs="宋体"/>
                <w:i w:val="0"/>
                <w:color w:val="000000"/>
                <w:kern w:val="0"/>
                <w:sz w:val="24"/>
                <w:szCs w:val="24"/>
                <w:u w:val="none"/>
                <w:lang w:val="en-US" w:eastAsia="zh-CN" w:bidi="ar"/>
              </w:rPr>
              <w:t>旺苍县经济合作事务中心</w:t>
            </w:r>
          </w:p>
        </w:tc>
      </w:tr>
      <w:tr>
        <w:tblPrEx>
          <w:tblCellMar>
            <w:top w:w="0" w:type="dxa"/>
            <w:left w:w="0" w:type="dxa"/>
            <w:bottom w:w="0" w:type="dxa"/>
            <w:right w:w="0" w:type="dxa"/>
          </w:tblCellMar>
        </w:tblPrEx>
        <w:trPr>
          <w:trHeight w:val="315" w:hRule="atLeast"/>
        </w:trPr>
        <w:tc>
          <w:tcPr>
            <w:tcW w:w="572" w:type="dxa"/>
            <w:vMerge w:val="restart"/>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预算执行情况(万元)</w:t>
            </w:r>
          </w:p>
        </w:tc>
        <w:tc>
          <w:tcPr>
            <w:tcW w:w="2983" w:type="dxa"/>
            <w:gridSpan w:val="5"/>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预算数:</w:t>
            </w:r>
          </w:p>
        </w:tc>
        <w:tc>
          <w:tcPr>
            <w:tcW w:w="1913" w:type="dxa"/>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104万元</w:t>
            </w:r>
          </w:p>
        </w:tc>
        <w:tc>
          <w:tcPr>
            <w:tcW w:w="2636" w:type="dxa"/>
            <w:gridSpan w:val="3"/>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执行数:</w:t>
            </w:r>
          </w:p>
        </w:tc>
        <w:tc>
          <w:tcPr>
            <w:tcW w:w="2486" w:type="dxa"/>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104万元</w:t>
            </w:r>
          </w:p>
        </w:tc>
      </w:tr>
      <w:tr>
        <w:tblPrEx>
          <w:tblCellMar>
            <w:top w:w="0" w:type="dxa"/>
            <w:left w:w="0" w:type="dxa"/>
            <w:bottom w:w="0" w:type="dxa"/>
            <w:right w:w="0" w:type="dxa"/>
          </w:tblCellMar>
        </w:tblPrEx>
        <w:trPr>
          <w:trHeight w:val="600" w:hRule="atLeast"/>
        </w:trPr>
        <w:tc>
          <w:tcPr>
            <w:tcW w:w="572" w:type="dxa"/>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983" w:type="dxa"/>
            <w:gridSpan w:val="5"/>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其中-财政拨款:</w:t>
            </w:r>
          </w:p>
        </w:tc>
        <w:tc>
          <w:tcPr>
            <w:tcW w:w="1913"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104万元</w:t>
            </w:r>
          </w:p>
        </w:tc>
        <w:tc>
          <w:tcPr>
            <w:tcW w:w="2636"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其中-财政拨款:</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104万元</w:t>
            </w:r>
          </w:p>
        </w:tc>
      </w:tr>
      <w:tr>
        <w:tblPrEx>
          <w:tblCellMar>
            <w:top w:w="0" w:type="dxa"/>
            <w:left w:w="0" w:type="dxa"/>
            <w:bottom w:w="0" w:type="dxa"/>
            <w:right w:w="0" w:type="dxa"/>
          </w:tblCellMar>
        </w:tblPrEx>
        <w:trPr>
          <w:trHeight w:val="600" w:hRule="atLeast"/>
        </w:trPr>
        <w:tc>
          <w:tcPr>
            <w:tcW w:w="572" w:type="dxa"/>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983" w:type="dxa"/>
            <w:gridSpan w:val="5"/>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其它资金:</w:t>
            </w:r>
          </w:p>
        </w:tc>
        <w:tc>
          <w:tcPr>
            <w:tcW w:w="1913"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w:t>
            </w:r>
          </w:p>
        </w:tc>
        <w:tc>
          <w:tcPr>
            <w:tcW w:w="2636"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其它资金:</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460" w:hRule="atLeast"/>
        </w:trPr>
        <w:tc>
          <w:tcPr>
            <w:tcW w:w="572" w:type="dxa"/>
            <w:vMerge w:val="restart"/>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年度目标完成情况</w:t>
            </w:r>
          </w:p>
        </w:tc>
        <w:tc>
          <w:tcPr>
            <w:tcW w:w="4896" w:type="dxa"/>
            <w:gridSpan w:val="6"/>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预期目标</w:t>
            </w:r>
          </w:p>
        </w:tc>
        <w:tc>
          <w:tcPr>
            <w:tcW w:w="5122" w:type="dxa"/>
            <w:gridSpan w:val="4"/>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实际完成目标</w:t>
            </w:r>
          </w:p>
        </w:tc>
      </w:tr>
      <w:tr>
        <w:tblPrEx>
          <w:tblCellMar>
            <w:top w:w="0" w:type="dxa"/>
            <w:left w:w="0" w:type="dxa"/>
            <w:bottom w:w="0" w:type="dxa"/>
            <w:right w:w="0" w:type="dxa"/>
          </w:tblCellMar>
        </w:tblPrEx>
        <w:trPr>
          <w:trHeight w:val="960" w:hRule="atLeast"/>
        </w:trPr>
        <w:tc>
          <w:tcPr>
            <w:tcW w:w="572" w:type="dxa"/>
            <w:vMerge w:val="continue"/>
            <w:tcBorders>
              <w:top w:val="nil"/>
              <w:left w:val="single" w:color="000000" w:sz="8"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4896" w:type="dxa"/>
            <w:gridSpan w:val="6"/>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保障202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年成都招商分局，广东招商分局，浙江招商分局，北京招商分局招商工作顺利开展。</w:t>
            </w:r>
          </w:p>
        </w:tc>
        <w:tc>
          <w:tcPr>
            <w:tcW w:w="5122" w:type="dxa"/>
            <w:gridSpan w:val="4"/>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保障202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年成都招商分局，广东招商分局，浙江招商分局，北京招商分局招商工作顺利开展。</w:t>
            </w:r>
          </w:p>
        </w:tc>
      </w:tr>
      <w:tr>
        <w:tblPrEx>
          <w:tblCellMar>
            <w:top w:w="0" w:type="dxa"/>
            <w:left w:w="0" w:type="dxa"/>
            <w:bottom w:w="0" w:type="dxa"/>
            <w:right w:w="0" w:type="dxa"/>
          </w:tblCellMar>
        </w:tblPrEx>
        <w:trPr>
          <w:trHeight w:val="1455" w:hRule="atLeast"/>
        </w:trPr>
        <w:tc>
          <w:tcPr>
            <w:tcW w:w="572" w:type="dxa"/>
            <w:vMerge w:val="restart"/>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绩效指标完成情况</w:t>
            </w:r>
          </w:p>
        </w:tc>
        <w:tc>
          <w:tcPr>
            <w:tcW w:w="1084"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一级指标</w:t>
            </w:r>
          </w:p>
        </w:tc>
        <w:tc>
          <w:tcPr>
            <w:tcW w:w="1899"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二级指标</w:t>
            </w:r>
          </w:p>
        </w:tc>
        <w:tc>
          <w:tcPr>
            <w:tcW w:w="1913" w:type="dxa"/>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三级指标</w:t>
            </w:r>
          </w:p>
        </w:tc>
        <w:tc>
          <w:tcPr>
            <w:tcW w:w="2636" w:type="dxa"/>
            <w:gridSpan w:val="3"/>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预期指标值(包含数字及文字描述)</w:t>
            </w:r>
          </w:p>
        </w:tc>
        <w:tc>
          <w:tcPr>
            <w:tcW w:w="2486" w:type="dxa"/>
            <w:tcBorders>
              <w:top w:val="single" w:color="000000" w:sz="8"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实际完成指标值(包含数字及文字描述)</w:t>
            </w:r>
          </w:p>
        </w:tc>
      </w:tr>
      <w:tr>
        <w:tblPrEx>
          <w:tblCellMar>
            <w:top w:w="0" w:type="dxa"/>
            <w:left w:w="0" w:type="dxa"/>
            <w:bottom w:w="0" w:type="dxa"/>
            <w:right w:w="0" w:type="dxa"/>
          </w:tblCellMar>
        </w:tblPrEx>
        <w:trPr>
          <w:trHeight w:val="705" w:hRule="atLeast"/>
        </w:trPr>
        <w:tc>
          <w:tcPr>
            <w:tcW w:w="572"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项目完成指标</w:t>
            </w:r>
          </w:p>
        </w:tc>
        <w:tc>
          <w:tcPr>
            <w:tcW w:w="1899" w:type="dxa"/>
            <w:gridSpan w:val="2"/>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数量指标</w:t>
            </w:r>
          </w:p>
        </w:tc>
        <w:tc>
          <w:tcPr>
            <w:tcW w:w="1913"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成都招商分局</w:t>
            </w:r>
          </w:p>
        </w:tc>
        <w:tc>
          <w:tcPr>
            <w:tcW w:w="2636"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2人</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2人</w:t>
            </w:r>
          </w:p>
        </w:tc>
      </w:tr>
      <w:tr>
        <w:tblPrEx>
          <w:tblCellMar>
            <w:top w:w="0" w:type="dxa"/>
            <w:left w:w="0" w:type="dxa"/>
            <w:bottom w:w="0" w:type="dxa"/>
            <w:right w:w="0" w:type="dxa"/>
          </w:tblCellMar>
        </w:tblPrEx>
        <w:trPr>
          <w:trHeight w:val="720" w:hRule="atLeast"/>
        </w:trPr>
        <w:tc>
          <w:tcPr>
            <w:tcW w:w="572"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899" w:type="dxa"/>
            <w:gridSpan w:val="2"/>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913"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广东招商分局</w:t>
            </w:r>
          </w:p>
        </w:tc>
        <w:tc>
          <w:tcPr>
            <w:tcW w:w="2636"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2人</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2人</w:t>
            </w:r>
          </w:p>
        </w:tc>
      </w:tr>
      <w:tr>
        <w:tblPrEx>
          <w:tblCellMar>
            <w:top w:w="0" w:type="dxa"/>
            <w:left w:w="0" w:type="dxa"/>
            <w:bottom w:w="0" w:type="dxa"/>
            <w:right w:w="0" w:type="dxa"/>
          </w:tblCellMar>
        </w:tblPrEx>
        <w:trPr>
          <w:trHeight w:val="675" w:hRule="atLeast"/>
        </w:trPr>
        <w:tc>
          <w:tcPr>
            <w:tcW w:w="572"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899" w:type="dxa"/>
            <w:gridSpan w:val="2"/>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913"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浙江招商分局</w:t>
            </w:r>
          </w:p>
        </w:tc>
        <w:tc>
          <w:tcPr>
            <w:tcW w:w="2636"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2人</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2人</w:t>
            </w:r>
          </w:p>
        </w:tc>
      </w:tr>
      <w:tr>
        <w:tblPrEx>
          <w:tblCellMar>
            <w:top w:w="0" w:type="dxa"/>
            <w:left w:w="0" w:type="dxa"/>
            <w:bottom w:w="0" w:type="dxa"/>
            <w:right w:w="0" w:type="dxa"/>
          </w:tblCellMar>
        </w:tblPrEx>
        <w:trPr>
          <w:trHeight w:val="735" w:hRule="atLeast"/>
        </w:trPr>
        <w:tc>
          <w:tcPr>
            <w:tcW w:w="572"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899" w:type="dxa"/>
            <w:gridSpan w:val="2"/>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913"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北京招商分局</w:t>
            </w:r>
          </w:p>
        </w:tc>
        <w:tc>
          <w:tcPr>
            <w:tcW w:w="2636"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2人</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2人</w:t>
            </w:r>
          </w:p>
        </w:tc>
      </w:tr>
      <w:tr>
        <w:tblPrEx>
          <w:tblCellMar>
            <w:top w:w="0" w:type="dxa"/>
            <w:left w:w="0" w:type="dxa"/>
            <w:bottom w:w="0" w:type="dxa"/>
            <w:right w:w="0" w:type="dxa"/>
          </w:tblCellMar>
        </w:tblPrEx>
        <w:trPr>
          <w:trHeight w:val="660" w:hRule="atLeast"/>
        </w:trPr>
        <w:tc>
          <w:tcPr>
            <w:tcW w:w="572"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899" w:type="dxa"/>
            <w:gridSpan w:val="2"/>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913"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来旺客商</w:t>
            </w:r>
          </w:p>
        </w:tc>
        <w:tc>
          <w:tcPr>
            <w:tcW w:w="2636"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≥160批次</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≥160批次</w:t>
            </w:r>
          </w:p>
        </w:tc>
      </w:tr>
      <w:tr>
        <w:tblPrEx>
          <w:tblCellMar>
            <w:top w:w="0" w:type="dxa"/>
            <w:left w:w="0" w:type="dxa"/>
            <w:bottom w:w="0" w:type="dxa"/>
            <w:right w:w="0" w:type="dxa"/>
          </w:tblCellMar>
        </w:tblPrEx>
        <w:trPr>
          <w:trHeight w:val="870" w:hRule="atLeast"/>
        </w:trPr>
        <w:tc>
          <w:tcPr>
            <w:tcW w:w="572"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项目完成指标</w:t>
            </w:r>
          </w:p>
        </w:tc>
        <w:tc>
          <w:tcPr>
            <w:tcW w:w="1899"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质量指标</w:t>
            </w:r>
          </w:p>
        </w:tc>
        <w:tc>
          <w:tcPr>
            <w:tcW w:w="1913"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按总体目标完成</w:t>
            </w:r>
          </w:p>
        </w:tc>
        <w:tc>
          <w:tcPr>
            <w:tcW w:w="2636"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r>
      <w:tr>
        <w:tblPrEx>
          <w:tblCellMar>
            <w:top w:w="0" w:type="dxa"/>
            <w:left w:w="0" w:type="dxa"/>
            <w:bottom w:w="0" w:type="dxa"/>
            <w:right w:w="0" w:type="dxa"/>
          </w:tblCellMar>
        </w:tblPrEx>
        <w:trPr>
          <w:trHeight w:val="810" w:hRule="atLeast"/>
        </w:trPr>
        <w:tc>
          <w:tcPr>
            <w:tcW w:w="572"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899"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时效指标</w:t>
            </w:r>
          </w:p>
        </w:tc>
        <w:tc>
          <w:tcPr>
            <w:tcW w:w="1913"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完成时间</w:t>
            </w:r>
          </w:p>
        </w:tc>
        <w:tc>
          <w:tcPr>
            <w:tcW w:w="2636"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年12月前</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年12月前</w:t>
            </w:r>
          </w:p>
        </w:tc>
      </w:tr>
      <w:tr>
        <w:tblPrEx>
          <w:tblCellMar>
            <w:top w:w="0" w:type="dxa"/>
            <w:left w:w="0" w:type="dxa"/>
            <w:bottom w:w="0" w:type="dxa"/>
            <w:right w:w="0" w:type="dxa"/>
          </w:tblCellMar>
        </w:tblPrEx>
        <w:trPr>
          <w:trHeight w:val="1020" w:hRule="atLeast"/>
        </w:trPr>
        <w:tc>
          <w:tcPr>
            <w:tcW w:w="572"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项目完成指标</w:t>
            </w:r>
          </w:p>
        </w:tc>
        <w:tc>
          <w:tcPr>
            <w:tcW w:w="1145" w:type="dxa"/>
            <w:vMerge w:val="restart"/>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成本指标</w:t>
            </w: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成都招商分局</w:t>
            </w:r>
          </w:p>
        </w:tc>
        <w:tc>
          <w:tcPr>
            <w:tcW w:w="2614"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招商经费20万元（10万/人）</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招商经费20万元（10万/人）</w:t>
            </w:r>
          </w:p>
        </w:tc>
      </w:tr>
      <w:tr>
        <w:tblPrEx>
          <w:tblCellMar>
            <w:top w:w="0" w:type="dxa"/>
            <w:left w:w="0" w:type="dxa"/>
            <w:bottom w:w="0" w:type="dxa"/>
            <w:right w:w="0" w:type="dxa"/>
          </w:tblCellMar>
        </w:tblPrEx>
        <w:trPr>
          <w:trHeight w:val="780" w:hRule="atLeast"/>
        </w:trPr>
        <w:tc>
          <w:tcPr>
            <w:tcW w:w="572"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145" w:type="dxa"/>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广东招商分局</w:t>
            </w:r>
          </w:p>
        </w:tc>
        <w:tc>
          <w:tcPr>
            <w:tcW w:w="2614"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招商经费20万元（10万/人）</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招商经费20万元（10万/人）</w:t>
            </w:r>
          </w:p>
        </w:tc>
      </w:tr>
      <w:tr>
        <w:tblPrEx>
          <w:tblCellMar>
            <w:top w:w="0" w:type="dxa"/>
            <w:left w:w="0" w:type="dxa"/>
            <w:bottom w:w="0" w:type="dxa"/>
            <w:right w:w="0" w:type="dxa"/>
          </w:tblCellMar>
        </w:tblPrEx>
        <w:trPr>
          <w:trHeight w:val="795" w:hRule="atLeast"/>
        </w:trPr>
        <w:tc>
          <w:tcPr>
            <w:tcW w:w="572"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145" w:type="dxa"/>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浙江招商分局</w:t>
            </w:r>
          </w:p>
        </w:tc>
        <w:tc>
          <w:tcPr>
            <w:tcW w:w="2614"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招商经费20万元（10万/人）</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招商经费20万元（10万/人）</w:t>
            </w:r>
          </w:p>
        </w:tc>
      </w:tr>
      <w:tr>
        <w:tblPrEx>
          <w:tblCellMar>
            <w:top w:w="0" w:type="dxa"/>
            <w:left w:w="0" w:type="dxa"/>
            <w:bottom w:w="0" w:type="dxa"/>
            <w:right w:w="0" w:type="dxa"/>
          </w:tblCellMar>
        </w:tblPrEx>
        <w:trPr>
          <w:trHeight w:val="765" w:hRule="atLeast"/>
        </w:trPr>
        <w:tc>
          <w:tcPr>
            <w:tcW w:w="572"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145" w:type="dxa"/>
            <w:vMerge w:val="continue"/>
            <w:tcBorders>
              <w:top w:val="nil"/>
              <w:left w:val="nil"/>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北京招商分局</w:t>
            </w:r>
          </w:p>
        </w:tc>
        <w:tc>
          <w:tcPr>
            <w:tcW w:w="2614"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招商经费20万元（10万/人）</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招商经费20万元（10万/人）</w:t>
            </w:r>
          </w:p>
        </w:tc>
      </w:tr>
      <w:tr>
        <w:tblPrEx>
          <w:tblCellMar>
            <w:top w:w="0" w:type="dxa"/>
            <w:left w:w="0" w:type="dxa"/>
            <w:bottom w:w="0" w:type="dxa"/>
            <w:right w:w="0" w:type="dxa"/>
          </w:tblCellMar>
        </w:tblPrEx>
        <w:trPr>
          <w:trHeight w:val="735" w:hRule="atLeast"/>
        </w:trPr>
        <w:tc>
          <w:tcPr>
            <w:tcW w:w="572" w:type="dxa"/>
            <w:vMerge w:val="continue"/>
            <w:tcBorders>
              <w:top w:val="nil"/>
              <w:left w:val="single" w:color="auto" w:sz="4" w:space="0"/>
              <w:bottom w:val="single" w:color="auto" w:sz="4"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continue"/>
            <w:tcBorders>
              <w:top w:val="nil"/>
              <w:left w:val="nil"/>
              <w:bottom w:val="single" w:color="auto" w:sz="4"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145" w:type="dxa"/>
            <w:vMerge w:val="continue"/>
            <w:tcBorders>
              <w:top w:val="nil"/>
              <w:left w:val="nil"/>
              <w:bottom w:val="single" w:color="auto" w:sz="4"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689" w:type="dxa"/>
            <w:gridSpan w:val="3"/>
            <w:tcBorders>
              <w:top w:val="nil"/>
              <w:left w:val="nil"/>
              <w:bottom w:val="single" w:color="auto" w:sz="4"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来旺客商</w:t>
            </w:r>
          </w:p>
        </w:tc>
        <w:tc>
          <w:tcPr>
            <w:tcW w:w="2614" w:type="dxa"/>
            <w:gridSpan w:val="2"/>
            <w:tcBorders>
              <w:top w:val="nil"/>
              <w:left w:val="nil"/>
              <w:bottom w:val="single" w:color="auto" w:sz="4"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来访费24万元</w:t>
            </w:r>
          </w:p>
        </w:tc>
        <w:tc>
          <w:tcPr>
            <w:tcW w:w="2486" w:type="dxa"/>
            <w:tcBorders>
              <w:top w:val="nil"/>
              <w:left w:val="nil"/>
              <w:bottom w:val="single" w:color="auto" w:sz="4"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来访费24万元</w:t>
            </w:r>
          </w:p>
        </w:tc>
      </w:tr>
      <w:tr>
        <w:tblPrEx>
          <w:tblCellMar>
            <w:top w:w="0" w:type="dxa"/>
            <w:left w:w="0" w:type="dxa"/>
            <w:bottom w:w="0" w:type="dxa"/>
            <w:right w:w="0" w:type="dxa"/>
          </w:tblCellMar>
        </w:tblPrEx>
        <w:trPr>
          <w:trHeight w:val="815" w:hRule="atLeast"/>
        </w:trPr>
        <w:tc>
          <w:tcPr>
            <w:tcW w:w="572" w:type="dxa"/>
            <w:vMerge w:val="continue"/>
            <w:tcBorders>
              <w:top w:val="single" w:color="auto" w:sz="4" w:space="0"/>
              <w:left w:val="single" w:color="auto" w:sz="4" w:space="0"/>
              <w:bottom w:val="single" w:color="000000" w:sz="8" w:space="0"/>
              <w:right w:val="single" w:color="auto" w:sz="4"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1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社会效益</w:t>
            </w:r>
          </w:p>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指标</w:t>
            </w:r>
          </w:p>
        </w:tc>
        <w:tc>
          <w:tcPr>
            <w:tcW w:w="2689" w:type="dxa"/>
            <w:gridSpan w:val="3"/>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促进我县招商项目</w:t>
            </w:r>
          </w:p>
        </w:tc>
        <w:tc>
          <w:tcPr>
            <w:tcW w:w="2614" w:type="dxa"/>
            <w:gridSpan w:val="2"/>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招商引资项目31个，其中新开工16个，新签约15个；到位市外资金87亿元，其中引进到位省外资金37亿元，到位工业资金43亿元。</w:t>
            </w:r>
          </w:p>
        </w:tc>
        <w:tc>
          <w:tcPr>
            <w:tcW w:w="24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招商引资项目31个，其中新开工16个，新签约15个；到位市外资金87亿元，其中引进到位省外资金37亿元，到位工业资金43亿元。</w:t>
            </w:r>
          </w:p>
        </w:tc>
      </w:tr>
      <w:tr>
        <w:tblPrEx>
          <w:tblCellMar>
            <w:top w:w="0" w:type="dxa"/>
            <w:left w:w="0" w:type="dxa"/>
            <w:bottom w:w="0" w:type="dxa"/>
            <w:right w:w="0" w:type="dxa"/>
          </w:tblCellMar>
        </w:tblPrEx>
        <w:trPr>
          <w:trHeight w:val="480" w:hRule="atLeast"/>
        </w:trPr>
        <w:tc>
          <w:tcPr>
            <w:tcW w:w="572" w:type="dxa"/>
            <w:vMerge w:val="continue"/>
            <w:tcBorders>
              <w:top w:val="nil"/>
              <w:left w:val="single" w:color="auto" w:sz="4" w:space="0"/>
              <w:bottom w:val="nil"/>
              <w:right w:val="single" w:color="auto" w:sz="4" w:space="0"/>
            </w:tcBorders>
            <w:noWrap w:val="0"/>
            <w:tcMar>
              <w:top w:w="15" w:type="dxa"/>
              <w:left w:w="15" w:type="dxa"/>
              <w:right w:w="15" w:type="dxa"/>
            </w:tcMar>
            <w:vAlign w:val="center"/>
          </w:tcPr>
          <w:p>
            <w:pPr>
              <w:jc w:val="center"/>
              <w:rPr>
                <w:rFonts w:hint="eastAsia" w:ascii="宋体" w:hAnsi="宋体" w:eastAsia="宋体" w:cs="宋体"/>
                <w:i w:val="0"/>
                <w:color w:val="000000"/>
                <w:sz w:val="36"/>
                <w:szCs w:val="36"/>
                <w:u w:val="none"/>
              </w:rPr>
            </w:pPr>
          </w:p>
        </w:tc>
        <w:tc>
          <w:tcPr>
            <w:tcW w:w="1084" w:type="dxa"/>
            <w:gridSpan w:val="3"/>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jc w:val="center"/>
            </w:pPr>
          </w:p>
        </w:tc>
        <w:tc>
          <w:tcPr>
            <w:tcW w:w="11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可持续影响</w:t>
            </w:r>
          </w:p>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指标</w:t>
            </w:r>
          </w:p>
        </w:tc>
        <w:tc>
          <w:tcPr>
            <w:tcW w:w="2689" w:type="dxa"/>
            <w:gridSpan w:val="3"/>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项目持续发挥作用</w:t>
            </w:r>
          </w:p>
        </w:tc>
        <w:tc>
          <w:tcPr>
            <w:tcW w:w="2614" w:type="dxa"/>
            <w:gridSpan w:val="2"/>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≥3年</w:t>
            </w:r>
          </w:p>
        </w:tc>
        <w:tc>
          <w:tcPr>
            <w:tcW w:w="24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≥3年</w:t>
            </w:r>
          </w:p>
        </w:tc>
      </w:tr>
      <w:tr>
        <w:tblPrEx>
          <w:tblCellMar>
            <w:top w:w="0" w:type="dxa"/>
            <w:left w:w="0" w:type="dxa"/>
            <w:bottom w:w="0" w:type="dxa"/>
            <w:right w:w="0" w:type="dxa"/>
          </w:tblCellMar>
        </w:tblPrEx>
        <w:trPr>
          <w:trHeight w:val="315" w:hRule="atLeast"/>
        </w:trPr>
        <w:tc>
          <w:tcPr>
            <w:tcW w:w="572" w:type="dxa"/>
            <w:vMerge w:val="continue"/>
            <w:tcBorders>
              <w:top w:val="single" w:color="000000" w:sz="8" w:space="0"/>
              <w:left w:val="single" w:color="auto" w:sz="4" w:space="0"/>
              <w:bottom w:val="single" w:color="000000" w:sz="8" w:space="0"/>
              <w:right w:val="single" w:color="auto" w:sz="4"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满意度指标</w:t>
            </w:r>
          </w:p>
        </w:tc>
        <w:tc>
          <w:tcPr>
            <w:tcW w:w="1145" w:type="dxa"/>
            <w:vMerge w:val="restart"/>
            <w:tcBorders>
              <w:top w:val="single" w:color="auto" w:sz="4" w:space="0"/>
              <w:left w:val="single" w:color="auto" w:sz="4" w:space="0"/>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满意度指标</w:t>
            </w:r>
          </w:p>
        </w:tc>
        <w:tc>
          <w:tcPr>
            <w:tcW w:w="2689" w:type="dxa"/>
            <w:gridSpan w:val="3"/>
            <w:tcBorders>
              <w:top w:val="single" w:color="auto" w:sz="4"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客商反映</w:t>
            </w:r>
          </w:p>
        </w:tc>
        <w:tc>
          <w:tcPr>
            <w:tcW w:w="2614" w:type="dxa"/>
            <w:gridSpan w:val="2"/>
            <w:tcBorders>
              <w:top w:val="single" w:color="auto" w:sz="4"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≥100%</w:t>
            </w:r>
          </w:p>
        </w:tc>
        <w:tc>
          <w:tcPr>
            <w:tcW w:w="2486" w:type="dxa"/>
            <w:tcBorders>
              <w:top w:val="single" w:color="auto" w:sz="4" w:space="0"/>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≥100%</w:t>
            </w:r>
          </w:p>
        </w:tc>
      </w:tr>
      <w:tr>
        <w:tblPrEx>
          <w:tblCellMar>
            <w:top w:w="0" w:type="dxa"/>
            <w:left w:w="0" w:type="dxa"/>
            <w:bottom w:w="0" w:type="dxa"/>
            <w:right w:w="0" w:type="dxa"/>
          </w:tblCellMar>
        </w:tblPrEx>
        <w:trPr>
          <w:trHeight w:val="315" w:hRule="atLeast"/>
        </w:trPr>
        <w:tc>
          <w:tcPr>
            <w:tcW w:w="572" w:type="dxa"/>
            <w:vMerge w:val="continue"/>
            <w:tcBorders>
              <w:top w:val="nil"/>
              <w:left w:val="single" w:color="auto" w:sz="4" w:space="0"/>
              <w:bottom w:val="single" w:color="000000" w:sz="8" w:space="0"/>
              <w:right w:val="single" w:color="auto" w:sz="4"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084" w:type="dxa"/>
            <w:gridSpan w:val="3"/>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jc w:val="center"/>
            </w:pPr>
          </w:p>
        </w:tc>
        <w:tc>
          <w:tcPr>
            <w:tcW w:w="1145" w:type="dxa"/>
            <w:vMerge w:val="continue"/>
            <w:tcBorders>
              <w:top w:val="nil"/>
              <w:left w:val="single" w:color="auto" w:sz="4" w:space="0"/>
              <w:bottom w:val="single" w:color="000000" w:sz="8" w:space="0"/>
              <w:right w:val="single" w:color="000000" w:sz="8" w:space="0"/>
            </w:tcBorders>
            <w:noWrap w:val="0"/>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689" w:type="dxa"/>
            <w:gridSpan w:val="3"/>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县政府满意度</w:t>
            </w:r>
          </w:p>
        </w:tc>
        <w:tc>
          <w:tcPr>
            <w:tcW w:w="2614" w:type="dxa"/>
            <w:gridSpan w:val="2"/>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≥100%</w:t>
            </w:r>
          </w:p>
        </w:tc>
        <w:tc>
          <w:tcPr>
            <w:tcW w:w="2486" w:type="dxa"/>
            <w:tcBorders>
              <w:top w:val="nil"/>
              <w:left w:val="nil"/>
              <w:bottom w:val="single" w:color="000000" w:sz="8" w:space="0"/>
              <w:right w:val="single" w:color="000000" w:sz="8" w:space="0"/>
            </w:tcBorders>
            <w:noWrap w:val="0"/>
            <w:tcMar>
              <w:top w:w="15" w:type="dxa"/>
              <w:left w:w="15" w:type="dxa"/>
              <w:right w:w="15" w:type="dxa"/>
            </w:tcMar>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≥100%</w:t>
            </w:r>
          </w:p>
        </w:tc>
      </w:tr>
    </w:tbl>
    <w:tbl>
      <w:tblPr>
        <w:tblStyle w:val="14"/>
        <w:tblpPr w:leftFromText="180" w:rightFromText="180" w:vertAnchor="text" w:horzAnchor="page" w:tblpXSpec="center" w:tblpY="423"/>
        <w:tblOverlap w:val="never"/>
        <w:tblW w:w="0" w:type="auto"/>
        <w:jc w:val="center"/>
        <w:tblLayout w:type="fixed"/>
        <w:tblCellMar>
          <w:top w:w="0" w:type="dxa"/>
          <w:left w:w="0" w:type="dxa"/>
          <w:bottom w:w="0" w:type="dxa"/>
          <w:right w:w="0" w:type="dxa"/>
        </w:tblCellMar>
      </w:tblPr>
      <w:tblGrid>
        <w:gridCol w:w="537"/>
        <w:gridCol w:w="1019"/>
        <w:gridCol w:w="1787"/>
        <w:gridCol w:w="1799"/>
        <w:gridCol w:w="2479"/>
        <w:gridCol w:w="2339"/>
      </w:tblGrid>
      <w:tr>
        <w:tblPrEx>
          <w:tblCellMar>
            <w:top w:w="0" w:type="dxa"/>
            <w:left w:w="0" w:type="dxa"/>
            <w:bottom w:w="0" w:type="dxa"/>
            <w:right w:w="0" w:type="dxa"/>
          </w:tblCellMar>
        </w:tblPrEx>
        <w:trPr>
          <w:trHeight w:val="1034" w:hRule="atLeast"/>
          <w:jc w:val="center"/>
        </w:trPr>
        <w:tc>
          <w:tcPr>
            <w:tcW w:w="9960" w:type="dxa"/>
            <w:gridSpan w:val="6"/>
            <w:tcBorders>
              <w:top w:val="nil"/>
              <w:left w:val="nil"/>
              <w:bottom w:val="nil"/>
              <w:right w:val="nil"/>
            </w:tcBorders>
            <w:noWrap w:val="0"/>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kern w:val="0"/>
                <w:sz w:val="36"/>
                <w:szCs w:val="36"/>
                <w:u w:val="none"/>
                <w:lang w:val="en-US" w:eastAsia="zh-CN" w:bidi="ar"/>
              </w:rPr>
            </w:pPr>
          </w:p>
          <w:p>
            <w:pPr>
              <w:pStyle w:val="2"/>
              <w:outlineLvl w:val="9"/>
              <w:rPr>
                <w:rFonts w:hint="eastAsia" w:ascii="黑体" w:hAnsi="宋体" w:eastAsia="黑体" w:cs="黑体"/>
                <w:i w:val="0"/>
                <w:color w:val="000000"/>
                <w:kern w:val="0"/>
                <w:sz w:val="36"/>
                <w:szCs w:val="36"/>
                <w:u w:val="none"/>
                <w:lang w:val="en-US" w:eastAsia="zh-CN" w:bidi="ar"/>
              </w:rPr>
            </w:pPr>
          </w:p>
          <w:p>
            <w:pPr>
              <w:rPr>
                <w:rFonts w:hint="eastAsia" w:ascii="黑体" w:hAnsi="宋体" w:eastAsia="黑体" w:cs="黑体"/>
                <w:i w:val="0"/>
                <w:color w:val="000000"/>
                <w:kern w:val="0"/>
                <w:sz w:val="36"/>
                <w:szCs w:val="36"/>
                <w:u w:val="none"/>
                <w:lang w:val="en-US" w:eastAsia="zh-CN" w:bidi="ar"/>
              </w:rPr>
            </w:pPr>
          </w:p>
          <w:p>
            <w:pPr>
              <w:pStyle w:val="2"/>
              <w:outlineLvl w:val="9"/>
              <w:rPr>
                <w:rFonts w:hint="eastAsia" w:ascii="黑体" w:hAnsi="宋体" w:eastAsia="黑体" w:cs="黑体"/>
                <w:i w:val="0"/>
                <w:color w:val="000000"/>
                <w:kern w:val="0"/>
                <w:sz w:val="36"/>
                <w:szCs w:val="36"/>
                <w:u w:val="none"/>
                <w:lang w:val="en-US" w:eastAsia="zh-CN" w:bidi="ar"/>
              </w:rPr>
            </w:pPr>
          </w:p>
          <w:p>
            <w:pPr>
              <w:rPr>
                <w:rFonts w:hint="eastAsia" w:ascii="黑体" w:hAnsi="宋体" w:eastAsia="黑体" w:cs="黑体"/>
                <w:i w:val="0"/>
                <w:color w:val="000000"/>
                <w:kern w:val="0"/>
                <w:sz w:val="36"/>
                <w:szCs w:val="36"/>
                <w:u w:val="none"/>
                <w:lang w:val="en-US" w:eastAsia="zh-CN" w:bidi="ar"/>
              </w:rPr>
            </w:pPr>
          </w:p>
          <w:p>
            <w:pPr>
              <w:pStyle w:val="2"/>
              <w:outlineLvl w:val="9"/>
              <w:rPr>
                <w:rFonts w:hint="eastAsia" w:ascii="黑体" w:hAnsi="宋体" w:eastAsia="黑体" w:cs="黑体"/>
                <w:i w:val="0"/>
                <w:color w:val="000000"/>
                <w:kern w:val="0"/>
                <w:sz w:val="36"/>
                <w:szCs w:val="36"/>
                <w:u w:val="none"/>
                <w:lang w:val="en-US" w:eastAsia="zh-CN" w:bidi="ar"/>
              </w:rPr>
            </w:pPr>
          </w:p>
          <w:p>
            <w:pPr>
              <w:rPr>
                <w:rFonts w:hint="eastAsia"/>
                <w:lang w:val="en-US" w:eastAsia="zh-CN"/>
              </w:rPr>
            </w:pPr>
          </w:p>
          <w:p>
            <w:pPr>
              <w:keepNext w:val="0"/>
              <w:keepLines w:val="0"/>
              <w:widowControl/>
              <w:suppressLineNumbers w:val="0"/>
              <w:jc w:val="center"/>
              <w:textAlignment w:val="center"/>
              <w:rPr>
                <w:rFonts w:ascii="宋体" w:cs="宋体"/>
                <w:color w:val="000000"/>
                <w:sz w:val="36"/>
                <w:szCs w:val="36"/>
              </w:rPr>
            </w:pPr>
            <w:r>
              <w:rPr>
                <w:rFonts w:hint="eastAsia" w:ascii="黑体" w:hAnsi="宋体" w:eastAsia="黑体" w:cs="黑体"/>
                <w:i w:val="0"/>
                <w:color w:val="000000"/>
                <w:kern w:val="0"/>
                <w:sz w:val="36"/>
                <w:szCs w:val="36"/>
                <w:u w:val="none"/>
                <w:lang w:val="en-US" w:eastAsia="zh-CN" w:bidi="ar"/>
              </w:rPr>
              <w:t>项目支出绩效目标完成情况表</w:t>
            </w:r>
          </w:p>
        </w:tc>
      </w:tr>
      <w:tr>
        <w:tblPrEx>
          <w:tblCellMar>
            <w:top w:w="0" w:type="dxa"/>
            <w:left w:w="0" w:type="dxa"/>
            <w:bottom w:w="0" w:type="dxa"/>
            <w:right w:w="0" w:type="dxa"/>
          </w:tblCellMar>
        </w:tblPrEx>
        <w:trPr>
          <w:trHeight w:val="276" w:hRule="atLeast"/>
          <w:jc w:val="center"/>
        </w:trPr>
        <w:tc>
          <w:tcPr>
            <w:tcW w:w="9960" w:type="dxa"/>
            <w:gridSpan w:val="6"/>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36"/>
                <w:szCs w:val="36"/>
                <w:u w:val="none"/>
                <w:lang w:val="en-US" w:eastAsia="zh-CN" w:bidi="ar"/>
              </w:rPr>
              <w:t>(202</w:t>
            </w:r>
            <w:r>
              <w:rPr>
                <w:rFonts w:hint="eastAsia" w:ascii="宋体" w:hAnsi="宋体" w:cs="宋体"/>
                <w:i w:val="0"/>
                <w:color w:val="000000"/>
                <w:kern w:val="0"/>
                <w:sz w:val="36"/>
                <w:szCs w:val="36"/>
                <w:u w:val="none"/>
                <w:lang w:val="en-US" w:eastAsia="zh-CN" w:bidi="ar"/>
              </w:rPr>
              <w:t>1</w:t>
            </w:r>
            <w:r>
              <w:rPr>
                <w:rFonts w:hint="eastAsia" w:ascii="宋体" w:hAnsi="宋体" w:eastAsia="宋体" w:cs="宋体"/>
                <w:i w:val="0"/>
                <w:color w:val="000000"/>
                <w:kern w:val="0"/>
                <w:sz w:val="36"/>
                <w:szCs w:val="36"/>
                <w:u w:val="none"/>
                <w:lang w:val="en-US" w:eastAsia="zh-CN" w:bidi="ar"/>
              </w:rPr>
              <w:t xml:space="preserve"> 年度)</w:t>
            </w:r>
          </w:p>
        </w:tc>
      </w:tr>
      <w:tr>
        <w:tblPrEx>
          <w:tblCellMar>
            <w:top w:w="0" w:type="dxa"/>
            <w:left w:w="0" w:type="dxa"/>
            <w:bottom w:w="0" w:type="dxa"/>
            <w:right w:w="0" w:type="dxa"/>
          </w:tblCellMar>
        </w:tblPrEx>
        <w:trPr>
          <w:trHeight w:val="584" w:hRule="atLeast"/>
          <w:jc w:val="center"/>
        </w:trPr>
        <w:tc>
          <w:tcPr>
            <w:tcW w:w="3343"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项目名称</w:t>
            </w:r>
          </w:p>
        </w:tc>
        <w:tc>
          <w:tcPr>
            <w:tcW w:w="6617"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党组织活动经费</w:t>
            </w:r>
          </w:p>
        </w:tc>
      </w:tr>
      <w:tr>
        <w:tblPrEx>
          <w:tblCellMar>
            <w:top w:w="0" w:type="dxa"/>
            <w:left w:w="0" w:type="dxa"/>
            <w:bottom w:w="0" w:type="dxa"/>
            <w:right w:w="0" w:type="dxa"/>
          </w:tblCellMar>
        </w:tblPrEx>
        <w:trPr>
          <w:trHeight w:val="605" w:hRule="atLeast"/>
          <w:jc w:val="center"/>
        </w:trPr>
        <w:tc>
          <w:tcPr>
            <w:tcW w:w="3343"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预算单位</w:t>
            </w:r>
          </w:p>
        </w:tc>
        <w:tc>
          <w:tcPr>
            <w:tcW w:w="6617"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eastAsia="宋体" w:cs="宋体"/>
                <w:i w:val="0"/>
                <w:color w:val="000000"/>
                <w:kern w:val="0"/>
                <w:sz w:val="24"/>
                <w:szCs w:val="24"/>
                <w:u w:val="none"/>
                <w:lang w:val="en-US" w:eastAsia="zh-CN" w:bidi="ar"/>
              </w:rPr>
              <w:t>旺苍县经济合作事务中心</w:t>
            </w:r>
          </w:p>
        </w:tc>
      </w:tr>
      <w:tr>
        <w:tblPrEx>
          <w:tblCellMar>
            <w:top w:w="0" w:type="dxa"/>
            <w:left w:w="0" w:type="dxa"/>
            <w:bottom w:w="0" w:type="dxa"/>
            <w:right w:w="0" w:type="dxa"/>
          </w:tblCellMar>
        </w:tblPrEx>
        <w:trPr>
          <w:trHeight w:val="451" w:hRule="atLeast"/>
          <w:jc w:val="center"/>
        </w:trPr>
        <w:tc>
          <w:tcPr>
            <w:tcW w:w="537"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预算执行情况(万元)</w:t>
            </w:r>
          </w:p>
        </w:tc>
        <w:tc>
          <w:tcPr>
            <w:tcW w:w="2806"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预算数:</w:t>
            </w: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1万元</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执行数:</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1万元</w:t>
            </w:r>
          </w:p>
        </w:tc>
      </w:tr>
      <w:tr>
        <w:tblPrEx>
          <w:tblCellMar>
            <w:top w:w="0" w:type="dxa"/>
            <w:left w:w="0" w:type="dxa"/>
            <w:bottom w:w="0" w:type="dxa"/>
            <w:right w:w="0" w:type="dxa"/>
          </w:tblCellMar>
        </w:tblPrEx>
        <w:trPr>
          <w:trHeight w:val="461"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2806"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其中-财政拨款:</w:t>
            </w: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1万元</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其中-财政拨款:</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1万元</w:t>
            </w:r>
          </w:p>
        </w:tc>
      </w:tr>
      <w:tr>
        <w:tblPrEx>
          <w:tblCellMar>
            <w:top w:w="0" w:type="dxa"/>
            <w:left w:w="0" w:type="dxa"/>
            <w:bottom w:w="0" w:type="dxa"/>
            <w:right w:w="0" w:type="dxa"/>
          </w:tblCellMar>
        </w:tblPrEx>
        <w:trPr>
          <w:trHeight w:val="42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2806"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其它资金:</w:t>
            </w: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0</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其它资金:</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pPr>
            <w:r>
              <w:rPr>
                <w:rFonts w:hint="eastAsia" w:ascii="宋体" w:hAnsi="宋体" w:eastAsia="宋体" w:cs="宋体"/>
                <w:i w:val="0"/>
                <w:color w:val="000000"/>
                <w:sz w:val="24"/>
                <w:szCs w:val="24"/>
                <w:u w:val="none"/>
                <w:lang w:val="en-US" w:eastAsia="zh-CN"/>
              </w:rPr>
              <w:t>0</w:t>
            </w:r>
          </w:p>
        </w:tc>
      </w:tr>
      <w:tr>
        <w:tblPrEx>
          <w:tblCellMar>
            <w:top w:w="0" w:type="dxa"/>
            <w:left w:w="0" w:type="dxa"/>
            <w:bottom w:w="0" w:type="dxa"/>
            <w:right w:w="0" w:type="dxa"/>
          </w:tblCellMar>
        </w:tblPrEx>
        <w:trPr>
          <w:trHeight w:val="599" w:hRule="atLeast"/>
          <w:jc w:val="center"/>
        </w:trPr>
        <w:tc>
          <w:tcPr>
            <w:tcW w:w="537"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年度目标完成情况</w:t>
            </w:r>
          </w:p>
        </w:tc>
        <w:tc>
          <w:tcPr>
            <w:tcW w:w="4605"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预期目标</w:t>
            </w:r>
          </w:p>
        </w:tc>
        <w:tc>
          <w:tcPr>
            <w:tcW w:w="481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实际完成目标</w:t>
            </w:r>
          </w:p>
        </w:tc>
      </w:tr>
      <w:tr>
        <w:tblPrEx>
          <w:tblCellMar>
            <w:top w:w="0" w:type="dxa"/>
            <w:left w:w="0" w:type="dxa"/>
            <w:bottom w:w="0" w:type="dxa"/>
            <w:right w:w="0" w:type="dxa"/>
          </w:tblCellMar>
        </w:tblPrEx>
        <w:trPr>
          <w:trHeight w:val="742" w:hRule="atLeast"/>
          <w:jc w:val="center"/>
        </w:trPr>
        <w:tc>
          <w:tcPr>
            <w:tcW w:w="537" w:type="dxa"/>
            <w:vMerge w:val="continue"/>
            <w:tcBorders>
              <w:top w:val="single" w:color="000000" w:sz="4" w:space="0"/>
              <w:left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4605"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保障202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年中心党组织各类活动的开展。</w:t>
            </w:r>
          </w:p>
        </w:tc>
        <w:tc>
          <w:tcPr>
            <w:tcW w:w="481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保障202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年中心党组织各类活动的开展。</w:t>
            </w:r>
          </w:p>
        </w:tc>
      </w:tr>
      <w:tr>
        <w:tblPrEx>
          <w:tblCellMar>
            <w:top w:w="0" w:type="dxa"/>
            <w:left w:w="0" w:type="dxa"/>
            <w:bottom w:w="0" w:type="dxa"/>
            <w:right w:w="0" w:type="dxa"/>
          </w:tblCellMar>
        </w:tblPrEx>
        <w:trPr>
          <w:trHeight w:val="723" w:hRule="atLeast"/>
          <w:jc w:val="center"/>
        </w:trPr>
        <w:tc>
          <w:tcPr>
            <w:tcW w:w="537" w:type="dxa"/>
            <w:vMerge w:val="restart"/>
            <w:tcBorders>
              <w:left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绩效指标完成情况</w:t>
            </w:r>
          </w:p>
        </w:tc>
        <w:tc>
          <w:tcPr>
            <w:tcW w:w="101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一级指标</w:t>
            </w:r>
          </w:p>
        </w:tc>
        <w:tc>
          <w:tcPr>
            <w:tcW w:w="17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二级指标</w:t>
            </w: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三级指标</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预期指标值(包含数字及文字描述)</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实际完成指标值(包含数字及文字描述)</w:t>
            </w:r>
          </w:p>
        </w:tc>
      </w:tr>
      <w:tr>
        <w:tblPrEx>
          <w:tblCellMar>
            <w:top w:w="0" w:type="dxa"/>
            <w:left w:w="0" w:type="dxa"/>
            <w:bottom w:w="0" w:type="dxa"/>
            <w:right w:w="0" w:type="dxa"/>
          </w:tblCellMar>
        </w:tblPrEx>
        <w:trPr>
          <w:trHeight w:val="582" w:hRule="atLeast"/>
          <w:jc w:val="center"/>
        </w:trPr>
        <w:tc>
          <w:tcPr>
            <w:tcW w:w="537" w:type="dxa"/>
            <w:vMerge w:val="continue"/>
            <w:tcBorders>
              <w:left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0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项目完成指标</w:t>
            </w:r>
          </w:p>
        </w:tc>
        <w:tc>
          <w:tcPr>
            <w:tcW w:w="1787"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数量指标</w:t>
            </w: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党员大会</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4次</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4次</w:t>
            </w:r>
          </w:p>
        </w:tc>
      </w:tr>
      <w:tr>
        <w:tblPrEx>
          <w:tblCellMar>
            <w:top w:w="0" w:type="dxa"/>
            <w:left w:w="0" w:type="dxa"/>
            <w:bottom w:w="0" w:type="dxa"/>
            <w:right w:w="0" w:type="dxa"/>
          </w:tblCellMar>
        </w:tblPrEx>
        <w:trPr>
          <w:trHeight w:val="777" w:hRule="atLeast"/>
          <w:jc w:val="center"/>
        </w:trPr>
        <w:tc>
          <w:tcPr>
            <w:tcW w:w="537" w:type="dxa"/>
            <w:vMerge w:val="continue"/>
            <w:tcBorders>
              <w:left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0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78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支部委员会</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12次</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12次</w:t>
            </w:r>
          </w:p>
        </w:tc>
      </w:tr>
      <w:tr>
        <w:tblPrEx>
          <w:tblCellMar>
            <w:top w:w="0" w:type="dxa"/>
            <w:left w:w="0" w:type="dxa"/>
            <w:bottom w:w="0" w:type="dxa"/>
            <w:right w:w="0" w:type="dxa"/>
          </w:tblCellMar>
        </w:tblPrEx>
        <w:trPr>
          <w:trHeight w:val="585" w:hRule="atLeast"/>
          <w:jc w:val="center"/>
        </w:trPr>
        <w:tc>
          <w:tcPr>
            <w:tcW w:w="537" w:type="dxa"/>
            <w:vMerge w:val="continue"/>
            <w:tcBorders>
              <w:left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0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kern w:val="0"/>
                <w:sz w:val="24"/>
                <w:lang w:bidi="ar"/>
              </w:rPr>
            </w:pPr>
          </w:p>
        </w:tc>
        <w:tc>
          <w:tcPr>
            <w:tcW w:w="178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党小组会</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12次</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12次</w:t>
            </w:r>
          </w:p>
        </w:tc>
      </w:tr>
      <w:tr>
        <w:tblPrEx>
          <w:tblCellMar>
            <w:top w:w="0" w:type="dxa"/>
            <w:left w:w="0" w:type="dxa"/>
            <w:bottom w:w="0" w:type="dxa"/>
            <w:right w:w="0" w:type="dxa"/>
          </w:tblCellMar>
        </w:tblPrEx>
        <w:trPr>
          <w:trHeight w:val="651" w:hRule="atLeast"/>
          <w:jc w:val="center"/>
        </w:trPr>
        <w:tc>
          <w:tcPr>
            <w:tcW w:w="537" w:type="dxa"/>
            <w:vMerge w:val="continue"/>
            <w:tcBorders>
              <w:left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0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78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党课</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4次</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4次</w:t>
            </w:r>
          </w:p>
        </w:tc>
      </w:tr>
      <w:tr>
        <w:tblPrEx>
          <w:tblCellMar>
            <w:top w:w="0" w:type="dxa"/>
            <w:left w:w="0" w:type="dxa"/>
            <w:bottom w:w="0" w:type="dxa"/>
            <w:right w:w="0" w:type="dxa"/>
          </w:tblCellMar>
        </w:tblPrEx>
        <w:trPr>
          <w:trHeight w:val="587" w:hRule="atLeast"/>
          <w:jc w:val="center"/>
        </w:trPr>
        <w:tc>
          <w:tcPr>
            <w:tcW w:w="537" w:type="dxa"/>
            <w:vMerge w:val="continue"/>
            <w:tcBorders>
              <w:left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0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项目完成指标</w:t>
            </w:r>
          </w:p>
        </w:tc>
        <w:tc>
          <w:tcPr>
            <w:tcW w:w="17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质量指标</w:t>
            </w: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按总体目标完成</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≥90%</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≥90%</w:t>
            </w:r>
          </w:p>
        </w:tc>
      </w:tr>
      <w:tr>
        <w:tblPrEx>
          <w:tblCellMar>
            <w:top w:w="0" w:type="dxa"/>
            <w:left w:w="0" w:type="dxa"/>
            <w:bottom w:w="0" w:type="dxa"/>
            <w:right w:w="0" w:type="dxa"/>
          </w:tblCellMar>
        </w:tblPrEx>
        <w:trPr>
          <w:trHeight w:val="542" w:hRule="atLeast"/>
          <w:jc w:val="center"/>
        </w:trPr>
        <w:tc>
          <w:tcPr>
            <w:tcW w:w="537" w:type="dxa"/>
            <w:vMerge w:val="continue"/>
            <w:tcBorders>
              <w:left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0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78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时效指标</w:t>
            </w: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完成时间</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年12月前</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202</w:t>
            </w: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年12月前</w:t>
            </w:r>
          </w:p>
        </w:tc>
      </w:tr>
      <w:tr>
        <w:tblPrEx>
          <w:tblCellMar>
            <w:top w:w="0" w:type="dxa"/>
            <w:left w:w="0" w:type="dxa"/>
            <w:bottom w:w="0" w:type="dxa"/>
            <w:right w:w="0" w:type="dxa"/>
          </w:tblCellMar>
        </w:tblPrEx>
        <w:trPr>
          <w:trHeight w:val="589" w:hRule="atLeast"/>
          <w:jc w:val="center"/>
        </w:trPr>
        <w:tc>
          <w:tcPr>
            <w:tcW w:w="537" w:type="dxa"/>
            <w:vMerge w:val="continue"/>
            <w:tcBorders>
              <w:left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019"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项目完成指标</w:t>
            </w:r>
          </w:p>
        </w:tc>
        <w:tc>
          <w:tcPr>
            <w:tcW w:w="1787"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成本指标</w:t>
            </w: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党员大会</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会议费用0.18万元</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会议费用0.18万元</w:t>
            </w:r>
          </w:p>
        </w:tc>
      </w:tr>
      <w:tr>
        <w:tblPrEx>
          <w:tblCellMar>
            <w:top w:w="0" w:type="dxa"/>
            <w:left w:w="0" w:type="dxa"/>
            <w:bottom w:w="0" w:type="dxa"/>
            <w:right w:w="0" w:type="dxa"/>
          </w:tblCellMar>
        </w:tblPrEx>
        <w:trPr>
          <w:trHeight w:val="722" w:hRule="atLeast"/>
          <w:jc w:val="center"/>
        </w:trPr>
        <w:tc>
          <w:tcPr>
            <w:tcW w:w="537" w:type="dxa"/>
            <w:vMerge w:val="continue"/>
            <w:tcBorders>
              <w:left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0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kern w:val="0"/>
                <w:sz w:val="24"/>
                <w:lang w:bidi="ar"/>
              </w:rPr>
            </w:pPr>
          </w:p>
        </w:tc>
        <w:tc>
          <w:tcPr>
            <w:tcW w:w="178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支部委员会</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会议费用0.32万元</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会议费用0.32万元</w:t>
            </w:r>
          </w:p>
        </w:tc>
      </w:tr>
      <w:tr>
        <w:tblPrEx>
          <w:tblCellMar>
            <w:top w:w="0" w:type="dxa"/>
            <w:left w:w="0" w:type="dxa"/>
            <w:bottom w:w="0" w:type="dxa"/>
            <w:right w:w="0" w:type="dxa"/>
          </w:tblCellMar>
        </w:tblPrEx>
        <w:trPr>
          <w:trHeight w:val="587" w:hRule="atLeast"/>
          <w:jc w:val="center"/>
        </w:trPr>
        <w:tc>
          <w:tcPr>
            <w:tcW w:w="537"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019"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78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jc w:val="center"/>
              <w:rPr>
                <w:rFonts w:ascii="宋体" w:cs="宋体"/>
                <w:color w:val="000000"/>
                <w:sz w:val="24"/>
              </w:rPr>
            </w:pPr>
          </w:p>
        </w:tc>
        <w:tc>
          <w:tcPr>
            <w:tcW w:w="179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党小组会</w:t>
            </w:r>
          </w:p>
        </w:tc>
        <w:tc>
          <w:tcPr>
            <w:tcW w:w="24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会议费用0.32万元</w:t>
            </w:r>
          </w:p>
        </w:tc>
        <w:tc>
          <w:tcPr>
            <w:tcW w:w="233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会议费用0.32万元</w:t>
            </w:r>
          </w:p>
        </w:tc>
      </w:tr>
    </w:tbl>
    <w:p>
      <w:pPr>
        <w:keepNext w:val="0"/>
        <w:keepLines w:val="0"/>
        <w:pageBreakBefore w:val="0"/>
        <w:kinsoku/>
        <w:wordWrap/>
        <w:overflowPunct/>
        <w:topLinePunct w:val="0"/>
        <w:autoSpaceDE/>
        <w:autoSpaceDN/>
        <w:bidi w:val="0"/>
        <w:adjustRightInd/>
        <w:snapToGrid/>
        <w:spacing w:line="576" w:lineRule="exact"/>
        <w:ind w:firstLine="640" w:firstLineChars="200"/>
        <w:rPr>
          <w:rFonts w:ascii="楷体_GB2312" w:hAnsi="楷体_GB2312" w:eastAsia="楷体_GB2312" w:cs="楷体_GB2312"/>
          <w:sz w:val="32"/>
          <w:szCs w:val="32"/>
        </w:rPr>
      </w:pPr>
    </w:p>
    <w:p>
      <w:pPr>
        <w:keepNext w:val="0"/>
        <w:keepLines w:val="0"/>
        <w:pageBreakBefore w:val="0"/>
        <w:kinsoku/>
        <w:wordWrap/>
        <w:overflowPunct/>
        <w:topLinePunct w:val="0"/>
        <w:autoSpaceDE/>
        <w:autoSpaceDN/>
        <w:bidi w:val="0"/>
        <w:adjustRightInd/>
        <w:snapToGrid/>
        <w:spacing w:line="576" w:lineRule="exact"/>
        <w:ind w:firstLine="640" w:firstLineChars="200"/>
        <w:rPr>
          <w:rFonts w:ascii="楷体_GB2312" w:hAnsi="楷体_GB2312" w:eastAsia="楷体_GB2312" w:cs="楷体_GB2312"/>
          <w:sz w:val="32"/>
          <w:szCs w:val="32"/>
        </w:rPr>
      </w:pPr>
    </w:p>
    <w:p>
      <w:pPr>
        <w:keepNext w:val="0"/>
        <w:keepLines w:val="0"/>
        <w:pageBreakBefore w:val="0"/>
        <w:kinsoku/>
        <w:wordWrap/>
        <w:overflowPunct/>
        <w:topLinePunct w:val="0"/>
        <w:autoSpaceDE/>
        <w:autoSpaceDN/>
        <w:bidi w:val="0"/>
        <w:adjustRightInd/>
        <w:snapToGrid/>
        <w:spacing w:line="576" w:lineRule="exact"/>
        <w:ind w:firstLine="640" w:firstLineChars="200"/>
        <w:outlineLvl w:val="2"/>
        <w:rPr>
          <w:rFonts w:ascii="仿宋_GB2312" w:hAnsi="仿宋_GB2312" w:eastAsia="仿宋_GB2312" w:cs="仿宋_GB2312"/>
          <w:sz w:val="32"/>
          <w:szCs w:val="32"/>
        </w:rPr>
      </w:pPr>
      <w:r>
        <w:rPr>
          <w:rFonts w:ascii="楷体_GB2312" w:hAnsi="楷体_GB2312" w:eastAsia="楷体_GB2312" w:cs="楷体_GB2312"/>
          <w:sz w:val="32"/>
          <w:szCs w:val="32"/>
        </w:rPr>
        <w:t>2.</w:t>
      </w:r>
      <w:r>
        <w:rPr>
          <w:rFonts w:hint="eastAsia" w:ascii="楷体_GB2312" w:hAnsi="楷体_GB2312" w:eastAsia="楷体_GB2312" w:cs="楷体_GB2312"/>
          <w:sz w:val="32"/>
          <w:szCs w:val="32"/>
        </w:rPr>
        <w:t>部门绩效评价结果。</w:t>
      </w:r>
    </w:p>
    <w:p>
      <w:pPr>
        <w:keepNext w:val="0"/>
        <w:keepLines w:val="0"/>
        <w:pageBreakBefore w:val="0"/>
        <w:kinsoku/>
        <w:wordWrap/>
        <w:overflowPunct/>
        <w:topLinePunct w:val="0"/>
        <w:autoSpaceDE/>
        <w:autoSpaceDN/>
        <w:bidi w:val="0"/>
        <w:adjustRightInd/>
        <w:snapToGrid/>
        <w:spacing w:line="576"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本部门按要求对2021年部门整体（项目）支出绩效评价情况开展自评，《</w:t>
      </w:r>
      <w:r>
        <w:rPr>
          <w:rFonts w:hint="eastAsia" w:ascii="仿宋_GB2312" w:hAnsi="仿宋_GB2312" w:eastAsia="仿宋_GB2312" w:cs="仿宋_GB2312"/>
          <w:sz w:val="32"/>
          <w:szCs w:val="32"/>
          <w:lang w:val="en-US" w:eastAsia="zh-CN"/>
        </w:rPr>
        <w:t>旺苍</w:t>
      </w:r>
      <w:r>
        <w:rPr>
          <w:rFonts w:hint="eastAsia" w:ascii="仿宋_GB2312" w:hAnsi="仿宋_GB2312" w:eastAsia="仿宋_GB2312" w:cs="仿宋_GB2312"/>
          <w:sz w:val="32"/>
          <w:szCs w:val="32"/>
        </w:rPr>
        <w:t>县经济合作</w:t>
      </w:r>
      <w:r>
        <w:rPr>
          <w:rFonts w:hint="eastAsia" w:ascii="仿宋_GB2312" w:hAnsi="仿宋_GB2312" w:eastAsia="仿宋_GB2312" w:cs="仿宋_GB2312"/>
          <w:sz w:val="32"/>
          <w:szCs w:val="32"/>
          <w:lang w:val="en-US" w:eastAsia="zh-CN"/>
        </w:rPr>
        <w:t>事务中心</w:t>
      </w:r>
      <w:r>
        <w:rPr>
          <w:rFonts w:hint="eastAsia" w:ascii="仿宋_GB2312" w:hAnsi="仿宋_GB2312" w:eastAsia="仿宋_GB2312" w:cs="仿宋_GB2312"/>
          <w:sz w:val="32"/>
          <w:szCs w:val="32"/>
        </w:rPr>
        <w:t>2021年部门整体支出绩效评价报告》见附件（附件</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旺苍</w:t>
      </w:r>
      <w:r>
        <w:rPr>
          <w:rFonts w:hint="eastAsia" w:ascii="仿宋_GB2312" w:hAnsi="仿宋_GB2312" w:eastAsia="仿宋_GB2312" w:cs="仿宋_GB2312"/>
          <w:sz w:val="32"/>
          <w:szCs w:val="32"/>
        </w:rPr>
        <w:t>县经济合作</w:t>
      </w:r>
      <w:r>
        <w:rPr>
          <w:rFonts w:hint="eastAsia" w:ascii="仿宋_GB2312" w:hAnsi="仿宋_GB2312" w:eastAsia="仿宋_GB2312" w:cs="仿宋_GB2312"/>
          <w:sz w:val="32"/>
          <w:szCs w:val="32"/>
          <w:lang w:val="en-US" w:eastAsia="zh-CN"/>
        </w:rPr>
        <w:t>事务中心</w:t>
      </w:r>
      <w:r>
        <w:rPr>
          <w:rFonts w:hint="eastAsia" w:ascii="仿宋_GB2312" w:hAnsi="仿宋_GB2312" w:eastAsia="仿宋_GB2312" w:cs="仿宋_GB2312"/>
          <w:sz w:val="32"/>
          <w:szCs w:val="32"/>
        </w:rPr>
        <w:t>2021年部门专项支出绩效评价报告》见附件（附件</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p>
    <w:p>
      <w:pPr>
        <w:pStyle w:val="5"/>
        <w:keepNext w:val="0"/>
        <w:keepLines w:val="0"/>
        <w:pageBreakBefore w:val="0"/>
        <w:kinsoku/>
        <w:wordWrap/>
        <w:overflowPunct/>
        <w:topLinePunct w:val="0"/>
        <w:autoSpaceDE/>
        <w:autoSpaceDN/>
        <w:bidi w:val="0"/>
        <w:adjustRightInd/>
        <w:snapToGrid/>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kern w:val="2"/>
          <w:sz w:val="32"/>
          <w:szCs w:val="32"/>
          <w:lang w:val="en-US" w:eastAsia="zh-CN" w:bidi="ar-SA"/>
        </w:rPr>
        <w:t>按照预算绩效管理要求，本部门对2021年整体支出开展绩效自评，自评得分90分，存在的问题：</w:t>
      </w:r>
      <w:r>
        <w:rPr>
          <w:rFonts w:hint="eastAsia" w:ascii="仿宋_GB2312" w:hAnsi="仿宋_GB2312" w:eastAsia="仿宋_GB2312" w:cs="仿宋_GB2312"/>
          <w:color w:val="000000"/>
          <w:sz w:val="32"/>
          <w:szCs w:val="32"/>
          <w:lang w:val="en-US" w:eastAsia="zh-CN" w:bidi="ar"/>
        </w:rPr>
        <w:t>一是绩效评价在指标设定上不科学。个别绩效指标设置不够合理，细化量化程度不足，没有明确的衡量标准，多样化标准的情况一定程度上导致绩效评价的随意性较大。另外，简单的量化指标又缺乏客观标准及相关数据支持，导致不能真实反映预算的总体情况。二是对项目支出中期绩效监控未达到全覆盖。由于前期绩效管理意识不到位及缺乏专业人员，我单位仅对部分重点项目进行绩效监控，未及时对项目全部资料进行梳理备案统一保管，出现资料不全等问题，导致单位自评依据不完整，评价结果不够准确。三是业务部门对预算绩效管理工作存在偏见，认为预算绩效管理是财务部门的事，配合参与程度较低，在管理机制约束力不足的情况下，很难保证预算绩效考核的全面性。</w:t>
      </w:r>
    </w:p>
    <w:p>
      <w:pPr>
        <w:pStyle w:val="33"/>
        <w:keepNext w:val="0"/>
        <w:keepLines w:val="0"/>
        <w:pageBreakBefore w:val="0"/>
        <w:kinsoku/>
        <w:wordWrap/>
        <w:overflowPunct/>
        <w:topLinePunct w:val="0"/>
        <w:autoSpaceDE/>
        <w:autoSpaceDN/>
        <w:bidi w:val="0"/>
        <w:adjustRightInd/>
        <w:snapToGrid/>
        <w:spacing w:line="576" w:lineRule="exact"/>
        <w:ind w:firstLine="640" w:firstLineChars="200"/>
        <w:jc w:val="both"/>
        <w:rPr>
          <w:rFonts w:hint="eastAsia"/>
        </w:rPr>
      </w:pPr>
      <w:r>
        <w:rPr>
          <w:rFonts w:hint="eastAsia" w:ascii="仿宋_GB2312" w:hAnsi="仿宋_GB2312" w:eastAsia="仿宋_GB2312" w:cs="仿宋_GB2312"/>
          <w:color w:val="000000"/>
          <w:kern w:val="2"/>
          <w:sz w:val="32"/>
          <w:szCs w:val="32"/>
          <w:lang w:val="en-US" w:eastAsia="zh-CN" w:bidi="ar"/>
        </w:rPr>
        <w:t>今后，我单位将绩效管理工作作为一项日常性重要工作来抓。一改过去忽视财政资金的使用绩效的评价作用，进行纵向、横向比较、评价，勇于发现缺点，善于及时纠正，做到预算精准和绩效效益明显提高。好钢用在刀刃上，促进县招商引资工作再上新台阶。</w:t>
      </w:r>
    </w:p>
    <w:p>
      <w:pPr>
        <w:numPr>
          <w:ilvl w:val="0"/>
          <w:numId w:val="2"/>
        </w:numPr>
        <w:spacing w:line="600" w:lineRule="exact"/>
        <w:ind w:firstLine="640"/>
        <w:outlineLvl w:val="1"/>
        <w:rPr>
          <w:rStyle w:val="28"/>
          <w:rFonts w:hint="eastAsia" w:ascii="黑体" w:hAnsi="黑体" w:eastAsia="黑体"/>
          <w:b w:val="0"/>
          <w:color w:val="auto"/>
          <w:highlight w:val="none"/>
        </w:rPr>
      </w:pPr>
      <w:bookmarkStart w:id="74" w:name="_Toc25545"/>
      <w:r>
        <w:rPr>
          <w:rStyle w:val="28"/>
          <w:rFonts w:hint="eastAsia" w:ascii="黑体" w:hAnsi="黑体" w:eastAsia="黑体"/>
          <w:b w:val="0"/>
          <w:color w:val="auto"/>
          <w:highlight w:val="none"/>
        </w:rPr>
        <w:t>其他重要事项的情况说明</w:t>
      </w:r>
      <w:bookmarkEnd w:id="71"/>
      <w:bookmarkEnd w:id="72"/>
      <w:bookmarkEnd w:id="74"/>
    </w:p>
    <w:p>
      <w:pPr>
        <w:spacing w:line="600" w:lineRule="exact"/>
        <w:ind w:firstLine="643" w:firstLineChars="200"/>
        <w:outlineLvl w:val="2"/>
        <w:rPr>
          <w:rFonts w:ascii="仿宋" w:hAnsi="仿宋" w:eastAsia="仿宋"/>
          <w:color w:val="auto"/>
          <w:sz w:val="32"/>
          <w:szCs w:val="32"/>
          <w:highlight w:val="none"/>
        </w:rPr>
      </w:pPr>
      <w:bookmarkStart w:id="75" w:name="_Toc15377222"/>
      <w:r>
        <w:rPr>
          <w:rFonts w:hint="eastAsia" w:ascii="仿宋" w:hAnsi="仿宋" w:eastAsia="仿宋"/>
          <w:b/>
          <w:color w:val="auto"/>
          <w:sz w:val="32"/>
          <w:szCs w:val="32"/>
          <w:highlight w:val="none"/>
        </w:rPr>
        <w:t>（一）机关运行经费支出情况</w:t>
      </w:r>
      <w:bookmarkEnd w:id="75"/>
    </w:p>
    <w:p>
      <w:pPr>
        <w:spacing w:line="600" w:lineRule="exact"/>
        <w:ind w:firstLine="626" w:firstLineChars="200"/>
        <w:rPr>
          <w:rFonts w:hint="default" w:ascii="仿宋_GB2312" w:eastAsia="仿宋_GB2312"/>
          <w:color w:val="000000"/>
          <w:w w:val="98"/>
          <w:sz w:val="32"/>
          <w:szCs w:val="32"/>
          <w:lang w:val="en-US" w:eastAsia="zh-CN"/>
        </w:rPr>
      </w:pPr>
      <w:r>
        <w:rPr>
          <w:rFonts w:hint="default" w:ascii="仿宋_GB2312" w:eastAsia="仿宋_GB2312"/>
          <w:color w:val="000000"/>
          <w:w w:val="98"/>
          <w:sz w:val="32"/>
          <w:szCs w:val="32"/>
          <w:lang w:val="en-US" w:eastAsia="zh-CN"/>
        </w:rPr>
        <w:t>2021年未发生机关运行经费支出，与2020年决算数持平</w:t>
      </w:r>
      <w:r>
        <w:rPr>
          <w:rFonts w:hint="eastAsia" w:ascii="仿宋_GB2312" w:eastAsia="仿宋_GB2312"/>
          <w:color w:val="000000"/>
          <w:w w:val="98"/>
          <w:sz w:val="32"/>
          <w:szCs w:val="32"/>
          <w:lang w:val="en-US" w:eastAsia="zh-CN"/>
        </w:rPr>
        <w:t>。</w:t>
      </w:r>
    </w:p>
    <w:p>
      <w:pPr>
        <w:autoSpaceDE w:val="0"/>
        <w:autoSpaceDN w:val="0"/>
        <w:adjustRightInd w:val="0"/>
        <w:spacing w:line="600" w:lineRule="exact"/>
        <w:ind w:firstLine="643" w:firstLineChars="200"/>
        <w:jc w:val="left"/>
        <w:outlineLvl w:val="2"/>
        <w:rPr>
          <w:rFonts w:ascii="仿宋" w:hAnsi="仿宋" w:eastAsia="仿宋"/>
          <w:b/>
          <w:color w:val="auto"/>
          <w:sz w:val="32"/>
          <w:szCs w:val="32"/>
          <w:highlight w:val="none"/>
        </w:rPr>
      </w:pPr>
      <w:bookmarkStart w:id="76" w:name="_Toc15377223"/>
      <w:r>
        <w:rPr>
          <w:rFonts w:hint="eastAsia" w:ascii="仿宋" w:hAnsi="仿宋" w:eastAsia="仿宋"/>
          <w:b/>
          <w:color w:val="auto"/>
          <w:sz w:val="32"/>
          <w:szCs w:val="32"/>
          <w:highlight w:val="none"/>
        </w:rPr>
        <w:t>（二）政府采购支出情况</w:t>
      </w:r>
      <w:bookmarkEnd w:id="76"/>
    </w:p>
    <w:p>
      <w:pPr>
        <w:spacing w:line="600" w:lineRule="exact"/>
        <w:ind w:firstLine="640" w:firstLineChars="200"/>
        <w:rPr>
          <w:rFonts w:ascii="仿宋" w:hAnsi="仿宋" w:eastAsia="仿宋"/>
          <w:b/>
          <w:color w:val="auto"/>
          <w:sz w:val="32"/>
          <w:szCs w:val="32"/>
          <w:highlight w:val="none"/>
        </w:rPr>
      </w:pPr>
      <w:r>
        <w:rPr>
          <w:rFonts w:ascii="仿宋_GB2312" w:eastAsia="仿宋_GB2312"/>
          <w:color w:val="000000"/>
          <w:sz w:val="32"/>
          <w:szCs w:val="32"/>
        </w:rPr>
        <w:t>202</w:t>
      </w:r>
      <w:r>
        <w:rPr>
          <w:rFonts w:hint="eastAsia" w:ascii="仿宋_GB2312" w:eastAsia="仿宋_GB2312"/>
          <w:color w:val="000000"/>
          <w:sz w:val="32"/>
          <w:szCs w:val="32"/>
          <w:lang w:val="en-US" w:eastAsia="zh-CN"/>
        </w:rPr>
        <w:t>1</w:t>
      </w:r>
      <w:r>
        <w:rPr>
          <w:rFonts w:hint="eastAsia" w:ascii="仿宋_GB2312" w:eastAsia="仿宋_GB2312"/>
          <w:color w:val="000000"/>
          <w:sz w:val="32"/>
          <w:szCs w:val="32"/>
        </w:rPr>
        <w:t>年，政府采购支出总额</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autoSpaceDE w:val="0"/>
        <w:autoSpaceDN w:val="0"/>
        <w:adjustRightInd w:val="0"/>
        <w:spacing w:line="600" w:lineRule="exact"/>
        <w:ind w:firstLine="643" w:firstLineChars="200"/>
        <w:jc w:val="left"/>
        <w:outlineLvl w:val="2"/>
        <w:rPr>
          <w:rFonts w:ascii="仿宋" w:hAnsi="仿宋" w:eastAsia="仿宋"/>
          <w:b/>
          <w:color w:val="auto"/>
          <w:sz w:val="32"/>
          <w:szCs w:val="32"/>
          <w:highlight w:val="none"/>
        </w:rPr>
      </w:pPr>
      <w:bookmarkStart w:id="77" w:name="_Toc15377224"/>
      <w:r>
        <w:rPr>
          <w:rFonts w:hint="eastAsia" w:ascii="仿宋" w:hAnsi="仿宋" w:eastAsia="仿宋"/>
          <w:b/>
          <w:color w:val="auto"/>
          <w:sz w:val="32"/>
          <w:szCs w:val="32"/>
          <w:highlight w:val="none"/>
        </w:rPr>
        <w:t>（三）国有资产占有使用情况</w:t>
      </w:r>
      <w:bookmarkEnd w:id="77"/>
    </w:p>
    <w:p>
      <w:pPr>
        <w:autoSpaceDE w:val="0"/>
        <w:autoSpaceDN w:val="0"/>
        <w:adjustRightInd w:val="0"/>
        <w:spacing w:line="600" w:lineRule="exact"/>
        <w:ind w:firstLine="640" w:firstLineChars="200"/>
        <w:jc w:val="left"/>
        <w:rPr>
          <w:rFonts w:ascii="仿宋" w:hAnsi="仿宋" w:eastAsia="仿宋"/>
          <w:b/>
          <w:color w:val="FF0000"/>
          <w:sz w:val="32"/>
          <w:szCs w:val="32"/>
        </w:rPr>
      </w:pPr>
      <w:r>
        <w:rPr>
          <w:rFonts w:hint="eastAsia" w:ascii="仿宋_GB2312" w:eastAsia="仿宋_GB2312"/>
          <w:color w:val="000000"/>
          <w:sz w:val="32"/>
          <w:szCs w:val="32"/>
        </w:rPr>
        <w:t>截至</w:t>
      </w:r>
      <w:r>
        <w:rPr>
          <w:rFonts w:ascii="仿宋_GB2312" w:eastAsia="仿宋_GB2312"/>
          <w:color w:val="000000"/>
          <w:sz w:val="32"/>
          <w:szCs w:val="32"/>
        </w:rPr>
        <w:t>2020</w:t>
      </w:r>
      <w:r>
        <w:rPr>
          <w:rFonts w:hint="eastAsia" w:ascii="仿宋_GB2312" w:eastAsia="仿宋_GB2312"/>
          <w:color w:val="000000"/>
          <w:sz w:val="32"/>
          <w:szCs w:val="32"/>
        </w:rPr>
        <w:t>年</w:t>
      </w:r>
      <w:r>
        <w:rPr>
          <w:rFonts w:ascii="仿宋_GB2312" w:eastAsia="仿宋_GB2312"/>
          <w:color w:val="000000"/>
          <w:sz w:val="32"/>
          <w:szCs w:val="32"/>
        </w:rPr>
        <w:t>12</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日，共有车辆</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w:t>
      </w:r>
    </w:p>
    <w:p>
      <w:pPr>
        <w:widowControl/>
        <w:jc w:val="left"/>
        <w:rPr>
          <w:rFonts w:ascii="仿宋_GB2312" w:eastAsia="仿宋_GB2312"/>
          <w:b/>
          <w:color w:val="auto"/>
          <w:sz w:val="32"/>
          <w:szCs w:val="32"/>
          <w:highlight w:val="none"/>
        </w:rPr>
      </w:pPr>
      <w:r>
        <w:rPr>
          <w:rFonts w:ascii="仿宋_GB2312" w:eastAsia="仿宋_GB2312"/>
          <w:b/>
          <w:color w:val="auto"/>
          <w:sz w:val="32"/>
          <w:szCs w:val="32"/>
          <w:highlight w:val="none"/>
        </w:rPr>
        <w:br w:type="page"/>
      </w:r>
    </w:p>
    <w:p>
      <w:pPr>
        <w:numPr>
          <w:ilvl w:val="0"/>
          <w:numId w:val="3"/>
        </w:numPr>
        <w:spacing w:line="600" w:lineRule="exact"/>
        <w:ind w:firstLine="660" w:firstLineChars="150"/>
        <w:jc w:val="center"/>
        <w:outlineLvl w:val="0"/>
        <w:rPr>
          <w:rStyle w:val="27"/>
          <w:rFonts w:ascii="黑体" w:hAnsi="黑体" w:eastAsia="黑体"/>
          <w:b w:val="0"/>
          <w:color w:val="auto"/>
          <w:highlight w:val="none"/>
        </w:rPr>
      </w:pPr>
      <w:bookmarkStart w:id="78" w:name="_Toc15377225"/>
      <w:bookmarkStart w:id="79" w:name="_Toc15396613"/>
      <w:bookmarkStart w:id="80" w:name="_Toc2177"/>
      <w:r>
        <w:rPr>
          <w:rFonts w:hint="eastAsia" w:ascii="黑体" w:hAnsi="黑体" w:eastAsia="黑体"/>
          <w:color w:val="auto"/>
          <w:sz w:val="44"/>
          <w:szCs w:val="44"/>
          <w:highlight w:val="none"/>
        </w:rPr>
        <w:t>名</w:t>
      </w:r>
      <w:r>
        <w:rPr>
          <w:rStyle w:val="27"/>
          <w:rFonts w:hint="eastAsia" w:ascii="黑体" w:hAnsi="黑体" w:eastAsia="黑体"/>
          <w:b w:val="0"/>
          <w:color w:val="auto"/>
          <w:highlight w:val="none"/>
        </w:rPr>
        <w:t>词解释</w:t>
      </w:r>
      <w:bookmarkEnd w:id="78"/>
      <w:bookmarkEnd w:id="79"/>
      <w:bookmarkEnd w:id="80"/>
    </w:p>
    <w:p>
      <w:pPr>
        <w:spacing w:line="600" w:lineRule="exact"/>
        <w:jc w:val="left"/>
        <w:rPr>
          <w:rFonts w:ascii="宋体"/>
          <w:b/>
          <w:color w:val="auto"/>
          <w:sz w:val="44"/>
          <w:szCs w:val="44"/>
          <w:highlight w:val="none"/>
        </w:rPr>
      </w:pP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1"/>
        <w:rPr>
          <w:rFonts w:hint="eastAsia" w:ascii="仿宋_GB2312" w:hAnsi="仿宋_GB2312" w:eastAsia="仿宋_GB2312" w:cs="仿宋_GB2312"/>
          <w:b w:val="0"/>
          <w:bCs/>
          <w:color w:val="000000"/>
          <w:sz w:val="32"/>
          <w:szCs w:val="32"/>
        </w:rPr>
      </w:pPr>
      <w:bookmarkStart w:id="81" w:name="_Toc20901"/>
      <w:bookmarkStart w:id="82" w:name="_Toc8057"/>
      <w:r>
        <w:rPr>
          <w:rFonts w:hint="eastAsia" w:ascii="仿宋_GB2312" w:hAnsi="仿宋_GB2312" w:eastAsia="仿宋_GB2312" w:cs="仿宋_GB2312"/>
          <w:b w:val="0"/>
          <w:bCs/>
          <w:color w:val="000000"/>
          <w:sz w:val="32"/>
          <w:szCs w:val="32"/>
        </w:rPr>
        <w:t>一、财政拨款收入。指单位从同级财政部门取得的财政预算资金。</w:t>
      </w:r>
      <w:bookmarkEnd w:id="81"/>
      <w:bookmarkEnd w:id="82"/>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二、事业收入。指事业单位开展专业业务活动及辅助活动取得的收入。</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三、经营收入。指事业单位在专业业务活动及其辅助活动之外开展非独立核算经营活动取得的收入。</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1"/>
        <w:rPr>
          <w:rFonts w:hint="eastAsia" w:ascii="仿宋_GB2312" w:hAnsi="仿宋_GB2312" w:eastAsia="仿宋_GB2312" w:cs="仿宋_GB2312"/>
          <w:b w:val="0"/>
          <w:bCs/>
          <w:color w:val="000000"/>
          <w:sz w:val="32"/>
          <w:szCs w:val="32"/>
        </w:rPr>
      </w:pPr>
      <w:bookmarkStart w:id="83" w:name="_Toc10629"/>
      <w:bookmarkStart w:id="84" w:name="_Toc23491"/>
      <w:r>
        <w:rPr>
          <w:rFonts w:hint="eastAsia" w:ascii="仿宋_GB2312" w:hAnsi="仿宋_GB2312" w:eastAsia="仿宋_GB2312" w:cs="仿宋_GB2312"/>
          <w:b w:val="0"/>
          <w:bCs/>
          <w:color w:val="000000"/>
          <w:sz w:val="32"/>
          <w:szCs w:val="32"/>
        </w:rPr>
        <w:t>四、其他收入。指单位取得的除上述收入以外的各项收入。</w:t>
      </w:r>
      <w:bookmarkEnd w:id="83"/>
      <w:bookmarkEnd w:id="84"/>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五、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六、年初结转和结余。指以前年度尚未完成、结转到本年按有关规定继续使用的资金。</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七、结余分配。指事业单位按照事业单位会计制度的规定从非财政补助结余中分配的事业基金和职工福利基金等。</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八、年末结转和结余。指单位按有关规定结转到下年或以后年度继续使用的资金。</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九、一般公共服务（类）</w:t>
      </w:r>
      <w:r>
        <w:rPr>
          <w:rFonts w:hint="eastAsia" w:ascii="仿宋_GB2312" w:hAnsi="仿宋_GB2312" w:eastAsia="仿宋_GB2312" w:cs="仿宋_GB2312"/>
          <w:b w:val="0"/>
          <w:bCs/>
          <w:color w:val="000000"/>
          <w:sz w:val="32"/>
          <w:szCs w:val="32"/>
          <w:lang w:val="en-US" w:eastAsia="zh-CN"/>
        </w:rPr>
        <w:t>组织事务</w:t>
      </w:r>
      <w:r>
        <w:rPr>
          <w:rFonts w:hint="eastAsia" w:ascii="仿宋_GB2312" w:hAnsi="仿宋_GB2312" w:eastAsia="仿宋_GB2312" w:cs="仿宋_GB2312"/>
          <w:b w:val="0"/>
          <w:bCs/>
          <w:color w:val="000000"/>
          <w:sz w:val="32"/>
          <w:szCs w:val="32"/>
        </w:rPr>
        <w:t>（款）其他</w:t>
      </w:r>
      <w:r>
        <w:rPr>
          <w:rFonts w:hint="eastAsia" w:ascii="仿宋_GB2312" w:hAnsi="仿宋_GB2312" w:eastAsia="仿宋_GB2312" w:cs="仿宋_GB2312"/>
          <w:b w:val="0"/>
          <w:bCs/>
          <w:color w:val="000000"/>
          <w:sz w:val="32"/>
          <w:szCs w:val="32"/>
          <w:lang w:val="en-US" w:eastAsia="zh-CN"/>
        </w:rPr>
        <w:t>组织事务支出</w:t>
      </w:r>
      <w:r>
        <w:rPr>
          <w:rFonts w:hint="eastAsia" w:ascii="仿宋_GB2312" w:hAnsi="仿宋_GB2312" w:eastAsia="仿宋_GB2312" w:cs="仿宋_GB2312"/>
          <w:b w:val="0"/>
          <w:bCs/>
          <w:color w:val="000000"/>
          <w:sz w:val="32"/>
          <w:szCs w:val="32"/>
        </w:rPr>
        <w:t>（项）。指其他人力资源事务方面的支出，本章反映三支一扶人员支出。</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十、一般公共服务（类）商贸事务（款）行政运行（项）。指商贸事务方面的行政单位的基本支出。</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十一、一般公共服务（类）商贸事务（款）招商引资（项）。指用于招商引资、优化经济环境等方面的支出。</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十二、社会保障和就业（类）行政事业单位离退休（款）机关事业单位基本养老保险缴费支出（项）。指机关事业单位实施养老保险制度由单位缴纳的基本养老保险费支出。</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十三、医疗卫生与计划生育（类）行政事业单位医疗（款）行政单位医疗（项）。指财政部门集中安排的行政单位基本医疗缴费经费。</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十四、住房保障支出（类）住房改革支出（款）住房公积金（项）。指行政事业单位按人力资源和社会保障部、财政部的规定的基本工资和津贴补贴以及规定比例为职工缴纳的住房公积金。</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十五、基本支出。指为保障机构正常运转、完成日常工作任务而发生的人员支出和公用支出。</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十六、项目支出。指在基本支出之外为完成特定行政任务和事业发展目标所发生的支出。</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十七、经营支出。指事业单位在专业业务活动及其辅助活动之外开展非独立核算经营活动发生的支出。</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十八、“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keepNext w:val="0"/>
        <w:keepLines w:val="0"/>
        <w:pageBreakBefore w:val="0"/>
        <w:widowControl w:val="0"/>
        <w:kinsoku/>
        <w:wordWrap/>
        <w:overflowPunct/>
        <w:topLinePunct w:val="0"/>
        <w:autoSpaceDE/>
        <w:autoSpaceDN/>
        <w:bidi w:val="0"/>
        <w:adjustRightInd/>
        <w:snapToGrid/>
        <w:spacing w:line="576" w:lineRule="exact"/>
        <w:ind w:right="0" w:firstLine="640" w:firstLineChars="200"/>
        <w:jc w:val="both"/>
        <w:textAlignment w:val="auto"/>
        <w:outlineLvl w:val="9"/>
        <w:rPr>
          <w:rFonts w:ascii="仿宋_GB2312" w:eastAsia="仿宋_GB2312" w:cs="黑体"/>
          <w:color w:val="auto"/>
          <w:sz w:val="32"/>
          <w:szCs w:val="32"/>
          <w:highlight w:val="none"/>
        </w:rPr>
      </w:pPr>
      <w:r>
        <w:rPr>
          <w:rFonts w:hint="eastAsia" w:ascii="仿宋_GB2312" w:hAnsi="仿宋_GB2312" w:eastAsia="仿宋_GB2312" w:cs="仿宋_GB2312"/>
          <w:b w:val="0"/>
          <w:bCs/>
          <w:color w:val="000000"/>
          <w:sz w:val="32"/>
          <w:szCs w:val="32"/>
        </w:rPr>
        <w:t>十九、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00" w:lineRule="exact"/>
        <w:jc w:val="center"/>
        <w:outlineLvl w:val="9"/>
        <w:rPr>
          <w:rFonts w:hint="eastAsia" w:ascii="黑体" w:hAnsi="黑体" w:eastAsia="黑体"/>
          <w:color w:val="auto"/>
          <w:sz w:val="44"/>
          <w:szCs w:val="44"/>
          <w:highlight w:val="none"/>
        </w:rPr>
      </w:pPr>
      <w:bookmarkStart w:id="85" w:name="_Toc15396614"/>
      <w:bookmarkStart w:id="86" w:name="_Toc15377226"/>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9"/>
        <w:rPr>
          <w:rFonts w:hint="eastAsia" w:ascii="黑体" w:hAnsi="黑体" w:eastAsia="黑体"/>
          <w:color w:val="auto"/>
          <w:sz w:val="44"/>
          <w:szCs w:val="44"/>
          <w:highlight w:val="none"/>
        </w:rPr>
      </w:pPr>
    </w:p>
    <w:p>
      <w:pPr>
        <w:spacing w:line="600" w:lineRule="exact"/>
        <w:jc w:val="center"/>
        <w:outlineLvl w:val="0"/>
        <w:rPr>
          <w:rStyle w:val="27"/>
          <w:rFonts w:hint="eastAsia" w:ascii="黑体" w:hAnsi="黑体" w:eastAsia="黑体"/>
          <w:b w:val="0"/>
          <w:color w:val="auto"/>
          <w:highlight w:val="none"/>
          <w:lang w:eastAsia="zh-CN"/>
        </w:rPr>
      </w:pPr>
      <w:bookmarkStart w:id="87" w:name="_Toc10871"/>
      <w:r>
        <w:rPr>
          <w:rFonts w:hint="eastAsia" w:ascii="黑体" w:hAnsi="黑体" w:eastAsia="黑体"/>
          <w:color w:val="auto"/>
          <w:sz w:val="44"/>
          <w:szCs w:val="44"/>
          <w:highlight w:val="none"/>
        </w:rPr>
        <w:t>第</w:t>
      </w:r>
      <w:r>
        <w:rPr>
          <w:rStyle w:val="27"/>
          <w:rFonts w:hint="eastAsia" w:ascii="黑体" w:hAnsi="黑体" w:eastAsia="黑体"/>
          <w:b w:val="0"/>
          <w:color w:val="auto"/>
          <w:highlight w:val="none"/>
        </w:rPr>
        <w:t>四部分 附件</w:t>
      </w:r>
      <w:bookmarkEnd w:id="85"/>
      <w:bookmarkEnd w:id="87"/>
    </w:p>
    <w:p>
      <w:pPr>
        <w:keepNext w:val="0"/>
        <w:keepLines w:val="0"/>
        <w:pageBreakBefore w:val="0"/>
        <w:kinsoku/>
        <w:wordWrap/>
        <w:overflowPunct/>
        <w:topLinePunct w:val="0"/>
        <w:autoSpaceDE/>
        <w:autoSpaceDN/>
        <w:bidi w:val="0"/>
        <w:spacing w:line="572" w:lineRule="exact"/>
        <w:jc w:val="left"/>
        <w:textAlignment w:val="auto"/>
        <w:outlineLvl w:val="1"/>
        <w:rPr>
          <w:rFonts w:ascii="方正小标宋简体" w:hAnsi="方正小标宋简体" w:eastAsia="方正小标宋简体" w:cs="方正小标宋简体"/>
          <w:color w:val="auto"/>
          <w:sz w:val="44"/>
          <w:szCs w:val="44"/>
          <w:highlight w:val="none"/>
        </w:rPr>
      </w:pPr>
      <w:bookmarkStart w:id="88" w:name="_Toc23793"/>
      <w:bookmarkStart w:id="89" w:name="_Toc24099"/>
      <w:r>
        <w:rPr>
          <w:rFonts w:hint="eastAsia" w:ascii="黑体" w:hAnsi="黑体" w:eastAsia="黑体" w:cs="黑体"/>
          <w:color w:val="auto"/>
          <w:sz w:val="32"/>
          <w:szCs w:val="32"/>
          <w:highlight w:val="none"/>
        </w:rPr>
        <w:t>附件</w:t>
      </w:r>
      <w:bookmarkEnd w:id="88"/>
      <w:bookmarkEnd w:id="89"/>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ascii="方正小标宋简体" w:hAnsi="方正小标宋简体" w:eastAsia="方正小标宋简体" w:cs="方正小标宋简体"/>
          <w:color w:val="auto"/>
          <w:kern w:val="2"/>
          <w:sz w:val="40"/>
          <w:szCs w:val="40"/>
          <w:highlight w:val="none"/>
          <w:lang w:val="en-US" w:eastAsia="zh-CN" w:bidi="ar-SA"/>
        </w:rPr>
      </w:pPr>
      <w:r>
        <w:rPr>
          <w:rFonts w:hint="eastAsia" w:ascii="方正小标宋简体" w:hAnsi="方正小标宋简体" w:eastAsia="方正小标宋简体" w:cs="方正小标宋简体"/>
          <w:color w:val="auto"/>
          <w:kern w:val="2"/>
          <w:sz w:val="40"/>
          <w:szCs w:val="40"/>
          <w:highlight w:val="none"/>
          <w:lang w:val="en-US" w:eastAsia="zh-CN" w:bidi="ar-SA"/>
        </w:rPr>
        <w:t>旺苍县经济合作事务中心</w:t>
      </w:r>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ascii="方正小标宋简体" w:hAnsi="方正小标宋简体" w:eastAsia="方正小标宋简体" w:cs="方正小标宋简体"/>
          <w:color w:val="auto"/>
          <w:kern w:val="2"/>
          <w:sz w:val="40"/>
          <w:szCs w:val="40"/>
          <w:highlight w:val="none"/>
          <w:lang w:val="en-US" w:eastAsia="zh-CN" w:bidi="ar-SA"/>
        </w:rPr>
      </w:pPr>
      <w:r>
        <w:rPr>
          <w:rFonts w:hint="eastAsia" w:ascii="方正小标宋简体" w:hAnsi="方正小标宋简体" w:eastAsia="方正小标宋简体" w:cs="方正小标宋简体"/>
          <w:color w:val="auto"/>
          <w:kern w:val="2"/>
          <w:sz w:val="40"/>
          <w:szCs w:val="40"/>
          <w:highlight w:val="none"/>
          <w:lang w:val="en-US" w:eastAsia="zh-CN" w:bidi="ar-SA"/>
        </w:rPr>
        <w:t>整体支出绩效评价自评报告</w:t>
      </w:r>
    </w:p>
    <w:p>
      <w:pPr>
        <w:spacing w:line="560" w:lineRule="exact"/>
        <w:ind w:firstLine="640" w:firstLineChars="200"/>
        <w:rPr>
          <w:rFonts w:hint="eastAsia" w:ascii="仿宋_GB2312" w:eastAsia="仿宋_GB2312"/>
          <w:sz w:val="32"/>
          <w:szCs w:val="32"/>
        </w:rPr>
      </w:pPr>
    </w:p>
    <w:p>
      <w:pPr>
        <w:pageBreakBefore w:val="0"/>
        <w:kinsoku/>
        <w:wordWrap/>
        <w:overflowPunct/>
        <w:topLinePunct w:val="0"/>
        <w:autoSpaceDE/>
        <w:autoSpaceDN/>
        <w:bidi w:val="0"/>
        <w:spacing w:line="576" w:lineRule="exact"/>
        <w:ind w:firstLine="640" w:firstLineChars="200"/>
        <w:outlineLvl w:val="1"/>
        <w:rPr>
          <w:rFonts w:hint="eastAsia" w:ascii="黑体" w:hAnsi="黑体" w:eastAsia="黑体"/>
          <w:sz w:val="32"/>
          <w:szCs w:val="32"/>
        </w:rPr>
      </w:pPr>
      <w:bookmarkStart w:id="90" w:name="_Toc31983"/>
      <w:bookmarkStart w:id="91" w:name="_Toc28404"/>
      <w:r>
        <w:rPr>
          <w:rFonts w:hint="eastAsia" w:ascii="黑体" w:hAnsi="黑体" w:eastAsia="黑体"/>
          <w:sz w:val="32"/>
          <w:szCs w:val="32"/>
        </w:rPr>
        <w:t>一、部门概况</w:t>
      </w:r>
      <w:bookmarkEnd w:id="90"/>
      <w:bookmarkEnd w:id="91"/>
    </w:p>
    <w:p>
      <w:pPr>
        <w:pageBreakBefore w:val="0"/>
        <w:kinsoku/>
        <w:wordWrap/>
        <w:overflowPunct/>
        <w:topLinePunct w:val="0"/>
        <w:autoSpaceDE/>
        <w:autoSpaceDN/>
        <w:bidi w:val="0"/>
        <w:spacing w:line="576" w:lineRule="exact"/>
        <w:ind w:firstLine="643" w:firstLineChars="200"/>
        <w:outlineLvl w:val="2"/>
        <w:rPr>
          <w:rFonts w:hint="eastAsia" w:ascii="楷体_GB2312" w:eastAsia="楷体_GB2312"/>
          <w:b/>
          <w:bCs/>
          <w:sz w:val="32"/>
          <w:szCs w:val="32"/>
        </w:rPr>
      </w:pPr>
      <w:r>
        <w:rPr>
          <w:rFonts w:hint="eastAsia" w:ascii="楷体_GB2312" w:eastAsia="楷体_GB2312"/>
          <w:b/>
          <w:bCs/>
          <w:sz w:val="32"/>
          <w:szCs w:val="32"/>
        </w:rPr>
        <w:t>（一）机构构成</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2021旺苍县经济合作事务中心于2019年9月正式由旺苍县投资促进单位更名而得，其单位性质为县政府直属事业单位，单位执行行政会计制度。机构级别为正科级，承担着全县招商引资</w:t>
      </w:r>
      <w:r>
        <w:rPr>
          <w:rFonts w:hint="eastAsia" w:ascii="仿宋_GB2312" w:hAnsi="仿宋_GB2312" w:eastAsia="仿宋_GB2312" w:cs="仿宋_GB2312"/>
          <w:color w:val="000000"/>
          <w:spacing w:val="-17"/>
          <w:sz w:val="32"/>
          <w:szCs w:val="32"/>
          <w:lang w:eastAsia="zh-CN" w:bidi="ar"/>
        </w:rPr>
        <w:t>工作。内设办公室、规划股、项目合作股、项目促进股、人事计财股。</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主要职能职责如下：</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1.</w:t>
      </w:r>
      <w:r>
        <w:rPr>
          <w:rFonts w:hint="eastAsia" w:ascii="仿宋_GB2312" w:hAnsi="仿宋_GB2312" w:eastAsia="仿宋_GB2312" w:cs="仿宋_GB2312"/>
          <w:color w:val="000000"/>
          <w:sz w:val="32"/>
          <w:szCs w:val="32"/>
          <w:lang w:eastAsia="zh-CN" w:bidi="ar"/>
        </w:rPr>
        <w:t>贯彻执行国家和省、市有关招商引资的法律、法规及方针政策，统筹协调全县投资促进工作，研究拟定全县投资促进工作政策、措施；提出加强投资促进工作的意见和建议；负责全县投资促进对外宣传工作。</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2.统筹协调</w:t>
      </w:r>
      <w:r>
        <w:rPr>
          <w:rFonts w:hint="eastAsia" w:ascii="仿宋_GB2312" w:hAnsi="仿宋_GB2312" w:eastAsia="仿宋_GB2312" w:cs="仿宋_GB2312"/>
          <w:color w:val="000000"/>
          <w:sz w:val="32"/>
          <w:szCs w:val="32"/>
          <w:lang w:eastAsia="zh-CN" w:bidi="ar"/>
        </w:rPr>
        <w:t>全县招商引资工作，研究拟定招商引资、经济技术协作的中长期规划和年度计划，并组织实施。</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3.负责建立</w:t>
      </w:r>
      <w:r>
        <w:rPr>
          <w:rFonts w:hint="eastAsia" w:ascii="仿宋_GB2312" w:hAnsi="仿宋_GB2312" w:eastAsia="仿宋_GB2312" w:cs="仿宋_GB2312"/>
          <w:color w:val="000000"/>
          <w:sz w:val="32"/>
          <w:szCs w:val="32"/>
          <w:lang w:eastAsia="zh-CN" w:bidi="ar"/>
        </w:rPr>
        <w:t>、维护和管理全县招商引资项目库；负责招商引资项目的收集、整理、筛选、编印和信息发布；负责招商引资重点项目的评估、推介、洽谈和协调工作。</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4.制定全</w:t>
      </w:r>
      <w:r>
        <w:rPr>
          <w:rFonts w:hint="eastAsia" w:ascii="仿宋_GB2312" w:hAnsi="仿宋_GB2312" w:eastAsia="仿宋_GB2312" w:cs="仿宋_GB2312"/>
          <w:color w:val="000000"/>
          <w:sz w:val="32"/>
          <w:szCs w:val="32"/>
          <w:lang w:eastAsia="zh-CN" w:bidi="ar"/>
        </w:rPr>
        <w:t>县大型招商引资活动方案，统筹、组织、参与全县及省内外重大招商引资活动，负责县政府举办各类投资合作活动的联络、协调、服务、接待工作；建立与外来投资者联系渠道；统筹全县重点产业招商。</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5.督查、评估</w:t>
      </w:r>
      <w:r>
        <w:rPr>
          <w:rFonts w:hint="eastAsia" w:ascii="仿宋_GB2312" w:hAnsi="仿宋_GB2312" w:eastAsia="仿宋_GB2312" w:cs="仿宋_GB2312"/>
          <w:color w:val="000000"/>
          <w:sz w:val="32"/>
          <w:szCs w:val="32"/>
          <w:lang w:eastAsia="zh-CN" w:bidi="ar"/>
        </w:rPr>
        <w:t>全县重大招商引资项目落地建设工作；建立完善招商引资项目跟进机制和服务措施；承担县招商引资工作领导小组交办的工作和日常工作。</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6.负责联系和</w:t>
      </w:r>
      <w:r>
        <w:rPr>
          <w:rFonts w:hint="eastAsia" w:ascii="仿宋_GB2312" w:hAnsi="仿宋_GB2312" w:eastAsia="仿宋_GB2312" w:cs="仿宋_GB2312"/>
          <w:color w:val="000000"/>
          <w:sz w:val="32"/>
          <w:szCs w:val="32"/>
          <w:lang w:eastAsia="zh-CN" w:bidi="ar"/>
        </w:rPr>
        <w:t>协调在其他省（市）设立的广元（旺苍）商（协）会；负责外地企业在我县设立非经营性机构的联系和协调；负责友好地区及单位的联络工作。</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7.负责全县投资</w:t>
      </w:r>
      <w:r>
        <w:rPr>
          <w:rFonts w:hint="eastAsia" w:ascii="仿宋_GB2312" w:hAnsi="仿宋_GB2312" w:eastAsia="仿宋_GB2312" w:cs="仿宋_GB2312"/>
          <w:color w:val="000000"/>
          <w:sz w:val="32"/>
          <w:szCs w:val="32"/>
          <w:lang w:eastAsia="zh-CN" w:bidi="ar"/>
        </w:rPr>
        <w:t>促进网站建设，加强与国内外信息交流，掌</w:t>
      </w:r>
      <w:r>
        <w:rPr>
          <w:rFonts w:hint="eastAsia" w:ascii="仿宋_GB2312" w:hAnsi="仿宋_GB2312" w:eastAsia="仿宋_GB2312" w:cs="仿宋_GB2312"/>
          <w:color w:val="000000"/>
          <w:spacing w:val="-17"/>
          <w:sz w:val="32"/>
          <w:szCs w:val="32"/>
          <w:lang w:eastAsia="zh-CN" w:bidi="ar"/>
        </w:rPr>
        <w:t>握招商引资动态，为县委、县人民政府提供科学的招商引资决策依据。</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8.负责全县招商引资项目统计</w:t>
      </w:r>
      <w:r>
        <w:rPr>
          <w:rFonts w:hint="eastAsia" w:ascii="仿宋_GB2312" w:hAnsi="仿宋_GB2312" w:eastAsia="仿宋_GB2312" w:cs="仿宋_GB2312"/>
          <w:color w:val="000000"/>
          <w:sz w:val="32"/>
          <w:szCs w:val="32"/>
          <w:lang w:eastAsia="zh-CN" w:bidi="ar"/>
        </w:rPr>
        <w:t>和编报工作。</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9.</w:t>
      </w:r>
      <w:r>
        <w:rPr>
          <w:rFonts w:hint="eastAsia" w:ascii="仿宋_GB2312" w:hAnsi="仿宋_GB2312" w:eastAsia="仿宋_GB2312" w:cs="仿宋_GB2312"/>
          <w:color w:val="000000"/>
          <w:sz w:val="32"/>
          <w:szCs w:val="32"/>
          <w:lang w:eastAsia="zh-CN" w:bidi="ar"/>
        </w:rPr>
        <w:t>负责招商引资项目代办服务和协调工作，受理并协调解决外来投资者投诉的有关事宜。</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10.</w:t>
      </w:r>
      <w:r>
        <w:rPr>
          <w:rFonts w:hint="eastAsia" w:ascii="仿宋_GB2312" w:hAnsi="仿宋_GB2312" w:eastAsia="仿宋_GB2312" w:cs="仿宋_GB2312"/>
          <w:color w:val="000000"/>
          <w:sz w:val="32"/>
          <w:szCs w:val="32"/>
          <w:lang w:eastAsia="zh-CN" w:bidi="ar"/>
        </w:rPr>
        <w:t>配合有关部门做好对外开放及招商引资宣传工作。负责联系旺苍经济开发区、文化旅游产业园区和产业聚集区招商引资工作。</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11.</w:t>
      </w:r>
      <w:r>
        <w:rPr>
          <w:rFonts w:hint="eastAsia" w:ascii="仿宋_GB2312" w:hAnsi="仿宋_GB2312" w:eastAsia="仿宋_GB2312" w:cs="仿宋_GB2312"/>
          <w:color w:val="000000"/>
          <w:sz w:val="32"/>
          <w:szCs w:val="32"/>
          <w:lang w:eastAsia="zh-CN" w:bidi="ar"/>
        </w:rPr>
        <w:t>承办县政府交办的其他事项。</w:t>
      </w:r>
    </w:p>
    <w:p>
      <w:pPr>
        <w:pageBreakBefore w:val="0"/>
        <w:kinsoku/>
        <w:wordWrap/>
        <w:overflowPunct/>
        <w:topLinePunct w:val="0"/>
        <w:autoSpaceDE/>
        <w:autoSpaceDN/>
        <w:bidi w:val="0"/>
        <w:spacing w:line="576" w:lineRule="exact"/>
        <w:ind w:firstLine="643" w:firstLineChars="200"/>
        <w:outlineLvl w:val="2"/>
        <w:rPr>
          <w:rFonts w:hint="eastAsia" w:ascii="楷体_GB2312" w:eastAsia="楷体_GB2312"/>
          <w:b/>
          <w:bCs/>
          <w:sz w:val="32"/>
          <w:szCs w:val="32"/>
        </w:rPr>
      </w:pPr>
      <w:r>
        <w:rPr>
          <w:rFonts w:hint="eastAsia" w:ascii="楷体_GB2312" w:eastAsia="楷体_GB2312"/>
          <w:b/>
          <w:bCs/>
          <w:sz w:val="32"/>
          <w:szCs w:val="32"/>
          <w:lang w:eastAsia="zh-CN"/>
        </w:rPr>
        <w:t>（</w:t>
      </w:r>
      <w:r>
        <w:rPr>
          <w:rFonts w:hint="eastAsia" w:ascii="楷体_GB2312" w:eastAsia="楷体_GB2312"/>
          <w:b/>
          <w:bCs/>
          <w:sz w:val="32"/>
          <w:szCs w:val="32"/>
          <w:lang w:val="en-US" w:eastAsia="zh-CN"/>
        </w:rPr>
        <w:t>二</w:t>
      </w:r>
      <w:r>
        <w:rPr>
          <w:rFonts w:hint="eastAsia" w:ascii="楷体_GB2312" w:eastAsia="楷体_GB2312"/>
          <w:b/>
          <w:bCs/>
          <w:sz w:val="32"/>
          <w:szCs w:val="32"/>
          <w:lang w:eastAsia="zh-CN"/>
        </w:rPr>
        <w:t>）</w:t>
      </w:r>
      <w:r>
        <w:rPr>
          <w:rFonts w:hint="eastAsia" w:ascii="楷体_GB2312" w:eastAsia="楷体_GB2312"/>
          <w:b/>
          <w:bCs/>
          <w:sz w:val="32"/>
          <w:szCs w:val="32"/>
        </w:rPr>
        <w:t>人员结构及相关情况</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我中心共有事业编制14名</w:t>
      </w:r>
      <w:r>
        <w:rPr>
          <w:rFonts w:hint="eastAsia" w:ascii="仿宋_GB2312" w:hAnsi="仿宋_GB2312" w:eastAsia="仿宋_GB2312" w:cs="仿宋_GB2312"/>
          <w:color w:val="000000"/>
          <w:sz w:val="32"/>
          <w:szCs w:val="32"/>
          <w:lang w:eastAsia="zh-CN" w:bidi="ar"/>
        </w:rPr>
        <w:t>;20</w:t>
      </w:r>
      <w:r>
        <w:rPr>
          <w:rFonts w:hint="eastAsia" w:ascii="仿宋_GB2312" w:hAnsi="仿宋_GB2312" w:eastAsia="仿宋_GB2312" w:cs="仿宋_GB2312"/>
          <w:color w:val="000000"/>
          <w:sz w:val="32"/>
          <w:szCs w:val="32"/>
          <w:lang w:val="en-US" w:eastAsia="zh-CN" w:bidi="ar"/>
        </w:rPr>
        <w:t>21</w:t>
      </w:r>
      <w:r>
        <w:rPr>
          <w:rFonts w:hint="eastAsia" w:ascii="仿宋_GB2312" w:hAnsi="仿宋_GB2312" w:eastAsia="仿宋_GB2312" w:cs="仿宋_GB2312"/>
          <w:color w:val="000000"/>
          <w:sz w:val="32"/>
          <w:szCs w:val="32"/>
          <w:lang w:eastAsia="zh-CN" w:bidi="ar"/>
        </w:rPr>
        <w:t>年年</w:t>
      </w:r>
      <w:r>
        <w:rPr>
          <w:rFonts w:hint="eastAsia" w:ascii="仿宋_GB2312" w:hAnsi="仿宋_GB2312" w:eastAsia="仿宋_GB2312" w:cs="仿宋_GB2312"/>
          <w:color w:val="000000"/>
          <w:sz w:val="32"/>
          <w:szCs w:val="32"/>
          <w:lang w:val="en-US" w:eastAsia="zh-CN" w:bidi="ar"/>
        </w:rPr>
        <w:t>末</w:t>
      </w:r>
      <w:r>
        <w:rPr>
          <w:rFonts w:hint="eastAsia" w:ascii="仿宋_GB2312" w:hAnsi="仿宋_GB2312" w:eastAsia="仿宋_GB2312" w:cs="仿宋_GB2312"/>
          <w:color w:val="000000"/>
          <w:sz w:val="32"/>
          <w:szCs w:val="32"/>
          <w:lang w:eastAsia="zh-CN" w:bidi="ar"/>
        </w:rPr>
        <w:t>我</w:t>
      </w:r>
      <w:r>
        <w:rPr>
          <w:rFonts w:hint="eastAsia" w:ascii="仿宋_GB2312" w:hAnsi="仿宋_GB2312" w:eastAsia="仿宋_GB2312" w:cs="仿宋_GB2312"/>
          <w:color w:val="000000"/>
          <w:sz w:val="32"/>
          <w:szCs w:val="32"/>
          <w:lang w:val="en-US" w:eastAsia="zh-CN" w:bidi="ar"/>
        </w:rPr>
        <w:t>中心</w:t>
      </w:r>
      <w:r>
        <w:rPr>
          <w:rFonts w:hint="eastAsia" w:ascii="仿宋_GB2312" w:hAnsi="仿宋_GB2312" w:eastAsia="仿宋_GB2312" w:cs="仿宋_GB2312"/>
          <w:color w:val="000000"/>
          <w:sz w:val="32"/>
          <w:szCs w:val="32"/>
          <w:lang w:eastAsia="zh-CN" w:bidi="ar"/>
        </w:rPr>
        <w:t>实有人员</w:t>
      </w:r>
      <w:r>
        <w:rPr>
          <w:rFonts w:hint="eastAsia" w:ascii="仿宋_GB2312" w:hAnsi="仿宋_GB2312" w:eastAsia="仿宋_GB2312" w:cs="仿宋_GB2312"/>
          <w:color w:val="000000"/>
          <w:sz w:val="32"/>
          <w:szCs w:val="32"/>
          <w:lang w:val="en-US" w:eastAsia="zh-CN" w:bidi="ar"/>
        </w:rPr>
        <w:t>12人（在编在岗11人，挂职领导1人）。</w:t>
      </w:r>
    </w:p>
    <w:p>
      <w:pPr>
        <w:pageBreakBefore w:val="0"/>
        <w:kinsoku/>
        <w:wordWrap/>
        <w:overflowPunct/>
        <w:topLinePunct w:val="0"/>
        <w:autoSpaceDE/>
        <w:autoSpaceDN/>
        <w:bidi w:val="0"/>
        <w:spacing w:line="576" w:lineRule="exact"/>
        <w:ind w:firstLine="640" w:firstLineChars="200"/>
        <w:outlineLvl w:val="1"/>
        <w:rPr>
          <w:rFonts w:hint="eastAsia" w:ascii="黑体" w:hAnsi="黑体" w:eastAsia="黑体"/>
          <w:sz w:val="32"/>
          <w:szCs w:val="32"/>
        </w:rPr>
      </w:pPr>
      <w:bookmarkStart w:id="92" w:name="_Toc22386"/>
      <w:bookmarkStart w:id="93" w:name="_Toc12439"/>
      <w:r>
        <w:rPr>
          <w:rFonts w:hint="eastAsia" w:ascii="黑体" w:hAnsi="黑体" w:eastAsia="黑体"/>
          <w:sz w:val="32"/>
          <w:szCs w:val="32"/>
        </w:rPr>
        <w:t>二、部门财政资金收支情况</w:t>
      </w:r>
      <w:bookmarkEnd w:id="92"/>
      <w:bookmarkEnd w:id="93"/>
    </w:p>
    <w:p>
      <w:pPr>
        <w:pageBreakBefore w:val="0"/>
        <w:kinsoku/>
        <w:wordWrap/>
        <w:overflowPunct/>
        <w:topLinePunct w:val="0"/>
        <w:autoSpaceDE/>
        <w:autoSpaceDN/>
        <w:bidi w:val="0"/>
        <w:spacing w:line="576" w:lineRule="exact"/>
        <w:ind w:firstLine="643" w:firstLineChars="200"/>
        <w:outlineLvl w:val="2"/>
        <w:rPr>
          <w:rFonts w:hint="eastAsia" w:ascii="楷体_GB2312" w:eastAsia="楷体_GB2312"/>
          <w:b/>
          <w:sz w:val="32"/>
          <w:szCs w:val="32"/>
        </w:rPr>
      </w:pPr>
      <w:r>
        <w:rPr>
          <w:rFonts w:hint="eastAsia" w:ascii="楷体_GB2312" w:eastAsia="楷体_GB2312"/>
          <w:b/>
          <w:sz w:val="32"/>
          <w:szCs w:val="32"/>
        </w:rPr>
        <w:t>（一）部门财政资金收入情况</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2021年收入为1434922.00元，构成如下：</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我单位2021年财政拨款收入正式指标数为1434922.00元。年初结转181321.03.00元，追加存量资金1102600.00元，调整后年初结转数为1283921.03.00元。2021年支出决算数2692045.67元，结转下年26797.36元。</w:t>
      </w:r>
    </w:p>
    <w:p>
      <w:pPr>
        <w:pageBreakBefore w:val="0"/>
        <w:numPr>
          <w:ilvl w:val="0"/>
          <w:numId w:val="4"/>
        </w:numPr>
        <w:kinsoku/>
        <w:wordWrap/>
        <w:overflowPunct/>
        <w:topLinePunct w:val="0"/>
        <w:autoSpaceDE/>
        <w:autoSpaceDN/>
        <w:bidi w:val="0"/>
        <w:spacing w:line="576" w:lineRule="exact"/>
        <w:ind w:firstLine="643" w:firstLineChars="200"/>
        <w:outlineLvl w:val="2"/>
        <w:rPr>
          <w:rFonts w:hint="eastAsia" w:ascii="楷体_GB2312" w:eastAsia="楷体_GB2312"/>
          <w:b/>
          <w:sz w:val="32"/>
          <w:szCs w:val="32"/>
        </w:rPr>
      </w:pPr>
      <w:r>
        <w:rPr>
          <w:rFonts w:hint="eastAsia" w:ascii="楷体_GB2312" w:eastAsia="楷体_GB2312"/>
          <w:b/>
          <w:sz w:val="32"/>
          <w:szCs w:val="32"/>
        </w:rPr>
        <w:t>部门财政资金支出情况</w:t>
      </w:r>
    </w:p>
    <w:p>
      <w:pPr>
        <w:pageBreakBefore w:val="0"/>
        <w:numPr>
          <w:ilvl w:val="0"/>
          <w:numId w:val="0"/>
        </w:numPr>
        <w:kinsoku/>
        <w:wordWrap/>
        <w:overflowPunct/>
        <w:topLinePunct w:val="0"/>
        <w:autoSpaceDE/>
        <w:autoSpaceDN/>
        <w:bidi w:val="0"/>
        <w:spacing w:line="576" w:lineRule="exact"/>
        <w:ind w:firstLine="602" w:firstLineChars="200"/>
        <w:rPr>
          <w:rFonts w:hint="eastAsia" w:ascii="仿宋_GB2312" w:hAnsi="仿宋_GB2312" w:eastAsia="仿宋_GB2312" w:cs="仿宋_GB2312"/>
          <w:b/>
          <w:bCs/>
          <w:sz w:val="30"/>
          <w:szCs w:val="30"/>
          <w:lang w:val="en-US" w:eastAsia="zh-CN"/>
        </w:rPr>
      </w:pPr>
      <w:r>
        <w:rPr>
          <w:rFonts w:hint="eastAsia" w:ascii="仿宋_GB2312" w:hAnsi="仿宋_GB2312" w:eastAsia="仿宋_GB2312" w:cs="仿宋_GB2312"/>
          <w:b/>
          <w:bCs/>
          <w:sz w:val="30"/>
          <w:szCs w:val="30"/>
          <w:lang w:val="en-US" w:eastAsia="zh-CN"/>
        </w:rPr>
        <w:t>2021年总支出为2692045.67元。</w:t>
      </w:r>
      <w:r>
        <w:rPr>
          <w:rFonts w:hint="eastAsia" w:ascii="仿宋_GB2312" w:hAnsi="仿宋_GB2312" w:eastAsia="仿宋_GB2312" w:cs="仿宋_GB2312"/>
          <w:color w:val="000000"/>
          <w:sz w:val="32"/>
          <w:szCs w:val="32"/>
          <w:lang w:eastAsia="zh-CN" w:bidi="ar"/>
        </w:rPr>
        <w:t>按支出性质，基本支出</w:t>
      </w:r>
      <w:r>
        <w:rPr>
          <w:rFonts w:hint="eastAsia" w:ascii="仿宋_GB2312" w:hAnsi="仿宋_GB2312" w:eastAsia="仿宋_GB2312" w:cs="仿宋_GB2312"/>
          <w:color w:val="000000"/>
          <w:sz w:val="32"/>
          <w:szCs w:val="32"/>
          <w:lang w:val="en-US" w:eastAsia="zh-CN" w:bidi="ar"/>
        </w:rPr>
        <w:t>1388521.29</w:t>
      </w:r>
      <w:r>
        <w:rPr>
          <w:rFonts w:hint="eastAsia" w:ascii="仿宋_GB2312" w:hAnsi="仿宋_GB2312" w:eastAsia="仿宋_GB2312" w:cs="仿宋_GB2312"/>
          <w:color w:val="000000"/>
          <w:sz w:val="32"/>
          <w:szCs w:val="32"/>
          <w:lang w:eastAsia="zh-CN" w:bidi="ar"/>
        </w:rPr>
        <w:t>元，项目支出</w:t>
      </w:r>
      <w:r>
        <w:rPr>
          <w:rFonts w:hint="eastAsia" w:ascii="仿宋_GB2312" w:hAnsi="仿宋_GB2312" w:eastAsia="仿宋_GB2312" w:cs="仿宋_GB2312"/>
          <w:color w:val="000000"/>
          <w:sz w:val="32"/>
          <w:szCs w:val="32"/>
          <w:lang w:val="en-US" w:eastAsia="zh-CN" w:bidi="ar"/>
        </w:rPr>
        <w:t>1303524.38</w:t>
      </w:r>
      <w:r>
        <w:rPr>
          <w:rFonts w:hint="eastAsia" w:ascii="仿宋_GB2312" w:hAnsi="仿宋_GB2312" w:eastAsia="仿宋_GB2312" w:cs="仿宋_GB2312"/>
          <w:color w:val="000000"/>
          <w:sz w:val="32"/>
          <w:szCs w:val="32"/>
          <w:lang w:eastAsia="zh-CN" w:bidi="ar"/>
        </w:rPr>
        <w:t>元。</w:t>
      </w:r>
      <w:r>
        <w:rPr>
          <w:rFonts w:hint="eastAsia" w:ascii="仿宋_GB2312" w:hAnsi="仿宋_GB2312" w:eastAsia="仿宋_GB2312" w:cs="仿宋_GB2312"/>
          <w:b/>
          <w:bCs/>
          <w:sz w:val="30"/>
          <w:szCs w:val="30"/>
          <w:lang w:val="en-US" w:eastAsia="zh-CN"/>
        </w:rPr>
        <w:t>构成如下：</w:t>
      </w:r>
    </w:p>
    <w:p>
      <w:pPr>
        <w:pageBreakBefore w:val="0"/>
        <w:kinsoku/>
        <w:wordWrap/>
        <w:overflowPunct/>
        <w:topLinePunct w:val="0"/>
        <w:autoSpaceDE/>
        <w:autoSpaceDN/>
        <w:bidi w:val="0"/>
        <w:snapToGrid w:val="0"/>
        <w:spacing w:line="576" w:lineRule="exact"/>
        <w:ind w:firstLine="602" w:firstLineChars="200"/>
        <w:rPr>
          <w:rFonts w:hint="eastAsia" w:ascii="仿宋_GB2312" w:hAnsi="仿宋_GB2312" w:eastAsia="仿宋_GB2312" w:cs="仿宋_GB2312"/>
          <w:color w:val="000000"/>
          <w:sz w:val="32"/>
          <w:szCs w:val="32"/>
          <w:lang w:eastAsia="zh-CN" w:bidi="ar"/>
        </w:rPr>
      </w:pPr>
      <w:r>
        <w:rPr>
          <w:rFonts w:hint="eastAsia" w:ascii="仿宋_GB2312" w:hAnsi="仿宋" w:eastAsia="仿宋_GB2312"/>
          <w:b/>
          <w:sz w:val="30"/>
          <w:szCs w:val="30"/>
        </w:rPr>
        <w:t>一般公共服务</w:t>
      </w:r>
      <w:r>
        <w:rPr>
          <w:rFonts w:hint="eastAsia" w:ascii="仿宋_GB2312" w:hAnsi="仿宋_GB2312" w:eastAsia="仿宋_GB2312" w:cs="仿宋_GB2312"/>
          <w:color w:val="000000"/>
          <w:sz w:val="32"/>
          <w:szCs w:val="32"/>
          <w:lang w:eastAsia="zh-CN" w:bidi="ar"/>
        </w:rPr>
        <w:t>收入</w:t>
      </w:r>
      <w:r>
        <w:rPr>
          <w:rFonts w:hint="eastAsia" w:ascii="仿宋_GB2312" w:hAnsi="仿宋_GB2312" w:eastAsia="仿宋_GB2312" w:cs="仿宋_GB2312"/>
          <w:color w:val="000000"/>
          <w:sz w:val="32"/>
          <w:szCs w:val="32"/>
          <w:lang w:val="en-US" w:eastAsia="zh-CN" w:bidi="ar"/>
        </w:rPr>
        <w:t>1191730.0</w:t>
      </w:r>
      <w:r>
        <w:rPr>
          <w:rFonts w:hint="eastAsia" w:ascii="仿宋_GB2312" w:hAnsi="仿宋_GB2312" w:eastAsia="仿宋_GB2312" w:cs="仿宋_GB2312"/>
          <w:color w:val="000000"/>
          <w:sz w:val="32"/>
          <w:szCs w:val="32"/>
          <w:lang w:eastAsia="zh-CN" w:bidi="ar"/>
        </w:rPr>
        <w:t>元，占总收入</w:t>
      </w:r>
      <w:r>
        <w:rPr>
          <w:rFonts w:hint="eastAsia" w:ascii="仿宋_GB2312" w:hAnsi="仿宋_GB2312" w:eastAsia="仿宋_GB2312" w:cs="仿宋_GB2312"/>
          <w:color w:val="000000"/>
          <w:sz w:val="32"/>
          <w:szCs w:val="32"/>
          <w:lang w:val="en-US" w:eastAsia="zh-CN" w:bidi="ar"/>
        </w:rPr>
        <w:t>83.5</w:t>
      </w:r>
      <w:r>
        <w:rPr>
          <w:rFonts w:hint="eastAsia" w:ascii="仿宋_GB2312" w:hAnsi="仿宋_GB2312" w:eastAsia="仿宋_GB2312" w:cs="仿宋_GB2312"/>
          <w:color w:val="000000"/>
          <w:sz w:val="32"/>
          <w:szCs w:val="32"/>
          <w:lang w:eastAsia="zh-CN" w:bidi="ar"/>
        </w:rPr>
        <w:t>%；支出决算数</w:t>
      </w:r>
      <w:r>
        <w:rPr>
          <w:rFonts w:hint="eastAsia" w:ascii="仿宋_GB2312" w:hAnsi="仿宋_GB2312" w:eastAsia="仿宋_GB2312" w:cs="仿宋_GB2312"/>
          <w:color w:val="000000"/>
          <w:sz w:val="32"/>
          <w:szCs w:val="32"/>
          <w:lang w:val="en-US" w:eastAsia="zh-CN" w:bidi="ar"/>
        </w:rPr>
        <w:t>2435489.13</w:t>
      </w:r>
      <w:r>
        <w:rPr>
          <w:rFonts w:hint="eastAsia" w:ascii="仿宋_GB2312" w:hAnsi="仿宋_GB2312" w:eastAsia="仿宋_GB2312" w:cs="仿宋_GB2312"/>
          <w:color w:val="000000"/>
          <w:sz w:val="32"/>
          <w:szCs w:val="32"/>
          <w:lang w:eastAsia="zh-CN" w:bidi="ar"/>
        </w:rPr>
        <w:t>元，占总支出</w:t>
      </w:r>
      <w:r>
        <w:rPr>
          <w:rFonts w:hint="eastAsia" w:ascii="仿宋_GB2312" w:hAnsi="仿宋_GB2312" w:eastAsia="仿宋_GB2312" w:cs="仿宋_GB2312"/>
          <w:color w:val="000000"/>
          <w:sz w:val="32"/>
          <w:szCs w:val="32"/>
          <w:lang w:val="en-US" w:eastAsia="zh-CN" w:bidi="ar"/>
        </w:rPr>
        <w:t>91</w:t>
      </w:r>
      <w:r>
        <w:rPr>
          <w:rFonts w:hint="eastAsia" w:ascii="仿宋_GB2312" w:hAnsi="仿宋_GB2312" w:eastAsia="仿宋_GB2312" w:cs="仿宋_GB2312"/>
          <w:color w:val="000000"/>
          <w:sz w:val="32"/>
          <w:szCs w:val="32"/>
          <w:lang w:eastAsia="zh-CN" w:bidi="ar"/>
        </w:rPr>
        <w:t>%。</w:t>
      </w:r>
    </w:p>
    <w:p>
      <w:pPr>
        <w:pageBreakBefore w:val="0"/>
        <w:kinsoku/>
        <w:wordWrap/>
        <w:overflowPunct/>
        <w:topLinePunct w:val="0"/>
        <w:autoSpaceDE/>
        <w:autoSpaceDN/>
        <w:bidi w:val="0"/>
        <w:snapToGrid w:val="0"/>
        <w:spacing w:line="576" w:lineRule="exact"/>
        <w:ind w:firstLine="602" w:firstLineChars="200"/>
        <w:rPr>
          <w:rFonts w:hint="eastAsia" w:ascii="仿宋_GB2312" w:hAnsi="仿宋_GB2312" w:eastAsia="仿宋_GB2312" w:cs="仿宋_GB2312"/>
          <w:color w:val="000000"/>
          <w:sz w:val="32"/>
          <w:szCs w:val="32"/>
          <w:lang w:eastAsia="zh-CN" w:bidi="ar"/>
        </w:rPr>
      </w:pPr>
      <w:r>
        <w:rPr>
          <w:rFonts w:hint="eastAsia" w:ascii="仿宋_GB2312" w:hAnsi="仿宋" w:eastAsia="仿宋_GB2312"/>
          <w:b/>
          <w:sz w:val="30"/>
          <w:szCs w:val="30"/>
        </w:rPr>
        <w:t>社会保障和就业</w:t>
      </w:r>
      <w:r>
        <w:rPr>
          <w:rFonts w:hint="eastAsia" w:ascii="仿宋_GB2312" w:hAnsi="仿宋_GB2312" w:eastAsia="仿宋_GB2312" w:cs="仿宋_GB2312"/>
          <w:color w:val="000000"/>
          <w:sz w:val="32"/>
          <w:szCs w:val="32"/>
          <w:lang w:eastAsia="zh-CN" w:bidi="ar"/>
        </w:rPr>
        <w:t>收入</w:t>
      </w:r>
      <w:r>
        <w:rPr>
          <w:rFonts w:hint="eastAsia" w:ascii="仿宋_GB2312" w:hAnsi="仿宋_GB2312" w:eastAsia="仿宋_GB2312" w:cs="仿宋_GB2312"/>
          <w:color w:val="000000"/>
          <w:sz w:val="32"/>
          <w:szCs w:val="32"/>
          <w:lang w:val="en-US" w:eastAsia="zh-CN" w:bidi="ar"/>
        </w:rPr>
        <w:t>93162</w:t>
      </w:r>
      <w:r>
        <w:rPr>
          <w:rFonts w:hint="eastAsia" w:ascii="仿宋_GB2312" w:hAnsi="仿宋_GB2312" w:eastAsia="仿宋_GB2312" w:cs="仿宋_GB2312"/>
          <w:color w:val="000000"/>
          <w:sz w:val="32"/>
          <w:szCs w:val="32"/>
          <w:lang w:eastAsia="zh-CN" w:bidi="ar"/>
        </w:rPr>
        <w:t>.00元，占总收入</w:t>
      </w:r>
      <w:r>
        <w:rPr>
          <w:rFonts w:hint="eastAsia" w:ascii="仿宋_GB2312" w:hAnsi="仿宋_GB2312" w:eastAsia="仿宋_GB2312" w:cs="仿宋_GB2312"/>
          <w:color w:val="000000"/>
          <w:sz w:val="32"/>
          <w:szCs w:val="32"/>
          <w:lang w:val="en-US" w:eastAsia="zh-CN" w:bidi="ar"/>
        </w:rPr>
        <w:t>6.49</w:t>
      </w:r>
      <w:r>
        <w:rPr>
          <w:rFonts w:hint="eastAsia" w:ascii="仿宋_GB2312" w:hAnsi="仿宋_GB2312" w:eastAsia="仿宋_GB2312" w:cs="仿宋_GB2312"/>
          <w:color w:val="000000"/>
          <w:sz w:val="32"/>
          <w:szCs w:val="32"/>
          <w:lang w:eastAsia="zh-CN" w:bidi="ar"/>
        </w:rPr>
        <w:t>%；支出决算数</w:t>
      </w:r>
      <w:r>
        <w:rPr>
          <w:rFonts w:hint="eastAsia" w:ascii="仿宋_GB2312" w:hAnsi="仿宋_GB2312" w:eastAsia="仿宋_GB2312" w:cs="仿宋_GB2312"/>
          <w:color w:val="000000"/>
          <w:sz w:val="32"/>
          <w:szCs w:val="32"/>
          <w:lang w:val="en-US" w:eastAsia="zh-CN" w:bidi="ar"/>
        </w:rPr>
        <w:t>102521.69</w:t>
      </w:r>
      <w:r>
        <w:rPr>
          <w:rFonts w:hint="eastAsia" w:ascii="仿宋_GB2312" w:hAnsi="仿宋_GB2312" w:eastAsia="仿宋_GB2312" w:cs="仿宋_GB2312"/>
          <w:color w:val="000000"/>
          <w:sz w:val="32"/>
          <w:szCs w:val="32"/>
          <w:lang w:eastAsia="zh-CN" w:bidi="ar"/>
        </w:rPr>
        <w:t>.00元，占总支出</w:t>
      </w:r>
      <w:r>
        <w:rPr>
          <w:rFonts w:hint="eastAsia" w:ascii="仿宋_GB2312" w:hAnsi="仿宋_GB2312" w:eastAsia="仿宋_GB2312" w:cs="仿宋_GB2312"/>
          <w:color w:val="000000"/>
          <w:sz w:val="32"/>
          <w:szCs w:val="32"/>
          <w:lang w:val="en-US" w:eastAsia="zh-CN" w:bidi="ar"/>
        </w:rPr>
        <w:t>3.8</w:t>
      </w:r>
      <w:r>
        <w:rPr>
          <w:rFonts w:hint="eastAsia" w:ascii="仿宋_GB2312" w:hAnsi="仿宋_GB2312" w:eastAsia="仿宋_GB2312" w:cs="仿宋_GB2312"/>
          <w:color w:val="000000"/>
          <w:sz w:val="32"/>
          <w:szCs w:val="32"/>
          <w:lang w:eastAsia="zh-CN" w:bidi="ar"/>
        </w:rPr>
        <w:t>%。</w:t>
      </w:r>
    </w:p>
    <w:p>
      <w:pPr>
        <w:pageBreakBefore w:val="0"/>
        <w:kinsoku/>
        <w:wordWrap/>
        <w:overflowPunct/>
        <w:topLinePunct w:val="0"/>
        <w:autoSpaceDE/>
        <w:autoSpaceDN/>
        <w:bidi w:val="0"/>
        <w:snapToGrid w:val="0"/>
        <w:spacing w:line="576" w:lineRule="exact"/>
        <w:ind w:firstLine="602" w:firstLineChars="200"/>
        <w:rPr>
          <w:rFonts w:hint="eastAsia" w:ascii="仿宋_GB2312" w:hAnsi="仿宋" w:eastAsia="仿宋_GB2312"/>
          <w:sz w:val="30"/>
          <w:szCs w:val="30"/>
        </w:rPr>
      </w:pPr>
      <w:r>
        <w:rPr>
          <w:rFonts w:hint="eastAsia" w:ascii="仿宋_GB2312" w:hAnsi="仿宋" w:eastAsia="仿宋_GB2312"/>
          <w:b/>
          <w:sz w:val="30"/>
          <w:szCs w:val="30"/>
        </w:rPr>
        <w:t>住房保障</w:t>
      </w:r>
      <w:r>
        <w:rPr>
          <w:rFonts w:hint="eastAsia" w:ascii="仿宋_GB2312" w:hAnsi="仿宋_GB2312" w:eastAsia="仿宋_GB2312" w:cs="仿宋_GB2312"/>
          <w:color w:val="000000"/>
          <w:sz w:val="32"/>
          <w:szCs w:val="32"/>
          <w:lang w:eastAsia="zh-CN" w:bidi="ar"/>
        </w:rPr>
        <w:t>收入</w:t>
      </w:r>
      <w:r>
        <w:rPr>
          <w:rFonts w:hint="eastAsia" w:ascii="仿宋_GB2312" w:hAnsi="仿宋_GB2312" w:eastAsia="仿宋_GB2312" w:cs="仿宋_GB2312"/>
          <w:color w:val="000000"/>
          <w:sz w:val="32"/>
          <w:szCs w:val="32"/>
          <w:lang w:val="en-US" w:eastAsia="zh-CN" w:bidi="ar"/>
        </w:rPr>
        <w:t>93299</w:t>
      </w:r>
      <w:r>
        <w:rPr>
          <w:rFonts w:hint="eastAsia" w:ascii="仿宋_GB2312" w:hAnsi="仿宋_GB2312" w:eastAsia="仿宋_GB2312" w:cs="仿宋_GB2312"/>
          <w:color w:val="000000"/>
          <w:sz w:val="32"/>
          <w:szCs w:val="32"/>
          <w:lang w:eastAsia="zh-CN" w:bidi="ar"/>
        </w:rPr>
        <w:t>.00元，占总收入</w:t>
      </w:r>
      <w:r>
        <w:rPr>
          <w:rFonts w:hint="eastAsia" w:ascii="仿宋_GB2312" w:hAnsi="仿宋_GB2312" w:eastAsia="仿宋_GB2312" w:cs="仿宋_GB2312"/>
          <w:color w:val="000000"/>
          <w:sz w:val="32"/>
          <w:szCs w:val="32"/>
          <w:lang w:val="en-US" w:eastAsia="zh-CN" w:bidi="ar"/>
        </w:rPr>
        <w:t>6.5%</w:t>
      </w:r>
      <w:r>
        <w:rPr>
          <w:rFonts w:hint="eastAsia" w:ascii="仿宋_GB2312" w:hAnsi="仿宋_GB2312" w:eastAsia="仿宋_GB2312" w:cs="仿宋_GB2312"/>
          <w:color w:val="000000"/>
          <w:sz w:val="32"/>
          <w:szCs w:val="32"/>
          <w:lang w:eastAsia="zh-CN" w:bidi="ar"/>
        </w:rPr>
        <w:t>；支出决算数</w:t>
      </w:r>
      <w:r>
        <w:rPr>
          <w:rFonts w:hint="eastAsia" w:ascii="仿宋_GB2312" w:hAnsi="仿宋_GB2312" w:eastAsia="仿宋_GB2312" w:cs="仿宋_GB2312"/>
          <w:color w:val="000000"/>
          <w:sz w:val="32"/>
          <w:szCs w:val="32"/>
          <w:lang w:val="en-US" w:eastAsia="zh-CN" w:bidi="ar"/>
        </w:rPr>
        <w:t>93299</w:t>
      </w:r>
      <w:r>
        <w:rPr>
          <w:rFonts w:hint="eastAsia" w:ascii="仿宋_GB2312" w:hAnsi="仿宋_GB2312" w:eastAsia="仿宋_GB2312" w:cs="仿宋_GB2312"/>
          <w:color w:val="000000"/>
          <w:sz w:val="32"/>
          <w:szCs w:val="32"/>
          <w:lang w:eastAsia="zh-CN" w:bidi="ar"/>
        </w:rPr>
        <w:t>.00元，占总支出</w:t>
      </w:r>
      <w:r>
        <w:rPr>
          <w:rFonts w:hint="eastAsia" w:ascii="仿宋_GB2312" w:hAnsi="仿宋_GB2312" w:eastAsia="仿宋_GB2312" w:cs="仿宋_GB2312"/>
          <w:color w:val="000000"/>
          <w:sz w:val="32"/>
          <w:szCs w:val="32"/>
          <w:lang w:val="en-US" w:eastAsia="zh-CN" w:bidi="ar"/>
        </w:rPr>
        <w:t>3.47</w:t>
      </w:r>
      <w:r>
        <w:rPr>
          <w:rFonts w:hint="eastAsia" w:ascii="仿宋_GB2312" w:hAnsi="仿宋_GB2312" w:eastAsia="仿宋_GB2312" w:cs="仿宋_GB2312"/>
          <w:color w:val="000000"/>
          <w:sz w:val="32"/>
          <w:szCs w:val="32"/>
          <w:lang w:eastAsia="zh-CN" w:bidi="ar"/>
        </w:rPr>
        <w:t>%。</w:t>
      </w:r>
    </w:p>
    <w:p>
      <w:pPr>
        <w:pStyle w:val="2"/>
        <w:pageBreakBefore w:val="0"/>
        <w:kinsoku/>
        <w:wordWrap/>
        <w:overflowPunct/>
        <w:topLinePunct w:val="0"/>
        <w:autoSpaceDE/>
        <w:autoSpaceDN/>
        <w:bidi w:val="0"/>
        <w:spacing w:line="576" w:lineRule="exact"/>
        <w:ind w:firstLine="602" w:firstLineChars="200"/>
        <w:rPr>
          <w:rFonts w:hint="default" w:eastAsia="仿宋_GB2312"/>
          <w:b w:val="0"/>
          <w:bCs w:val="0"/>
          <w:sz w:val="30"/>
          <w:szCs w:val="30"/>
          <w:lang w:val="en-US" w:eastAsia="zh-CN"/>
        </w:rPr>
      </w:pPr>
      <w:r>
        <w:rPr>
          <w:rFonts w:hint="eastAsia" w:ascii="仿宋_GB2312" w:hAnsi="仿宋" w:eastAsia="仿宋_GB2312"/>
          <w:sz w:val="30"/>
          <w:szCs w:val="30"/>
          <w:lang w:val="en-US" w:eastAsia="zh-CN"/>
        </w:rPr>
        <w:t>卫生健康</w:t>
      </w:r>
      <w:r>
        <w:rPr>
          <w:rFonts w:hint="eastAsia" w:ascii="仿宋_GB2312" w:hAnsi="仿宋_GB2312" w:eastAsia="仿宋_GB2312" w:cs="仿宋_GB2312"/>
          <w:b w:val="0"/>
          <w:bCs w:val="0"/>
          <w:color w:val="000000"/>
          <w:kern w:val="2"/>
          <w:sz w:val="32"/>
          <w:szCs w:val="32"/>
          <w:lang w:val="en-US" w:eastAsia="zh-CN" w:bidi="ar"/>
        </w:rPr>
        <w:t>收入56731.00元，占总收入3.95%；支出决算数60735.85元，占总支出2.26%。</w:t>
      </w:r>
    </w:p>
    <w:p>
      <w:pPr>
        <w:pageBreakBefore w:val="0"/>
        <w:kinsoku/>
        <w:wordWrap/>
        <w:overflowPunct/>
        <w:topLinePunct w:val="0"/>
        <w:autoSpaceDE/>
        <w:autoSpaceDN/>
        <w:bidi w:val="0"/>
        <w:spacing w:line="576" w:lineRule="exact"/>
        <w:ind w:firstLine="640" w:firstLineChars="200"/>
        <w:outlineLvl w:val="1"/>
        <w:rPr>
          <w:rFonts w:hint="eastAsia" w:ascii="黑体" w:hAnsi="黑体" w:eastAsia="黑体"/>
          <w:sz w:val="32"/>
          <w:szCs w:val="32"/>
        </w:rPr>
      </w:pPr>
      <w:bookmarkStart w:id="94" w:name="_Toc13925"/>
      <w:bookmarkStart w:id="95" w:name="_Toc12757"/>
      <w:r>
        <w:rPr>
          <w:rFonts w:hint="eastAsia" w:ascii="黑体" w:hAnsi="黑体" w:eastAsia="黑体"/>
          <w:sz w:val="32"/>
          <w:szCs w:val="32"/>
        </w:rPr>
        <w:t>三、绩效评价管理</w:t>
      </w:r>
      <w:bookmarkEnd w:id="94"/>
      <w:bookmarkEnd w:id="95"/>
    </w:p>
    <w:p>
      <w:pPr>
        <w:pageBreakBefore w:val="0"/>
        <w:kinsoku/>
        <w:wordWrap/>
        <w:overflowPunct/>
        <w:topLinePunct w:val="0"/>
        <w:autoSpaceDE/>
        <w:autoSpaceDN/>
        <w:bidi w:val="0"/>
        <w:spacing w:line="576" w:lineRule="exact"/>
        <w:ind w:firstLine="643" w:firstLineChars="200"/>
        <w:outlineLvl w:val="2"/>
        <w:rPr>
          <w:rFonts w:hint="eastAsia" w:ascii="楷体_GB2312" w:eastAsia="楷体_GB2312"/>
          <w:b/>
          <w:sz w:val="32"/>
          <w:szCs w:val="32"/>
        </w:rPr>
      </w:pPr>
      <w:r>
        <w:rPr>
          <w:rFonts w:hint="eastAsia" w:ascii="楷体_GB2312" w:eastAsia="楷体_GB2312"/>
          <w:b/>
          <w:sz w:val="32"/>
          <w:szCs w:val="32"/>
        </w:rPr>
        <w:t>（一）评价结论</w:t>
      </w:r>
    </w:p>
    <w:p>
      <w:pPr>
        <w:pageBreakBefore w:val="0"/>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2021年，我中心以习近平新时代中国特色社会主义思想为指导，围绕全县六大产业，大力实施“招商引资攻坚年”活动，组建招商战队，充分利用本土企业家力量，分区域开展驻点招商引资和委托招商，不断增强招商引资企业发展动能。这一年，我县新签约项目共30个，协议资金160.93亿元，新开工项目19个；上报市外到位资金70.45亿元，占全年目标任务的86.97%；工业到位资金40.71亿元，占全年目标任务的92.52%；省外到位资金45.63亿元，占全年目标任务的97.08％，省外（5+1）到位资金24.45亿元，占全年目标任务的84.32％。纳入省督办项目15个，履约率、开工率、资金到位率分别是86.67%，86.67%，63.59%，均按时间进度完成相应目标任务。</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整体和项目支出科学合理，项目管理规范，内控制度基本完善，资金监管到位，绩效目标完成较好，资金使用效率合理，运行保障有力。按照上级下达的整体支出绩效评价指标体系，自评小组针对预算项目绩效管理、专项预算项目绩效管理、绩效结果应用等做出自我评价，自评得分84分。</w:t>
      </w:r>
    </w:p>
    <w:p>
      <w:pPr>
        <w:pageBreakBefore w:val="0"/>
        <w:kinsoku/>
        <w:wordWrap/>
        <w:overflowPunct/>
        <w:topLinePunct w:val="0"/>
        <w:autoSpaceDE/>
        <w:autoSpaceDN/>
        <w:bidi w:val="0"/>
        <w:spacing w:line="576" w:lineRule="exact"/>
        <w:ind w:firstLine="643" w:firstLineChars="200"/>
        <w:outlineLvl w:val="2"/>
        <w:rPr>
          <w:rFonts w:hint="default" w:ascii="楷体_GB2312" w:eastAsia="楷体_GB2312"/>
          <w:b/>
          <w:sz w:val="32"/>
          <w:szCs w:val="32"/>
          <w:lang w:val="en-US" w:eastAsia="zh-CN"/>
        </w:rPr>
      </w:pPr>
      <w:r>
        <w:rPr>
          <w:rFonts w:hint="eastAsia" w:ascii="楷体_GB2312" w:eastAsia="楷体_GB2312"/>
          <w:b/>
          <w:sz w:val="32"/>
          <w:szCs w:val="32"/>
        </w:rPr>
        <w:t>（二）</w:t>
      </w:r>
      <w:r>
        <w:rPr>
          <w:rFonts w:hint="eastAsia" w:ascii="楷体_GB2312" w:eastAsia="楷体_GB2312"/>
          <w:b/>
          <w:sz w:val="32"/>
          <w:szCs w:val="32"/>
          <w:lang w:val="en-US" w:eastAsia="zh-CN"/>
        </w:rPr>
        <w:t>评价分析</w:t>
      </w:r>
    </w:p>
    <w:p>
      <w:pPr>
        <w:pageBreakBefore w:val="0"/>
        <w:kinsoku/>
        <w:wordWrap/>
        <w:overflowPunct/>
        <w:topLinePunct w:val="0"/>
        <w:autoSpaceDE/>
        <w:autoSpaceDN/>
        <w:bidi w:val="0"/>
        <w:spacing w:line="576" w:lineRule="exact"/>
        <w:ind w:firstLine="643" w:firstLineChars="200"/>
        <w:outlineLvl w:val="1"/>
        <w:rPr>
          <w:rFonts w:hint="default" w:ascii="仿宋" w:hAnsi="仿宋" w:eastAsia="仿宋_GB2312"/>
          <w:b/>
          <w:bCs/>
          <w:sz w:val="32"/>
          <w:szCs w:val="32"/>
          <w:lang w:val="en-US" w:eastAsia="zh-CN"/>
        </w:rPr>
      </w:pPr>
      <w:bookmarkStart w:id="96" w:name="_Toc30984"/>
      <w:bookmarkStart w:id="97" w:name="_Toc28568"/>
      <w:r>
        <w:rPr>
          <w:rFonts w:hint="eastAsia" w:ascii="仿宋" w:hAnsi="仿宋" w:eastAsia="仿宋"/>
          <w:b/>
          <w:bCs/>
          <w:sz w:val="32"/>
          <w:szCs w:val="32"/>
          <w:lang w:val="en-US" w:eastAsia="zh-CN"/>
        </w:rPr>
        <w:t>一、</w:t>
      </w:r>
      <w:r>
        <w:rPr>
          <w:rFonts w:hint="eastAsia" w:ascii="仿宋_GB2312" w:eastAsia="仿宋_GB2312"/>
          <w:b/>
          <w:bCs/>
          <w:sz w:val="32"/>
          <w:szCs w:val="32"/>
        </w:rPr>
        <w:t>按评价体系逐项分析说明得分</w:t>
      </w:r>
      <w:r>
        <w:rPr>
          <w:rFonts w:hint="eastAsia" w:ascii="仿宋_GB2312" w:eastAsia="仿宋_GB2312"/>
          <w:b/>
          <w:bCs/>
          <w:sz w:val="32"/>
          <w:szCs w:val="32"/>
          <w:lang w:val="en-US" w:eastAsia="zh-CN"/>
        </w:rPr>
        <w:t>情况进行分析</w:t>
      </w:r>
      <w:bookmarkEnd w:id="96"/>
      <w:bookmarkEnd w:id="97"/>
    </w:p>
    <w:p>
      <w:pPr>
        <w:pageBreakBefore w:val="0"/>
        <w:numPr>
          <w:ilvl w:val="0"/>
          <w:numId w:val="0"/>
        </w:numPr>
        <w:kinsoku/>
        <w:wordWrap/>
        <w:overflowPunct/>
        <w:topLinePunct w:val="0"/>
        <w:autoSpaceDE/>
        <w:autoSpaceDN/>
        <w:bidi w:val="0"/>
        <w:spacing w:line="576" w:lineRule="exact"/>
        <w:ind w:firstLine="640" w:firstLineChars="200"/>
        <w:outlineLvl w:val="2"/>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1. 部门预算项目绩效管理</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（1）目标管理方面总分15分，自评得分1</w:t>
      </w:r>
      <w:r>
        <w:rPr>
          <w:rFonts w:hint="eastAsia" w:ascii="仿宋_GB2312" w:hAnsi="仿宋_GB2312" w:eastAsia="仿宋_GB2312" w:cs="仿宋_GB2312"/>
          <w:color w:val="000000"/>
          <w:sz w:val="32"/>
          <w:szCs w:val="32"/>
          <w:lang w:val="en-US" w:eastAsia="zh-CN" w:bidi="ar"/>
        </w:rPr>
        <w:t>1</w:t>
      </w:r>
      <w:r>
        <w:rPr>
          <w:rFonts w:hint="eastAsia" w:ascii="仿宋_GB2312" w:hAnsi="仿宋_GB2312" w:eastAsia="仿宋_GB2312" w:cs="仿宋_GB2312"/>
          <w:color w:val="000000"/>
          <w:sz w:val="32"/>
          <w:szCs w:val="32"/>
          <w:lang w:eastAsia="zh-CN" w:bidi="ar"/>
        </w:rPr>
        <w:t>分。</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目标制定指标分值5分，此项目标考评细则是</w:t>
      </w:r>
      <w:r>
        <w:rPr>
          <w:rFonts w:hint="eastAsia" w:ascii="仿宋_GB2312" w:hAnsi="仿宋_GB2312" w:eastAsia="仿宋_GB2312" w:cs="仿宋_GB2312"/>
          <w:color w:val="000000"/>
          <w:sz w:val="32"/>
          <w:szCs w:val="32"/>
          <w:lang w:eastAsia="zh-CN" w:bidi="ar"/>
        </w:rPr>
        <w:t>编制绩效目标时注重要素的完整性，尽量细化指标，实现可操作性，</w:t>
      </w:r>
      <w:r>
        <w:rPr>
          <w:rFonts w:hint="eastAsia" w:ascii="仿宋_GB2312" w:hAnsi="仿宋_GB2312" w:eastAsia="仿宋_GB2312" w:cs="仿宋_GB2312"/>
          <w:color w:val="000000"/>
          <w:sz w:val="32"/>
          <w:szCs w:val="32"/>
          <w:lang w:val="en-US" w:eastAsia="zh-CN" w:bidi="ar"/>
        </w:rPr>
        <w:t>但我单位绩效目标未纳入党组会议中。经考评，我单位</w:t>
      </w:r>
      <w:r>
        <w:rPr>
          <w:rFonts w:hint="eastAsia" w:ascii="仿宋_GB2312" w:hAnsi="仿宋_GB2312" w:eastAsia="仿宋_GB2312" w:cs="仿宋_GB2312"/>
          <w:color w:val="000000"/>
          <w:sz w:val="32"/>
          <w:szCs w:val="32"/>
          <w:lang w:eastAsia="zh-CN" w:bidi="ar"/>
        </w:rPr>
        <w:t>基本完成年初编制绩效的目标任务，</w:t>
      </w:r>
      <w:r>
        <w:rPr>
          <w:rFonts w:hint="eastAsia" w:ascii="仿宋_GB2312" w:hAnsi="仿宋_GB2312" w:eastAsia="仿宋_GB2312" w:cs="仿宋_GB2312"/>
          <w:color w:val="000000"/>
          <w:sz w:val="32"/>
          <w:szCs w:val="32"/>
          <w:lang w:val="en-US" w:eastAsia="zh-CN" w:bidi="ar"/>
        </w:rPr>
        <w:t>自评得分3分。</w:t>
      </w:r>
    </w:p>
    <w:p>
      <w:pPr>
        <w:pageBreakBefore w:val="0"/>
        <w:numPr>
          <w:ilvl w:val="0"/>
          <w:numId w:val="0"/>
        </w:numPr>
        <w:kinsoku/>
        <w:wordWrap/>
        <w:overflowPunct/>
        <w:topLinePunct w:val="0"/>
        <w:autoSpaceDE/>
        <w:autoSpaceDN/>
        <w:bidi w:val="0"/>
        <w:spacing w:line="576" w:lineRule="exact"/>
        <w:ind w:firstLine="640" w:firstLineChars="200"/>
        <w:rPr>
          <w:rFonts w:hint="default"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目标实现指标分值10分，此项目标考评细则是评价部门绩效目标实际实现度与预期目标的偏离度，我单位的项目基本完成年初目标，个别项目存在偏离。经考评，我单位目标实现自评得分8分。</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（2）动态调整方面总分10分，自评得分8分。</w:t>
      </w:r>
    </w:p>
    <w:p>
      <w:pPr>
        <w:pageBreakBefore w:val="0"/>
        <w:numPr>
          <w:ilvl w:val="0"/>
          <w:numId w:val="0"/>
        </w:numPr>
        <w:kinsoku/>
        <w:wordWrap/>
        <w:overflowPunct/>
        <w:topLinePunct w:val="0"/>
        <w:autoSpaceDE/>
        <w:autoSpaceDN/>
        <w:bidi w:val="0"/>
        <w:spacing w:line="576" w:lineRule="exact"/>
        <w:ind w:firstLine="640" w:firstLineChars="200"/>
        <w:rPr>
          <w:rFonts w:hint="default"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支出控制指标分值2分，主要考评部门公用经费预决算偏差程度；及时处置指标分值4分，主要考评绩效运行监控后，将绩效监控结果应用到预算调整情况，是否建立整改机制等；执行进度指标分值4分，主要考评部门预算进度在6、9、11月是否到达序时进度。经考评，我单位</w:t>
      </w:r>
      <w:r>
        <w:rPr>
          <w:rFonts w:hint="eastAsia" w:ascii="仿宋_GB2312" w:hAnsi="仿宋_GB2312" w:eastAsia="仿宋_GB2312" w:cs="仿宋_GB2312"/>
          <w:color w:val="000000"/>
          <w:sz w:val="32"/>
          <w:szCs w:val="32"/>
          <w:lang w:eastAsia="zh-CN" w:bidi="ar"/>
        </w:rPr>
        <w:t>动态调整方面</w:t>
      </w:r>
      <w:r>
        <w:rPr>
          <w:rFonts w:hint="eastAsia" w:ascii="仿宋_GB2312" w:hAnsi="仿宋_GB2312" w:eastAsia="仿宋_GB2312" w:cs="仿宋_GB2312"/>
          <w:color w:val="000000"/>
          <w:sz w:val="32"/>
          <w:szCs w:val="32"/>
          <w:lang w:val="en-US" w:eastAsia="zh-CN" w:bidi="ar"/>
        </w:rPr>
        <w:t>自评得分8分。</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（3）完成效率方面总分15分，自评得分1</w:t>
      </w:r>
      <w:r>
        <w:rPr>
          <w:rFonts w:hint="eastAsia" w:ascii="仿宋_GB2312" w:hAnsi="仿宋_GB2312" w:eastAsia="仿宋_GB2312" w:cs="仿宋_GB2312"/>
          <w:color w:val="000000"/>
          <w:sz w:val="32"/>
          <w:szCs w:val="32"/>
          <w:lang w:val="en-US" w:eastAsia="zh-CN" w:bidi="ar"/>
        </w:rPr>
        <w:t>3</w:t>
      </w:r>
      <w:r>
        <w:rPr>
          <w:rFonts w:hint="eastAsia" w:ascii="仿宋_GB2312" w:hAnsi="仿宋_GB2312" w:eastAsia="仿宋_GB2312" w:cs="仿宋_GB2312"/>
          <w:color w:val="000000"/>
          <w:sz w:val="32"/>
          <w:szCs w:val="32"/>
          <w:lang w:eastAsia="zh-CN" w:bidi="ar"/>
        </w:rPr>
        <w:t>分。</w:t>
      </w:r>
    </w:p>
    <w:p>
      <w:pPr>
        <w:pageBreakBefore w:val="0"/>
        <w:numPr>
          <w:ilvl w:val="0"/>
          <w:numId w:val="0"/>
        </w:numPr>
        <w:kinsoku/>
        <w:wordWrap/>
        <w:overflowPunct/>
        <w:topLinePunct w:val="0"/>
        <w:autoSpaceDE/>
        <w:autoSpaceDN/>
        <w:bidi w:val="0"/>
        <w:spacing w:line="576" w:lineRule="exact"/>
        <w:ind w:firstLine="640" w:firstLineChars="200"/>
        <w:rPr>
          <w:rFonts w:hint="default"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完成效率包含预算完成5分、取得成效8分和违规记录2分。经考评，我单位</w:t>
      </w:r>
      <w:r>
        <w:rPr>
          <w:rFonts w:hint="eastAsia" w:ascii="仿宋_GB2312" w:hAnsi="仿宋_GB2312" w:eastAsia="仿宋_GB2312" w:cs="仿宋_GB2312"/>
          <w:color w:val="000000"/>
          <w:sz w:val="32"/>
          <w:szCs w:val="32"/>
          <w:lang w:eastAsia="zh-CN" w:bidi="ar"/>
        </w:rPr>
        <w:t>年度预算执行终了，执行进度达到100%，基本完成年初绩效目标任务，未出现违纪违规问题，</w:t>
      </w:r>
      <w:r>
        <w:rPr>
          <w:rFonts w:hint="eastAsia" w:ascii="仿宋_GB2312" w:hAnsi="仿宋_GB2312" w:eastAsia="仿宋_GB2312" w:cs="仿宋_GB2312"/>
          <w:color w:val="000000"/>
          <w:sz w:val="32"/>
          <w:szCs w:val="32"/>
          <w:lang w:val="en-US" w:eastAsia="zh-CN" w:bidi="ar"/>
        </w:rPr>
        <w:t>但取得成效方面有待加强。</w:t>
      </w:r>
    </w:p>
    <w:p>
      <w:pPr>
        <w:pageBreakBefore w:val="0"/>
        <w:numPr>
          <w:ilvl w:val="0"/>
          <w:numId w:val="0"/>
        </w:numPr>
        <w:kinsoku/>
        <w:wordWrap/>
        <w:overflowPunct/>
        <w:topLinePunct w:val="0"/>
        <w:autoSpaceDE/>
        <w:autoSpaceDN/>
        <w:bidi w:val="0"/>
        <w:spacing w:line="576" w:lineRule="exact"/>
        <w:ind w:firstLine="640" w:firstLineChars="200"/>
        <w:outlineLvl w:val="2"/>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2. 专项预算项目绩效管理</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按照专项预算项目自评工作的要求，对</w:t>
      </w:r>
      <w:r>
        <w:rPr>
          <w:rFonts w:hint="eastAsia" w:ascii="仿宋_GB2312" w:hAnsi="仿宋_GB2312" w:eastAsia="仿宋_GB2312" w:cs="仿宋_GB2312"/>
          <w:color w:val="000000"/>
          <w:sz w:val="32"/>
          <w:szCs w:val="32"/>
          <w:lang w:val="en-US" w:eastAsia="zh-CN" w:bidi="ar"/>
        </w:rPr>
        <w:t>我单位各个项目</w:t>
      </w:r>
      <w:r>
        <w:rPr>
          <w:rFonts w:hint="eastAsia" w:ascii="仿宋_GB2312" w:hAnsi="仿宋_GB2312" w:eastAsia="仿宋_GB2312" w:cs="仿宋_GB2312"/>
          <w:color w:val="000000"/>
          <w:sz w:val="32"/>
          <w:szCs w:val="32"/>
          <w:lang w:eastAsia="zh-CN" w:bidi="ar"/>
        </w:rPr>
        <w:t>进行</w:t>
      </w:r>
      <w:r>
        <w:rPr>
          <w:rFonts w:hint="eastAsia" w:ascii="仿宋_GB2312" w:hAnsi="仿宋_GB2312" w:eastAsia="仿宋_GB2312" w:cs="仿宋_GB2312"/>
          <w:color w:val="000000"/>
          <w:sz w:val="32"/>
          <w:szCs w:val="32"/>
          <w:lang w:val="en-US" w:eastAsia="zh-CN" w:bidi="ar"/>
        </w:rPr>
        <w:t>绩效</w:t>
      </w:r>
      <w:r>
        <w:rPr>
          <w:rFonts w:hint="eastAsia" w:ascii="仿宋_GB2312" w:hAnsi="仿宋_GB2312" w:eastAsia="仿宋_GB2312" w:cs="仿宋_GB2312"/>
          <w:color w:val="000000"/>
          <w:sz w:val="32"/>
          <w:szCs w:val="32"/>
          <w:lang w:eastAsia="zh-CN" w:bidi="ar"/>
        </w:rPr>
        <w:t>自评，并形成自评报告。专项预算项目按百分制自评得分9</w:t>
      </w:r>
      <w:r>
        <w:rPr>
          <w:rFonts w:hint="eastAsia" w:ascii="仿宋_GB2312" w:hAnsi="仿宋_GB2312" w:eastAsia="仿宋_GB2312" w:cs="仿宋_GB2312"/>
          <w:color w:val="000000"/>
          <w:sz w:val="32"/>
          <w:szCs w:val="32"/>
          <w:lang w:val="en-US" w:eastAsia="zh-CN" w:bidi="ar"/>
        </w:rPr>
        <w:t>0</w:t>
      </w:r>
      <w:r>
        <w:rPr>
          <w:rFonts w:hint="eastAsia" w:ascii="仿宋_GB2312" w:hAnsi="仿宋_GB2312" w:eastAsia="仿宋_GB2312" w:cs="仿宋_GB2312"/>
          <w:color w:val="000000"/>
          <w:sz w:val="32"/>
          <w:szCs w:val="32"/>
          <w:lang w:eastAsia="zh-CN" w:bidi="ar"/>
        </w:rPr>
        <w:t>分换算本项指标得分3</w:t>
      </w:r>
      <w:r>
        <w:rPr>
          <w:rFonts w:hint="eastAsia" w:ascii="仿宋_GB2312" w:hAnsi="仿宋_GB2312" w:eastAsia="仿宋_GB2312" w:cs="仿宋_GB2312"/>
          <w:color w:val="000000"/>
          <w:sz w:val="32"/>
          <w:szCs w:val="32"/>
          <w:lang w:val="en-US" w:eastAsia="zh-CN" w:bidi="ar"/>
        </w:rPr>
        <w:t>6</w:t>
      </w:r>
      <w:r>
        <w:rPr>
          <w:rFonts w:hint="eastAsia" w:ascii="仿宋_GB2312" w:hAnsi="仿宋_GB2312" w:eastAsia="仿宋_GB2312" w:cs="仿宋_GB2312"/>
          <w:color w:val="000000"/>
          <w:sz w:val="32"/>
          <w:szCs w:val="32"/>
          <w:lang w:eastAsia="zh-CN" w:bidi="ar"/>
        </w:rPr>
        <w:t>分。</w:t>
      </w:r>
    </w:p>
    <w:p>
      <w:pPr>
        <w:pageBreakBefore w:val="0"/>
        <w:numPr>
          <w:ilvl w:val="0"/>
          <w:numId w:val="0"/>
        </w:numPr>
        <w:kinsoku/>
        <w:wordWrap/>
        <w:overflowPunct/>
        <w:topLinePunct w:val="0"/>
        <w:autoSpaceDE/>
        <w:autoSpaceDN/>
        <w:bidi w:val="0"/>
        <w:spacing w:line="576" w:lineRule="exact"/>
        <w:ind w:firstLine="640" w:firstLineChars="200"/>
        <w:outlineLvl w:val="2"/>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3. 绩效结果应用</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（1）内部应用方面总分4分，自评得分</w:t>
      </w:r>
      <w:r>
        <w:rPr>
          <w:rFonts w:hint="eastAsia" w:ascii="仿宋_GB2312" w:hAnsi="仿宋_GB2312" w:eastAsia="仿宋_GB2312" w:cs="仿宋_GB2312"/>
          <w:color w:val="000000"/>
          <w:sz w:val="32"/>
          <w:szCs w:val="32"/>
          <w:lang w:val="en-US" w:eastAsia="zh-CN" w:bidi="ar"/>
        </w:rPr>
        <w:t>2</w:t>
      </w:r>
      <w:r>
        <w:rPr>
          <w:rFonts w:hint="eastAsia" w:ascii="仿宋_GB2312" w:hAnsi="仿宋_GB2312" w:eastAsia="仿宋_GB2312" w:cs="仿宋_GB2312"/>
          <w:color w:val="000000"/>
          <w:sz w:val="32"/>
          <w:szCs w:val="32"/>
          <w:lang w:eastAsia="zh-CN" w:bidi="ar"/>
        </w:rPr>
        <w:t>分。</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主要考评部门内部绩效结果与预算挂钩情况</w:t>
      </w:r>
      <w:r>
        <w:rPr>
          <w:rFonts w:hint="eastAsia" w:ascii="仿宋_GB2312" w:hAnsi="仿宋_GB2312" w:eastAsia="仿宋_GB2312" w:cs="仿宋_GB2312"/>
          <w:color w:val="000000"/>
          <w:sz w:val="32"/>
          <w:szCs w:val="32"/>
          <w:lang w:eastAsia="zh-CN" w:bidi="ar"/>
        </w:rPr>
        <w:t>，</w:t>
      </w:r>
      <w:r>
        <w:rPr>
          <w:rFonts w:hint="eastAsia" w:ascii="仿宋_GB2312" w:hAnsi="仿宋_GB2312" w:eastAsia="仿宋_GB2312" w:cs="仿宋_GB2312"/>
          <w:color w:val="000000"/>
          <w:sz w:val="32"/>
          <w:szCs w:val="32"/>
          <w:lang w:val="en-US" w:eastAsia="zh-CN" w:bidi="ar"/>
        </w:rPr>
        <w:t>我单位未严格把内设机构和下属机构纳入考核体系和机制</w:t>
      </w:r>
      <w:r>
        <w:rPr>
          <w:rFonts w:hint="eastAsia" w:ascii="仿宋_GB2312" w:hAnsi="仿宋_GB2312" w:eastAsia="仿宋_GB2312" w:cs="仿宋_GB2312"/>
          <w:color w:val="000000"/>
          <w:sz w:val="32"/>
          <w:szCs w:val="32"/>
          <w:lang w:eastAsia="zh-CN" w:bidi="ar"/>
        </w:rPr>
        <w:t>，扣</w:t>
      </w:r>
      <w:r>
        <w:rPr>
          <w:rFonts w:hint="eastAsia" w:ascii="仿宋_GB2312" w:hAnsi="仿宋_GB2312" w:eastAsia="仿宋_GB2312" w:cs="仿宋_GB2312"/>
          <w:color w:val="000000"/>
          <w:sz w:val="32"/>
          <w:szCs w:val="32"/>
          <w:lang w:val="en-US" w:eastAsia="zh-CN" w:bidi="ar"/>
        </w:rPr>
        <w:t>2</w:t>
      </w:r>
      <w:r>
        <w:rPr>
          <w:rFonts w:hint="eastAsia" w:ascii="仿宋_GB2312" w:hAnsi="仿宋_GB2312" w:eastAsia="仿宋_GB2312" w:cs="仿宋_GB2312"/>
          <w:color w:val="000000"/>
          <w:sz w:val="32"/>
          <w:szCs w:val="32"/>
          <w:lang w:eastAsia="zh-CN" w:bidi="ar"/>
        </w:rPr>
        <w:t>分。</w:t>
      </w:r>
    </w:p>
    <w:p>
      <w:pPr>
        <w:pageBreakBefore w:val="0"/>
        <w:numPr>
          <w:ilvl w:val="0"/>
          <w:numId w:val="0"/>
        </w:numPr>
        <w:kinsoku/>
        <w:wordWrap/>
        <w:overflowPunct/>
        <w:topLinePunct w:val="0"/>
        <w:autoSpaceDE/>
        <w:autoSpaceDN/>
        <w:bidi w:val="0"/>
        <w:spacing w:line="576" w:lineRule="exact"/>
        <w:ind w:firstLine="600" w:firstLineChars="200"/>
        <w:rPr>
          <w:rFonts w:hint="eastAsia" w:ascii="仿宋_GB2312" w:hAnsi="仿宋_GB2312" w:eastAsia="仿宋_GB2312" w:cs="仿宋_GB2312"/>
          <w:color w:val="000000"/>
          <w:sz w:val="32"/>
          <w:szCs w:val="32"/>
          <w:lang w:eastAsia="zh-CN" w:bidi="ar"/>
        </w:rPr>
      </w:pPr>
      <w:r>
        <w:rPr>
          <w:rFonts w:hint="eastAsia" w:ascii="仿宋" w:hAnsi="仿宋" w:eastAsia="仿宋"/>
          <w:sz w:val="30"/>
          <w:szCs w:val="30"/>
        </w:rPr>
        <w:t>（</w:t>
      </w:r>
      <w:r>
        <w:rPr>
          <w:rFonts w:hint="eastAsia" w:ascii="仿宋_GB2312" w:hAnsi="仿宋_GB2312" w:eastAsia="仿宋_GB2312" w:cs="仿宋_GB2312"/>
          <w:color w:val="000000"/>
          <w:sz w:val="32"/>
          <w:szCs w:val="32"/>
          <w:lang w:eastAsia="zh-CN" w:bidi="ar"/>
        </w:rPr>
        <w:t>2）信息公开方面总分2分，自评得分2分。</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我单位按要求将部门整体绩效自评情况和自行组织的评价情况向社会公开，</w:t>
      </w:r>
      <w:r>
        <w:rPr>
          <w:rFonts w:hint="eastAsia" w:ascii="仿宋_GB2312" w:hAnsi="仿宋_GB2312" w:eastAsia="仿宋_GB2312" w:cs="仿宋_GB2312"/>
          <w:color w:val="000000"/>
          <w:sz w:val="32"/>
          <w:szCs w:val="32"/>
          <w:lang w:eastAsia="zh-CN" w:bidi="ar"/>
        </w:rPr>
        <w:t>并接受</w:t>
      </w:r>
      <w:r>
        <w:rPr>
          <w:rFonts w:hint="eastAsia" w:ascii="仿宋_GB2312" w:hAnsi="仿宋_GB2312" w:eastAsia="仿宋_GB2312" w:cs="仿宋_GB2312"/>
          <w:color w:val="000000"/>
          <w:sz w:val="32"/>
          <w:szCs w:val="32"/>
          <w:lang w:val="en-US" w:eastAsia="zh-CN" w:bidi="ar"/>
        </w:rPr>
        <w:t>相关</w:t>
      </w:r>
      <w:r>
        <w:rPr>
          <w:rFonts w:hint="eastAsia" w:ascii="仿宋_GB2312" w:hAnsi="仿宋_GB2312" w:eastAsia="仿宋_GB2312" w:cs="仿宋_GB2312"/>
          <w:color w:val="000000"/>
          <w:sz w:val="32"/>
          <w:szCs w:val="32"/>
          <w:lang w:eastAsia="zh-CN" w:bidi="ar"/>
        </w:rPr>
        <w:t>部门以及社会的检查和监督。</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（3）整改反馈方面总分4分，自评得分4分。</w:t>
      </w:r>
    </w:p>
    <w:p>
      <w:pPr>
        <w:pageBreakBefore w:val="0"/>
        <w:numPr>
          <w:ilvl w:val="0"/>
          <w:numId w:val="0"/>
        </w:numPr>
        <w:kinsoku/>
        <w:wordWrap/>
        <w:overflowPunct/>
        <w:topLinePunct w:val="0"/>
        <w:autoSpaceDE/>
        <w:autoSpaceDN/>
        <w:bidi w:val="0"/>
        <w:spacing w:line="576" w:lineRule="exact"/>
        <w:ind w:firstLine="640" w:firstLineChars="200"/>
        <w:rPr>
          <w:rFonts w:hint="default"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我单位问题整改及时，逐步完善绩效管理相关制度，并按要求及时向财政部门反馈结果应用情况。</w:t>
      </w:r>
    </w:p>
    <w:p>
      <w:pPr>
        <w:pageBreakBefore w:val="0"/>
        <w:numPr>
          <w:ilvl w:val="0"/>
          <w:numId w:val="0"/>
        </w:numPr>
        <w:kinsoku/>
        <w:wordWrap/>
        <w:overflowPunct/>
        <w:topLinePunct w:val="0"/>
        <w:autoSpaceDE/>
        <w:autoSpaceDN/>
        <w:bidi w:val="0"/>
        <w:spacing w:line="576" w:lineRule="exact"/>
        <w:ind w:firstLine="640" w:firstLineChars="200"/>
        <w:outlineLvl w:val="2"/>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4. 自评质量</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自评质量总分10分，自评得分</w:t>
      </w:r>
      <w:r>
        <w:rPr>
          <w:rFonts w:hint="eastAsia" w:ascii="仿宋_GB2312" w:hAnsi="仿宋_GB2312" w:eastAsia="仿宋_GB2312" w:cs="仿宋_GB2312"/>
          <w:color w:val="000000"/>
          <w:sz w:val="32"/>
          <w:szCs w:val="32"/>
          <w:lang w:val="en-US" w:eastAsia="zh-CN" w:bidi="ar"/>
        </w:rPr>
        <w:t>8</w:t>
      </w:r>
      <w:r>
        <w:rPr>
          <w:rFonts w:hint="eastAsia" w:ascii="仿宋_GB2312" w:hAnsi="仿宋_GB2312" w:eastAsia="仿宋_GB2312" w:cs="仿宋_GB2312"/>
          <w:color w:val="000000"/>
          <w:sz w:val="32"/>
          <w:szCs w:val="32"/>
          <w:lang w:eastAsia="zh-CN" w:bidi="ar"/>
        </w:rPr>
        <w:t>分。</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val="en-US" w:eastAsia="zh-CN" w:bidi="ar"/>
        </w:rPr>
        <w:t>我单位</w:t>
      </w:r>
      <w:r>
        <w:rPr>
          <w:rFonts w:hint="eastAsia" w:ascii="仿宋_GB2312" w:hAnsi="仿宋_GB2312" w:eastAsia="仿宋_GB2312" w:cs="仿宋_GB2312"/>
          <w:color w:val="000000"/>
          <w:sz w:val="32"/>
          <w:szCs w:val="32"/>
          <w:lang w:eastAsia="zh-CN" w:bidi="ar"/>
        </w:rPr>
        <w:t>按要求及时完成</w:t>
      </w:r>
      <w:r>
        <w:rPr>
          <w:rFonts w:hint="eastAsia" w:ascii="仿宋_GB2312" w:hAnsi="仿宋_GB2312" w:eastAsia="仿宋_GB2312" w:cs="仿宋_GB2312"/>
          <w:color w:val="000000"/>
          <w:sz w:val="32"/>
          <w:szCs w:val="32"/>
          <w:lang w:val="en-US" w:eastAsia="zh-CN" w:bidi="ar"/>
        </w:rPr>
        <w:t>部门整体支出</w:t>
      </w:r>
      <w:r>
        <w:rPr>
          <w:rFonts w:hint="eastAsia" w:ascii="仿宋_GB2312" w:hAnsi="仿宋_GB2312" w:eastAsia="仿宋_GB2312" w:cs="仿宋_GB2312"/>
          <w:color w:val="000000"/>
          <w:sz w:val="32"/>
          <w:szCs w:val="32"/>
          <w:lang w:eastAsia="zh-CN" w:bidi="ar"/>
        </w:rPr>
        <w:t>绩效自评</w:t>
      </w:r>
      <w:r>
        <w:rPr>
          <w:rFonts w:hint="eastAsia" w:ascii="仿宋_GB2312" w:hAnsi="仿宋_GB2312" w:eastAsia="仿宋_GB2312" w:cs="仿宋_GB2312"/>
          <w:color w:val="000000"/>
          <w:sz w:val="32"/>
          <w:szCs w:val="32"/>
          <w:lang w:val="en-US" w:eastAsia="zh-CN" w:bidi="ar"/>
        </w:rPr>
        <w:t>和</w:t>
      </w:r>
      <w:r>
        <w:rPr>
          <w:rFonts w:hint="eastAsia" w:ascii="仿宋_GB2312" w:hAnsi="仿宋_GB2312" w:eastAsia="仿宋_GB2312" w:cs="仿宋_GB2312"/>
          <w:color w:val="000000"/>
          <w:sz w:val="32"/>
          <w:szCs w:val="32"/>
          <w:lang w:eastAsia="zh-CN" w:bidi="ar"/>
        </w:rPr>
        <w:t>自评</w:t>
      </w:r>
      <w:r>
        <w:rPr>
          <w:rFonts w:hint="eastAsia" w:ascii="仿宋_GB2312" w:hAnsi="仿宋_GB2312" w:eastAsia="仿宋_GB2312" w:cs="仿宋_GB2312"/>
          <w:color w:val="000000"/>
          <w:sz w:val="32"/>
          <w:szCs w:val="32"/>
          <w:lang w:val="en-US" w:eastAsia="zh-CN" w:bidi="ar"/>
        </w:rPr>
        <w:t>分析</w:t>
      </w:r>
      <w:r>
        <w:rPr>
          <w:rFonts w:hint="eastAsia" w:ascii="仿宋_GB2312" w:hAnsi="仿宋_GB2312" w:eastAsia="仿宋_GB2312" w:cs="仿宋_GB2312"/>
          <w:color w:val="000000"/>
          <w:sz w:val="32"/>
          <w:szCs w:val="32"/>
          <w:lang w:eastAsia="zh-CN" w:bidi="ar"/>
        </w:rPr>
        <w:t>报告，</w:t>
      </w:r>
      <w:r>
        <w:rPr>
          <w:rFonts w:hint="eastAsia" w:ascii="仿宋_GB2312" w:hAnsi="仿宋_GB2312" w:eastAsia="仿宋_GB2312" w:cs="仿宋_GB2312"/>
          <w:color w:val="000000"/>
          <w:sz w:val="32"/>
          <w:szCs w:val="32"/>
          <w:lang w:val="en-US" w:eastAsia="zh-CN" w:bidi="ar"/>
        </w:rPr>
        <w:t>自评准确率较高，但</w:t>
      </w:r>
      <w:r>
        <w:rPr>
          <w:rFonts w:hint="eastAsia" w:ascii="仿宋_GB2312" w:hAnsi="仿宋_GB2312" w:eastAsia="仿宋_GB2312" w:cs="仿宋_GB2312"/>
          <w:color w:val="000000"/>
          <w:sz w:val="32"/>
          <w:szCs w:val="32"/>
          <w:lang w:eastAsia="zh-CN" w:bidi="ar"/>
        </w:rPr>
        <w:t>质量</w:t>
      </w:r>
      <w:r>
        <w:rPr>
          <w:rFonts w:hint="eastAsia" w:ascii="仿宋_GB2312" w:hAnsi="仿宋_GB2312" w:eastAsia="仿宋_GB2312" w:cs="仿宋_GB2312"/>
          <w:color w:val="000000"/>
          <w:sz w:val="32"/>
          <w:szCs w:val="32"/>
          <w:lang w:val="en-US" w:eastAsia="zh-CN" w:bidi="ar"/>
        </w:rPr>
        <w:t>还需</w:t>
      </w:r>
      <w:r>
        <w:rPr>
          <w:rFonts w:hint="eastAsia" w:ascii="仿宋_GB2312" w:hAnsi="仿宋_GB2312" w:eastAsia="仿宋_GB2312" w:cs="仿宋_GB2312"/>
          <w:color w:val="000000"/>
          <w:sz w:val="32"/>
          <w:szCs w:val="32"/>
          <w:lang w:eastAsia="zh-CN" w:bidi="ar"/>
        </w:rPr>
        <w:t>提</w:t>
      </w:r>
      <w:r>
        <w:rPr>
          <w:rFonts w:hint="eastAsia" w:ascii="仿宋_GB2312" w:hAnsi="仿宋_GB2312" w:eastAsia="仿宋_GB2312" w:cs="仿宋_GB2312"/>
          <w:color w:val="000000"/>
          <w:sz w:val="32"/>
          <w:szCs w:val="32"/>
          <w:lang w:val="en-US" w:eastAsia="zh-CN" w:bidi="ar"/>
        </w:rPr>
        <w:t>升</w:t>
      </w:r>
      <w:r>
        <w:rPr>
          <w:rFonts w:hint="eastAsia" w:ascii="仿宋_GB2312" w:hAnsi="仿宋_GB2312" w:eastAsia="仿宋_GB2312" w:cs="仿宋_GB2312"/>
          <w:color w:val="000000"/>
          <w:sz w:val="32"/>
          <w:szCs w:val="32"/>
          <w:lang w:eastAsia="zh-CN" w:bidi="ar"/>
        </w:rPr>
        <w:t>。</w:t>
      </w:r>
    </w:p>
    <w:p>
      <w:pPr>
        <w:pageBreakBefore w:val="0"/>
        <w:numPr>
          <w:ilvl w:val="0"/>
          <w:numId w:val="0"/>
        </w:numPr>
        <w:kinsoku/>
        <w:wordWrap/>
        <w:overflowPunct/>
        <w:topLinePunct w:val="0"/>
        <w:autoSpaceDE/>
        <w:autoSpaceDN/>
        <w:bidi w:val="0"/>
        <w:spacing w:line="576" w:lineRule="exact"/>
        <w:ind w:firstLine="640" w:firstLineChars="200"/>
        <w:outlineLvl w:val="2"/>
        <w:rPr>
          <w:rFonts w:hint="eastAsia" w:ascii="仿宋_GB2312" w:hAnsi="仿宋_GB2312" w:eastAsia="仿宋_GB2312" w:cs="仿宋_GB2312"/>
          <w:color w:val="000000"/>
          <w:sz w:val="32"/>
          <w:szCs w:val="32"/>
          <w:lang w:eastAsia="zh-CN" w:bidi="ar"/>
        </w:rPr>
      </w:pPr>
      <w:r>
        <w:rPr>
          <w:rFonts w:hint="eastAsia" w:ascii="仿宋_GB2312" w:hAnsi="仿宋_GB2312" w:eastAsia="仿宋_GB2312" w:cs="仿宋_GB2312"/>
          <w:color w:val="000000"/>
          <w:sz w:val="32"/>
          <w:szCs w:val="32"/>
          <w:lang w:eastAsia="zh-CN" w:bidi="ar"/>
        </w:rPr>
        <w:t>5. 扣分项</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eastAsia="zh-CN" w:bidi="ar"/>
        </w:rPr>
        <w:t>财政重点绩效评价工作开展过程中，</w:t>
      </w:r>
      <w:r>
        <w:rPr>
          <w:rFonts w:hint="eastAsia" w:ascii="仿宋_GB2312" w:hAnsi="仿宋_GB2312" w:eastAsia="仿宋_GB2312" w:cs="仿宋_GB2312"/>
          <w:color w:val="000000"/>
          <w:sz w:val="32"/>
          <w:szCs w:val="32"/>
          <w:lang w:val="en-US" w:eastAsia="zh-CN" w:bidi="ar"/>
        </w:rPr>
        <w:t>我单位积极配合工作，不存在</w:t>
      </w:r>
      <w:r>
        <w:rPr>
          <w:rFonts w:hint="eastAsia" w:ascii="仿宋_GB2312" w:hAnsi="仿宋_GB2312" w:eastAsia="仿宋_GB2312" w:cs="仿宋_GB2312"/>
          <w:color w:val="000000"/>
          <w:sz w:val="32"/>
          <w:szCs w:val="32"/>
          <w:lang w:eastAsia="zh-CN" w:bidi="ar"/>
        </w:rPr>
        <w:t>拖</w:t>
      </w:r>
      <w:r>
        <w:rPr>
          <w:rFonts w:hint="eastAsia" w:ascii="仿宋_GB2312" w:hAnsi="仿宋_GB2312" w:eastAsia="仿宋_GB2312" w:cs="仿宋_GB2312"/>
          <w:color w:val="000000"/>
          <w:sz w:val="32"/>
          <w:szCs w:val="32"/>
          <w:lang w:val="en-US" w:eastAsia="zh-CN" w:bidi="ar"/>
        </w:rPr>
        <w:t>延</w:t>
      </w:r>
      <w:r>
        <w:rPr>
          <w:rFonts w:hint="eastAsia" w:ascii="仿宋_GB2312" w:hAnsi="仿宋_GB2312" w:eastAsia="仿宋_GB2312" w:cs="仿宋_GB2312"/>
          <w:color w:val="000000"/>
          <w:sz w:val="32"/>
          <w:szCs w:val="32"/>
          <w:lang w:eastAsia="zh-CN" w:bidi="ar"/>
        </w:rPr>
        <w:t>推诿、</w:t>
      </w:r>
      <w:r>
        <w:rPr>
          <w:rFonts w:hint="eastAsia" w:ascii="仿宋_GB2312" w:hAnsi="仿宋_GB2312" w:eastAsia="仿宋_GB2312" w:cs="仿宋_GB2312"/>
          <w:color w:val="000000"/>
          <w:sz w:val="32"/>
          <w:szCs w:val="32"/>
          <w:lang w:val="en-US" w:eastAsia="zh-CN" w:bidi="ar"/>
        </w:rPr>
        <w:t>提交资料不及时等情况。</w:t>
      </w:r>
    </w:p>
    <w:p>
      <w:pPr>
        <w:pageBreakBefore w:val="0"/>
        <w:kinsoku/>
        <w:wordWrap/>
        <w:overflowPunct/>
        <w:topLinePunct w:val="0"/>
        <w:autoSpaceDE/>
        <w:autoSpaceDN/>
        <w:bidi w:val="0"/>
        <w:spacing w:line="576" w:lineRule="exact"/>
        <w:ind w:firstLine="602" w:firstLineChars="200"/>
        <w:outlineLvl w:val="1"/>
        <w:rPr>
          <w:rFonts w:hint="default" w:ascii="仿宋" w:hAnsi="仿宋" w:eastAsia="仿宋" w:cs="Times New Roman"/>
          <w:b/>
          <w:bCs/>
          <w:sz w:val="30"/>
          <w:szCs w:val="30"/>
          <w:lang w:val="en-US" w:eastAsia="zh-CN"/>
        </w:rPr>
      </w:pPr>
      <w:bookmarkStart w:id="98" w:name="_Toc10890"/>
      <w:bookmarkStart w:id="99" w:name="_Toc7515"/>
      <w:r>
        <w:rPr>
          <w:rFonts w:hint="eastAsia" w:ascii="仿宋" w:hAnsi="仿宋" w:eastAsia="仿宋" w:cs="Times New Roman"/>
          <w:b/>
          <w:bCs/>
          <w:sz w:val="30"/>
          <w:szCs w:val="30"/>
          <w:lang w:val="en-US" w:eastAsia="zh-CN"/>
        </w:rPr>
        <w:t>二、按整体支出绩效评价情况分析</w:t>
      </w:r>
      <w:bookmarkEnd w:id="98"/>
      <w:bookmarkEnd w:id="99"/>
    </w:p>
    <w:p>
      <w:pPr>
        <w:pageBreakBefore w:val="0"/>
        <w:numPr>
          <w:ilvl w:val="0"/>
          <w:numId w:val="0"/>
        </w:numPr>
        <w:kinsoku/>
        <w:wordWrap/>
        <w:overflowPunct/>
        <w:topLinePunct w:val="0"/>
        <w:autoSpaceDE/>
        <w:autoSpaceDN/>
        <w:bidi w:val="0"/>
        <w:spacing w:line="576" w:lineRule="exact"/>
        <w:ind w:firstLine="640" w:firstLineChars="200"/>
        <w:outlineLvl w:val="2"/>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1.经济性分析。</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（1）本年预算配置控制较好。财政供养人员控制在预算编制以内，编制内在职人员控制率为71.4%，小于100%；“三公”经费支出总额较年初预算持平。</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2）预算执行方面。支出总额控制在预算总额以内，基本支出中，财政政策性工资和对个人和家庭的补助支出有所追加，本年部门预算未进行预算相关事项的调整；我部预算资金按照规定管理使用，本年财政预算资金结转较上年大幅度减少，主要是财政及时拨付资金，财政拨款支出总体控制较好。</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（3）预算管理方面。我中心制定了切实有效的内部管理制度和经费支出控制方案，有较强的内控风险管理意识、各项经费支出得到了有效控制。</w:t>
      </w:r>
    </w:p>
    <w:p>
      <w:pPr>
        <w:pageBreakBefore w:val="0"/>
        <w:numPr>
          <w:ilvl w:val="0"/>
          <w:numId w:val="0"/>
        </w:numPr>
        <w:kinsoku/>
        <w:wordWrap/>
        <w:overflowPunct/>
        <w:topLinePunct w:val="0"/>
        <w:autoSpaceDE/>
        <w:autoSpaceDN/>
        <w:bidi w:val="0"/>
        <w:spacing w:line="576" w:lineRule="exact"/>
        <w:ind w:firstLine="640" w:firstLineChars="200"/>
        <w:outlineLvl w:val="2"/>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2.效率性分析</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预算安排的基本支出保障了我单位正常的工作运转，预算安排的项目支出保障了单位各项业务工作的顺利开展。</w:t>
      </w:r>
    </w:p>
    <w:p>
      <w:pPr>
        <w:pageBreakBefore w:val="0"/>
        <w:numPr>
          <w:ilvl w:val="0"/>
          <w:numId w:val="0"/>
        </w:numPr>
        <w:kinsoku/>
        <w:wordWrap/>
        <w:overflowPunct/>
        <w:topLinePunct w:val="0"/>
        <w:autoSpaceDE/>
        <w:autoSpaceDN/>
        <w:bidi w:val="0"/>
        <w:spacing w:line="576" w:lineRule="exact"/>
        <w:ind w:firstLine="640" w:firstLineChars="200"/>
        <w:outlineLvl w:val="2"/>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3.效益性分析</w:t>
      </w:r>
    </w:p>
    <w:p>
      <w:pPr>
        <w:pageBreakBefore w:val="0"/>
        <w:numPr>
          <w:ilvl w:val="0"/>
          <w:numId w:val="0"/>
        </w:numPr>
        <w:kinsoku/>
        <w:wordWrap/>
        <w:overflowPunct/>
        <w:topLinePunct w:val="0"/>
        <w:autoSpaceDE/>
        <w:autoSpaceDN/>
        <w:bidi w:val="0"/>
        <w:spacing w:line="576" w:lineRule="exact"/>
        <w:ind w:firstLine="640" w:firstLineChars="200"/>
        <w:rPr>
          <w:rFonts w:hint="default"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2021年，我单位干部职工认真贯彻落实党的十八大精神和县委县政府决策部署，努力工作，创先争优，不仅按照年初工作安排较好地完成各项工作任务，而且取得较好的成绩。</w:t>
      </w:r>
    </w:p>
    <w:p>
      <w:pPr>
        <w:pageBreakBefore w:val="0"/>
        <w:numPr>
          <w:ilvl w:val="0"/>
          <w:numId w:val="5"/>
        </w:numPr>
        <w:kinsoku/>
        <w:wordWrap/>
        <w:overflowPunct/>
        <w:topLinePunct w:val="0"/>
        <w:autoSpaceDE/>
        <w:autoSpaceDN/>
        <w:bidi w:val="0"/>
        <w:spacing w:line="576" w:lineRule="exact"/>
        <w:ind w:firstLine="640" w:firstLineChars="200"/>
        <w:outlineLvl w:val="1"/>
        <w:rPr>
          <w:rFonts w:hint="eastAsia" w:ascii="黑体" w:hAnsi="黑体" w:eastAsia="黑体"/>
          <w:sz w:val="32"/>
          <w:szCs w:val="32"/>
        </w:rPr>
      </w:pPr>
      <w:bookmarkStart w:id="100" w:name="_Toc7283"/>
      <w:bookmarkStart w:id="101" w:name="_Toc8742"/>
      <w:r>
        <w:rPr>
          <w:rFonts w:hint="eastAsia" w:ascii="黑体" w:hAnsi="黑体" w:eastAsia="黑体"/>
          <w:sz w:val="32"/>
          <w:szCs w:val="32"/>
        </w:rPr>
        <w:t>存在的主要问题</w:t>
      </w:r>
      <w:bookmarkEnd w:id="100"/>
      <w:bookmarkEnd w:id="101"/>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通过本次绩效自评，我单位在预算支出管理方面还存在以下问题：</w:t>
      </w:r>
    </w:p>
    <w:p>
      <w:pPr>
        <w:pageBreakBefore w:val="0"/>
        <w:numPr>
          <w:ilvl w:val="0"/>
          <w:numId w:val="0"/>
        </w:numPr>
        <w:kinsoku/>
        <w:wordWrap/>
        <w:overflowPunct/>
        <w:topLinePunct w:val="0"/>
        <w:autoSpaceDE/>
        <w:autoSpaceDN/>
        <w:bidi w:val="0"/>
        <w:spacing w:line="576" w:lineRule="exact"/>
        <w:ind w:firstLine="640" w:firstLineChars="200"/>
        <w:outlineLvl w:val="2"/>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1.绩效管理意识有待提高</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一是绩效评价在指标设定上不科学。个别绩效指标设置不够合理，细化量化程度不足，没有明确的衡量标准，多样化标准的情况一定程度上导致绩效评价的随意性较大。另外，简单的量化指标又缺乏客观标准及相关数据支持，导致不能真实反映预算的总体情况。</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二是对项目支出中期绩效监控未达到全覆盖。由于前期绩效管理意识不到位及缺乏专业人员，我单位仅对部分重点项目进行绩效监控，未及时对项目全部资料进行梳理备案统一保管，出现资料不全等问题，导致单位自评依据不完整，评价结果不够准确。</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三是业务部门对预算绩效管理工作存在偏见，认为预算绩效管理是财务部门的事，配合参与程度较低，在管理机制约束力不足的情况下，很难保证预算绩效考核的全面性。</w:t>
      </w:r>
    </w:p>
    <w:p>
      <w:pPr>
        <w:pageBreakBefore w:val="0"/>
        <w:numPr>
          <w:ilvl w:val="0"/>
          <w:numId w:val="0"/>
        </w:numPr>
        <w:kinsoku/>
        <w:wordWrap/>
        <w:overflowPunct/>
        <w:topLinePunct w:val="0"/>
        <w:autoSpaceDE/>
        <w:autoSpaceDN/>
        <w:bidi w:val="0"/>
        <w:spacing w:line="576" w:lineRule="exact"/>
        <w:ind w:firstLine="640" w:firstLineChars="200"/>
        <w:outlineLvl w:val="2"/>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2.绩效指标设定不够科学</w:t>
      </w:r>
    </w:p>
    <w:p>
      <w:pPr>
        <w:pageBreakBefore w:val="0"/>
        <w:numPr>
          <w:ilvl w:val="0"/>
          <w:numId w:val="0"/>
        </w:numPr>
        <w:kinsoku/>
        <w:wordWrap/>
        <w:overflowPunct/>
        <w:topLinePunct w:val="0"/>
        <w:autoSpaceDE/>
        <w:autoSpaceDN/>
        <w:bidi w:val="0"/>
        <w:spacing w:line="576" w:lineRule="exact"/>
        <w:ind w:firstLine="640" w:firstLineChars="200"/>
        <w:rPr>
          <w:rFonts w:hint="eastAsia" w:ascii="仿宋_GB2312" w:hAnsi="仿宋_GB2312" w:eastAsia="仿宋_GB2312" w:cs="仿宋_GB2312"/>
          <w:color w:val="000000"/>
          <w:sz w:val="32"/>
          <w:szCs w:val="32"/>
          <w:lang w:val="en-US" w:eastAsia="zh-CN" w:bidi="ar"/>
        </w:rPr>
      </w:pPr>
      <w:r>
        <w:rPr>
          <w:rFonts w:hint="eastAsia" w:ascii="仿宋_GB2312" w:hAnsi="仿宋_GB2312" w:eastAsia="仿宋_GB2312" w:cs="仿宋_GB2312"/>
          <w:color w:val="000000"/>
          <w:sz w:val="32"/>
          <w:szCs w:val="32"/>
          <w:lang w:val="en-US" w:eastAsia="zh-CN" w:bidi="ar"/>
        </w:rPr>
        <w:t>第一，绩效评价在指标设定上不够科学。个别绩效指标设置不够合理，细化量化程度不足，没有明确的衡量标准，多样化标准的情况一定程度上导致绩效评价的随意性较大。第二，简单的量化指标又缺乏客观标准及相关数据支持，导致不能真实反映预算的总体情况</w:t>
      </w:r>
    </w:p>
    <w:p>
      <w:pPr>
        <w:pageBreakBefore w:val="0"/>
        <w:numPr>
          <w:ilvl w:val="0"/>
          <w:numId w:val="0"/>
        </w:numPr>
        <w:kinsoku/>
        <w:wordWrap/>
        <w:overflowPunct/>
        <w:topLinePunct w:val="0"/>
        <w:autoSpaceDE/>
        <w:autoSpaceDN/>
        <w:bidi w:val="0"/>
        <w:spacing w:line="576" w:lineRule="exact"/>
        <w:ind w:firstLine="640" w:firstLineChars="200"/>
        <w:outlineLvl w:val="1"/>
        <w:rPr>
          <w:rFonts w:hint="eastAsia" w:ascii="仿宋_GB2312" w:eastAsia="仿宋_GB2312"/>
          <w:sz w:val="32"/>
          <w:szCs w:val="32"/>
        </w:rPr>
      </w:pPr>
      <w:bookmarkStart w:id="102" w:name="_Toc2231"/>
      <w:bookmarkStart w:id="103" w:name="_Toc29337"/>
      <w:r>
        <w:rPr>
          <w:rFonts w:hint="eastAsia" w:ascii="黑体" w:hAnsi="黑体" w:eastAsia="黑体"/>
          <w:sz w:val="32"/>
          <w:szCs w:val="32"/>
        </w:rPr>
        <w:t>五、整改措施及建议</w:t>
      </w:r>
      <w:bookmarkEnd w:id="102"/>
      <w:bookmarkEnd w:id="103"/>
    </w:p>
    <w:p>
      <w:pPr>
        <w:pStyle w:val="33"/>
        <w:keepNext w:val="0"/>
        <w:keepLines w:val="0"/>
        <w:pageBreakBefore w:val="0"/>
        <w:widowControl/>
        <w:kinsoku/>
        <w:wordWrap/>
        <w:overflowPunct/>
        <w:topLinePunct w:val="0"/>
        <w:autoSpaceDE/>
        <w:autoSpaceDN/>
        <w:bidi w:val="0"/>
        <w:adjustRightInd/>
        <w:snapToGrid/>
        <w:spacing w:line="576" w:lineRule="exact"/>
        <w:ind w:right="-119" w:firstLine="640" w:firstLineChars="200"/>
        <w:jc w:val="left"/>
        <w:textAlignment w:val="baseline"/>
        <w:rPr>
          <w:rFonts w:hint="eastAsia" w:ascii="仿宋_GB2312" w:hAnsi="仿宋_GB2312" w:eastAsia="仿宋_GB2312" w:cs="仿宋_GB2312"/>
          <w:color w:val="000000"/>
          <w:kern w:val="2"/>
          <w:sz w:val="32"/>
          <w:szCs w:val="32"/>
          <w:lang w:val="en-US" w:eastAsia="zh-CN" w:bidi="ar"/>
        </w:rPr>
      </w:pPr>
      <w:r>
        <w:rPr>
          <w:rFonts w:hint="eastAsia" w:ascii="仿宋_GB2312" w:hAnsi="仿宋_GB2312" w:eastAsia="仿宋_GB2312" w:cs="仿宋_GB2312"/>
          <w:color w:val="000000"/>
          <w:kern w:val="2"/>
          <w:sz w:val="32"/>
          <w:szCs w:val="32"/>
          <w:lang w:val="en-US" w:eastAsia="zh-CN" w:bidi="ar"/>
        </w:rPr>
        <w:t>1.建议县财政局领导多来我中心指导工作，组织业务培训，发放学习光盘，聘请专家指导协助构建一套适合于县经合中心的绩效评价体系。</w:t>
      </w:r>
    </w:p>
    <w:p>
      <w:pPr>
        <w:pStyle w:val="33"/>
        <w:keepNext w:val="0"/>
        <w:keepLines w:val="0"/>
        <w:pageBreakBefore w:val="0"/>
        <w:widowControl/>
        <w:kinsoku/>
        <w:wordWrap/>
        <w:overflowPunct/>
        <w:topLinePunct w:val="0"/>
        <w:autoSpaceDE/>
        <w:autoSpaceDN/>
        <w:bidi w:val="0"/>
        <w:adjustRightInd/>
        <w:snapToGrid/>
        <w:spacing w:line="576" w:lineRule="exact"/>
        <w:ind w:right="-119" w:firstLine="640" w:firstLineChars="200"/>
        <w:jc w:val="left"/>
        <w:textAlignment w:val="baseline"/>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color w:val="000000"/>
          <w:kern w:val="2"/>
          <w:sz w:val="32"/>
          <w:szCs w:val="32"/>
          <w:lang w:val="en-US" w:eastAsia="zh-CN" w:bidi="ar"/>
        </w:rPr>
        <w:t>2.将绩效管理工作作为一项日常性重要工作来抓。一改过去忽视财政资金的使用绩效的评价作用，进行纵向、横向比较、评价，勇于发现缺点，善于及时纠正，做到预算精准和绩效效益明显提高。好钢用在刀刃上，促进县招商引资工作再上新台阶。</w:t>
      </w:r>
    </w:p>
    <w:p>
      <w:pPr>
        <w:pageBreakBefore w:val="0"/>
        <w:kinsoku/>
        <w:wordWrap/>
        <w:overflowPunct/>
        <w:topLinePunct w:val="0"/>
        <w:autoSpaceDE/>
        <w:autoSpaceDN/>
        <w:bidi w:val="0"/>
        <w:spacing w:line="576" w:lineRule="exact"/>
        <w:rPr>
          <w:rFonts w:hint="default"/>
          <w:lang w:val="en-US" w:eastAsia="zh-CN"/>
        </w:rPr>
      </w:pPr>
    </w:p>
    <w:p>
      <w:pPr>
        <w:rPr>
          <w:rFonts w:hint="eastAsia" w:ascii="仿宋_GB2312" w:hAnsi="仿宋_GB2312" w:eastAsia="仿宋_GB2312" w:cs="仿宋_GB2312"/>
          <w:color w:val="000000"/>
          <w:sz w:val="32"/>
          <w:szCs w:val="32"/>
        </w:rPr>
      </w:pPr>
      <w:r>
        <w:rPr>
          <w:rFonts w:hint="eastAsia"/>
          <w:szCs w:val="21"/>
          <w:lang w:val="en-US" w:eastAsia="zh-CN"/>
        </w:rPr>
        <w:t xml:space="preserve">                                       </w:t>
      </w:r>
    </w:p>
    <w:p>
      <w:pPr>
        <w:pStyle w:val="5"/>
        <w:rPr>
          <w:rFonts w:hint="eastAsia" w:ascii="仿宋_GB2312" w:hAnsi="仿宋_GB2312" w:eastAsia="仿宋_GB2312" w:cs="仿宋_GB2312"/>
          <w:color w:val="000000"/>
          <w:sz w:val="32"/>
          <w:szCs w:val="32"/>
        </w:rPr>
      </w:pPr>
    </w:p>
    <w:p>
      <w:pPr>
        <w:rPr>
          <w:rFonts w:hint="eastAsia" w:ascii="仿宋_GB2312" w:hAnsi="仿宋_GB2312" w:eastAsia="仿宋_GB2312" w:cs="仿宋_GB2312"/>
          <w:color w:val="000000"/>
          <w:sz w:val="32"/>
          <w:szCs w:val="32"/>
        </w:rPr>
      </w:pPr>
    </w:p>
    <w:p>
      <w:pPr>
        <w:pStyle w:val="5"/>
        <w:rPr>
          <w:rFonts w:hint="eastAsia" w:ascii="仿宋_GB2312" w:hAnsi="仿宋_GB2312" w:eastAsia="仿宋_GB2312" w:cs="仿宋_GB2312"/>
          <w:color w:val="000000"/>
          <w:sz w:val="32"/>
          <w:szCs w:val="32"/>
        </w:rPr>
      </w:pPr>
    </w:p>
    <w:p>
      <w:pPr>
        <w:rPr>
          <w:rFonts w:hint="eastAsia" w:ascii="仿宋_GB2312" w:hAnsi="仿宋_GB2312" w:eastAsia="仿宋_GB2312" w:cs="仿宋_GB2312"/>
          <w:color w:val="000000"/>
          <w:sz w:val="32"/>
          <w:szCs w:val="32"/>
        </w:rPr>
      </w:pPr>
    </w:p>
    <w:p>
      <w:pPr>
        <w:pStyle w:val="5"/>
        <w:rPr>
          <w:rFonts w:hint="eastAsia" w:ascii="仿宋_GB2312" w:hAnsi="仿宋_GB2312" w:eastAsia="仿宋_GB2312" w:cs="仿宋_GB2312"/>
          <w:color w:val="000000"/>
          <w:sz w:val="32"/>
          <w:szCs w:val="32"/>
        </w:rPr>
      </w:pPr>
    </w:p>
    <w:p>
      <w:pPr>
        <w:rPr>
          <w:rFonts w:hint="eastAsia" w:ascii="仿宋_GB2312" w:hAnsi="仿宋_GB2312" w:eastAsia="仿宋_GB2312" w:cs="仿宋_GB2312"/>
          <w:color w:val="000000"/>
          <w:sz w:val="32"/>
          <w:szCs w:val="32"/>
        </w:rPr>
      </w:pPr>
    </w:p>
    <w:p>
      <w:pPr>
        <w:rPr>
          <w:rFonts w:hint="eastAsia"/>
        </w:rPr>
      </w:pPr>
    </w:p>
    <w:p>
      <w:pPr>
        <w:pStyle w:val="5"/>
        <w:rPr>
          <w:rFonts w:hint="default"/>
          <w:lang w:val="en-US" w:eastAsia="zh-CN"/>
        </w:rPr>
      </w:pPr>
    </w:p>
    <w:tbl>
      <w:tblPr>
        <w:tblStyle w:val="14"/>
        <w:tblW w:w="8940" w:type="dxa"/>
        <w:tblInd w:w="103" w:type="dxa"/>
        <w:tblLayout w:type="autofit"/>
        <w:tblCellMar>
          <w:top w:w="0" w:type="dxa"/>
          <w:left w:w="108" w:type="dxa"/>
          <w:bottom w:w="0" w:type="dxa"/>
          <w:right w:w="108" w:type="dxa"/>
        </w:tblCellMar>
      </w:tblPr>
      <w:tblGrid>
        <w:gridCol w:w="980"/>
        <w:gridCol w:w="980"/>
        <w:gridCol w:w="980"/>
        <w:gridCol w:w="640"/>
        <w:gridCol w:w="620"/>
        <w:gridCol w:w="4740"/>
      </w:tblGrid>
      <w:tr>
        <w:tblPrEx>
          <w:tblCellMar>
            <w:top w:w="0" w:type="dxa"/>
            <w:left w:w="108" w:type="dxa"/>
            <w:bottom w:w="0" w:type="dxa"/>
            <w:right w:w="108" w:type="dxa"/>
          </w:tblCellMar>
        </w:tblPrEx>
        <w:trPr>
          <w:trHeight w:val="390" w:hRule="atLeast"/>
        </w:trPr>
        <w:tc>
          <w:tcPr>
            <w:tcW w:w="2940" w:type="dxa"/>
            <w:gridSpan w:val="3"/>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rPr>
                <w:rFonts w:ascii="仿宋" w:hAnsi="仿宋" w:eastAsia="仿宋" w:cs="宋体"/>
                <w:b/>
                <w:bCs/>
                <w:kern w:val="0"/>
                <w:sz w:val="20"/>
                <w:szCs w:val="20"/>
              </w:rPr>
            </w:pPr>
            <w:r>
              <w:rPr>
                <w:rFonts w:hint="eastAsia" w:ascii="仿宋" w:hAnsi="仿宋" w:eastAsia="仿宋" w:cs="宋体"/>
                <w:b/>
                <w:bCs/>
                <w:kern w:val="0"/>
                <w:sz w:val="20"/>
                <w:szCs w:val="20"/>
              </w:rPr>
              <w:t>绩效指标</w:t>
            </w:r>
          </w:p>
        </w:tc>
        <w:tc>
          <w:tcPr>
            <w:tcW w:w="6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rPr>
                <w:rFonts w:ascii="仿宋" w:hAnsi="仿宋" w:eastAsia="仿宋" w:cs="宋体"/>
                <w:b/>
                <w:bCs/>
                <w:kern w:val="0"/>
                <w:sz w:val="20"/>
                <w:szCs w:val="20"/>
              </w:rPr>
            </w:pPr>
            <w:r>
              <w:rPr>
                <w:rFonts w:hint="eastAsia" w:ascii="仿宋" w:hAnsi="仿宋" w:eastAsia="仿宋" w:cs="宋体"/>
                <w:b/>
                <w:bCs/>
                <w:kern w:val="0"/>
                <w:sz w:val="20"/>
                <w:szCs w:val="20"/>
              </w:rPr>
              <w:t>指标分值</w:t>
            </w:r>
          </w:p>
        </w:tc>
        <w:tc>
          <w:tcPr>
            <w:tcW w:w="620" w:type="dxa"/>
            <w:vMerge w:val="restart"/>
            <w:tcBorders>
              <w:top w:val="single" w:color="auto" w:sz="4" w:space="0"/>
              <w:left w:val="single" w:color="auto" w:sz="4" w:space="0"/>
              <w:bottom w:val="single" w:color="000000" w:sz="4" w:space="0"/>
              <w:right w:val="single" w:color="auto" w:sz="4" w:space="0"/>
            </w:tcBorders>
            <w:noWrap w:val="0"/>
            <w:vAlign w:val="center"/>
          </w:tcPr>
          <w:p>
            <w:pPr>
              <w:widowControl/>
              <w:spacing w:line="300" w:lineRule="exact"/>
              <w:jc w:val="center"/>
              <w:rPr>
                <w:rFonts w:ascii="仿宋" w:hAnsi="仿宋" w:eastAsia="仿宋" w:cs="宋体"/>
                <w:b/>
                <w:bCs/>
                <w:kern w:val="0"/>
                <w:sz w:val="20"/>
                <w:szCs w:val="20"/>
              </w:rPr>
            </w:pPr>
            <w:r>
              <w:rPr>
                <w:rFonts w:hint="eastAsia" w:ascii="仿宋" w:hAnsi="仿宋" w:eastAsia="仿宋" w:cs="宋体"/>
                <w:b/>
                <w:bCs/>
                <w:kern w:val="0"/>
                <w:sz w:val="20"/>
                <w:szCs w:val="20"/>
              </w:rPr>
              <w:t>指标得分</w:t>
            </w:r>
          </w:p>
        </w:tc>
        <w:tc>
          <w:tcPr>
            <w:tcW w:w="47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rPr>
                <w:rFonts w:ascii="仿宋" w:hAnsi="仿宋" w:eastAsia="仿宋" w:cs="宋体"/>
                <w:b/>
                <w:bCs/>
                <w:kern w:val="0"/>
                <w:sz w:val="20"/>
                <w:szCs w:val="20"/>
              </w:rPr>
            </w:pPr>
            <w:r>
              <w:rPr>
                <w:rFonts w:hint="eastAsia" w:ascii="仿宋" w:hAnsi="仿宋" w:eastAsia="仿宋" w:cs="宋体"/>
                <w:b/>
                <w:bCs/>
                <w:kern w:val="0"/>
                <w:sz w:val="20"/>
                <w:szCs w:val="20"/>
              </w:rPr>
              <w:t>指标解释</w:t>
            </w:r>
          </w:p>
        </w:tc>
      </w:tr>
      <w:tr>
        <w:tblPrEx>
          <w:tblCellMar>
            <w:top w:w="0" w:type="dxa"/>
            <w:left w:w="108" w:type="dxa"/>
            <w:bottom w:w="0" w:type="dxa"/>
            <w:right w:w="108" w:type="dxa"/>
          </w:tblCellMar>
        </w:tblPrEx>
        <w:trPr>
          <w:trHeight w:val="390" w:hRule="atLeast"/>
        </w:trPr>
        <w:tc>
          <w:tcPr>
            <w:tcW w:w="980" w:type="dxa"/>
            <w:tcBorders>
              <w:top w:val="nil"/>
              <w:left w:val="single" w:color="auto" w:sz="4" w:space="0"/>
              <w:bottom w:val="single" w:color="auto" w:sz="4" w:space="0"/>
              <w:right w:val="single" w:color="auto" w:sz="4" w:space="0"/>
            </w:tcBorders>
            <w:noWrap w:val="0"/>
            <w:vAlign w:val="center"/>
          </w:tcPr>
          <w:p>
            <w:pPr>
              <w:widowControl/>
              <w:spacing w:line="300" w:lineRule="exact"/>
              <w:jc w:val="center"/>
              <w:rPr>
                <w:rFonts w:ascii="仿宋" w:hAnsi="仿宋" w:eastAsia="仿宋" w:cs="宋体"/>
                <w:b/>
                <w:bCs/>
                <w:kern w:val="0"/>
                <w:sz w:val="20"/>
                <w:szCs w:val="20"/>
              </w:rPr>
            </w:pPr>
            <w:r>
              <w:rPr>
                <w:rFonts w:hint="eastAsia" w:ascii="仿宋" w:hAnsi="仿宋" w:eastAsia="仿宋" w:cs="宋体"/>
                <w:b/>
                <w:bCs/>
                <w:kern w:val="0"/>
                <w:sz w:val="20"/>
                <w:szCs w:val="20"/>
              </w:rPr>
              <w:t>一级指标</w:t>
            </w: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b/>
                <w:bCs/>
                <w:kern w:val="0"/>
                <w:sz w:val="20"/>
                <w:szCs w:val="20"/>
              </w:rPr>
            </w:pPr>
            <w:r>
              <w:rPr>
                <w:rFonts w:hint="eastAsia" w:ascii="仿宋" w:hAnsi="仿宋" w:eastAsia="仿宋" w:cs="宋体"/>
                <w:b/>
                <w:bCs/>
                <w:kern w:val="0"/>
                <w:sz w:val="20"/>
                <w:szCs w:val="20"/>
              </w:rPr>
              <w:t>二级指标</w:t>
            </w: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b/>
                <w:bCs/>
                <w:kern w:val="0"/>
                <w:sz w:val="20"/>
                <w:szCs w:val="20"/>
              </w:rPr>
            </w:pPr>
            <w:r>
              <w:rPr>
                <w:rFonts w:hint="eastAsia" w:ascii="仿宋" w:hAnsi="仿宋" w:eastAsia="仿宋" w:cs="宋体"/>
                <w:b/>
                <w:bCs/>
                <w:kern w:val="0"/>
                <w:sz w:val="20"/>
                <w:szCs w:val="20"/>
              </w:rPr>
              <w:t>三级指标</w:t>
            </w:r>
          </w:p>
        </w:tc>
        <w:tc>
          <w:tcPr>
            <w:tcW w:w="64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b/>
                <w:bCs/>
                <w:kern w:val="0"/>
                <w:sz w:val="20"/>
                <w:szCs w:val="20"/>
              </w:rPr>
            </w:pPr>
          </w:p>
        </w:tc>
        <w:tc>
          <w:tcPr>
            <w:tcW w:w="620" w:type="dxa"/>
            <w:vMerge w:val="continue"/>
            <w:tcBorders>
              <w:top w:val="single" w:color="auto" w:sz="4" w:space="0"/>
              <w:left w:val="single" w:color="auto" w:sz="4" w:space="0"/>
              <w:bottom w:val="single" w:color="000000" w:sz="4" w:space="0"/>
              <w:right w:val="single" w:color="auto" w:sz="4" w:space="0"/>
            </w:tcBorders>
            <w:noWrap w:val="0"/>
            <w:vAlign w:val="center"/>
          </w:tcPr>
          <w:p>
            <w:pPr>
              <w:widowControl/>
              <w:spacing w:line="300" w:lineRule="exact"/>
              <w:jc w:val="left"/>
              <w:rPr>
                <w:rFonts w:ascii="仿宋" w:hAnsi="仿宋" w:eastAsia="仿宋" w:cs="宋体"/>
                <w:b/>
                <w:bCs/>
                <w:kern w:val="0"/>
                <w:sz w:val="20"/>
                <w:szCs w:val="20"/>
              </w:rPr>
            </w:pPr>
          </w:p>
        </w:tc>
        <w:tc>
          <w:tcPr>
            <w:tcW w:w="474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b/>
                <w:bCs/>
                <w:kern w:val="0"/>
                <w:sz w:val="20"/>
                <w:szCs w:val="20"/>
              </w:rPr>
            </w:pPr>
          </w:p>
        </w:tc>
      </w:tr>
      <w:tr>
        <w:tblPrEx>
          <w:tblCellMar>
            <w:top w:w="0" w:type="dxa"/>
            <w:left w:w="108" w:type="dxa"/>
            <w:bottom w:w="0" w:type="dxa"/>
            <w:right w:w="108" w:type="dxa"/>
          </w:tblCellMar>
        </w:tblPrEx>
        <w:trPr>
          <w:trHeight w:val="514" w:hRule="atLeast"/>
        </w:trPr>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部门预算项目绩效管理（40分）</w:t>
            </w: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目标管理（15分）</w:t>
            </w: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目标制定</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5</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hint="eastAsia" w:ascii="仿宋" w:hAnsi="仿宋" w:eastAsia="仿宋" w:cs="宋体"/>
                <w:sz w:val="20"/>
                <w:szCs w:val="20"/>
                <w:lang w:val="en-US" w:eastAsia="zh-CN"/>
              </w:rPr>
            </w:pPr>
            <w:r>
              <w:rPr>
                <w:rFonts w:hint="eastAsia" w:ascii="仿宋" w:hAnsi="仿宋" w:eastAsia="仿宋" w:cs="宋体"/>
                <w:sz w:val="20"/>
                <w:szCs w:val="20"/>
                <w:lang w:val="en-US" w:eastAsia="zh-CN"/>
              </w:rPr>
              <w:t>3</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评价部门绩效目标是否要素完整、细化量化并集体决策。</w:t>
            </w:r>
          </w:p>
        </w:tc>
      </w:tr>
      <w:tr>
        <w:tblPrEx>
          <w:tblCellMar>
            <w:top w:w="0" w:type="dxa"/>
            <w:left w:w="108" w:type="dxa"/>
            <w:bottom w:w="0" w:type="dxa"/>
            <w:right w:w="108" w:type="dxa"/>
          </w:tblCellMar>
        </w:tblPrEx>
        <w:trPr>
          <w:trHeight w:val="449" w:hRule="atLeast"/>
        </w:trPr>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目标实现</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10</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hint="eastAsia" w:ascii="仿宋" w:hAnsi="仿宋" w:eastAsia="仿宋" w:cs="宋体"/>
                <w:sz w:val="20"/>
                <w:szCs w:val="20"/>
                <w:lang w:val="en-US" w:eastAsia="zh-CN"/>
              </w:rPr>
            </w:pPr>
            <w:r>
              <w:rPr>
                <w:rFonts w:hint="eastAsia" w:ascii="仿宋" w:hAnsi="仿宋" w:eastAsia="仿宋" w:cs="宋体"/>
                <w:sz w:val="20"/>
                <w:szCs w:val="20"/>
                <w:lang w:val="en-US" w:eastAsia="zh-CN"/>
              </w:rPr>
              <w:t>8</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评价部门绩效目标实际实现程度与预期目标的偏离度。</w:t>
            </w:r>
          </w:p>
        </w:tc>
      </w:tr>
      <w:tr>
        <w:tblPrEx>
          <w:tblCellMar>
            <w:top w:w="0" w:type="dxa"/>
            <w:left w:w="108" w:type="dxa"/>
            <w:bottom w:w="0" w:type="dxa"/>
            <w:right w:w="108" w:type="dxa"/>
          </w:tblCellMar>
        </w:tblPrEx>
        <w:trPr>
          <w:trHeight w:val="616" w:hRule="atLeast"/>
        </w:trPr>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 xml:space="preserve">                                                                             动态调整（10分）</w:t>
            </w: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支出控制</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ascii="仿宋" w:hAnsi="仿宋" w:eastAsia="仿宋" w:cs="宋体"/>
                <w:sz w:val="20"/>
                <w:szCs w:val="20"/>
              </w:rPr>
            </w:pPr>
            <w:r>
              <w:rPr>
                <w:rFonts w:hint="eastAsia" w:ascii="仿宋" w:hAnsi="仿宋" w:eastAsia="仿宋"/>
                <w:sz w:val="20"/>
                <w:szCs w:val="20"/>
              </w:rPr>
              <w:t>2</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部门公用经费及非定额公用支出控制情况。</w:t>
            </w:r>
          </w:p>
        </w:tc>
      </w:tr>
      <w:tr>
        <w:tblPrEx>
          <w:tblCellMar>
            <w:top w:w="0" w:type="dxa"/>
            <w:left w:w="108" w:type="dxa"/>
            <w:bottom w:w="0" w:type="dxa"/>
            <w:right w:w="108" w:type="dxa"/>
          </w:tblCellMar>
        </w:tblPrEx>
        <w:trPr>
          <w:trHeight w:val="610" w:hRule="atLeast"/>
        </w:trPr>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及时处置</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4</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ascii="仿宋" w:hAnsi="仿宋" w:eastAsia="仿宋" w:cs="宋体"/>
                <w:sz w:val="20"/>
                <w:szCs w:val="20"/>
              </w:rPr>
            </w:pPr>
            <w:r>
              <w:rPr>
                <w:rFonts w:hint="eastAsia" w:ascii="仿宋" w:hAnsi="仿宋" w:eastAsia="仿宋"/>
                <w:sz w:val="20"/>
                <w:szCs w:val="20"/>
              </w:rPr>
              <w:t>3</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评价部门开展绩效运行监控后，将绩效监控结果应用到预算调整的情况。</w:t>
            </w:r>
          </w:p>
        </w:tc>
      </w:tr>
      <w:tr>
        <w:tblPrEx>
          <w:tblCellMar>
            <w:top w:w="0" w:type="dxa"/>
            <w:left w:w="108" w:type="dxa"/>
            <w:bottom w:w="0" w:type="dxa"/>
            <w:right w:w="108" w:type="dxa"/>
          </w:tblCellMar>
        </w:tblPrEx>
        <w:trPr>
          <w:trHeight w:val="605" w:hRule="atLeast"/>
        </w:trPr>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执行进度</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4</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ascii="仿宋" w:hAnsi="仿宋" w:eastAsia="仿宋" w:cs="宋体"/>
                <w:sz w:val="20"/>
                <w:szCs w:val="20"/>
              </w:rPr>
            </w:pPr>
            <w:r>
              <w:rPr>
                <w:rFonts w:hint="eastAsia" w:ascii="仿宋" w:hAnsi="仿宋" w:eastAsia="仿宋"/>
                <w:sz w:val="20"/>
                <w:szCs w:val="20"/>
              </w:rPr>
              <w:t>3</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评价部门在6、9、11月的预算执行情况。</w:t>
            </w:r>
          </w:p>
        </w:tc>
      </w:tr>
      <w:tr>
        <w:tblPrEx>
          <w:tblCellMar>
            <w:top w:w="0" w:type="dxa"/>
            <w:left w:w="108" w:type="dxa"/>
            <w:bottom w:w="0" w:type="dxa"/>
            <w:right w:w="108" w:type="dxa"/>
          </w:tblCellMar>
        </w:tblPrEx>
        <w:trPr>
          <w:trHeight w:val="457" w:hRule="atLeast"/>
        </w:trPr>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完成效率（15分）</w:t>
            </w: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预算完成</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5</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ascii="仿宋" w:hAnsi="仿宋" w:eastAsia="仿宋" w:cs="宋体"/>
                <w:sz w:val="20"/>
                <w:szCs w:val="20"/>
              </w:rPr>
            </w:pPr>
            <w:r>
              <w:rPr>
                <w:rFonts w:hint="eastAsia" w:ascii="仿宋" w:hAnsi="仿宋" w:eastAsia="仿宋"/>
                <w:sz w:val="20"/>
                <w:szCs w:val="20"/>
              </w:rPr>
              <w:t>5</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评价部门预算项目年终预算执行情况。</w:t>
            </w:r>
          </w:p>
        </w:tc>
      </w:tr>
      <w:tr>
        <w:tblPrEx>
          <w:tblCellMar>
            <w:top w:w="0" w:type="dxa"/>
            <w:left w:w="108" w:type="dxa"/>
            <w:bottom w:w="0" w:type="dxa"/>
            <w:right w:w="108" w:type="dxa"/>
          </w:tblCellMar>
        </w:tblPrEx>
        <w:trPr>
          <w:trHeight w:val="457" w:hRule="atLeast"/>
        </w:trPr>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center"/>
              <w:rPr>
                <w:rFonts w:hint="eastAsia" w:ascii="仿宋" w:hAnsi="仿宋" w:eastAsia="仿宋" w:cs="宋体"/>
                <w:kern w:val="0"/>
                <w:sz w:val="18"/>
                <w:szCs w:val="18"/>
              </w:rPr>
            </w:pP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hint="eastAsia" w:ascii="仿宋" w:hAnsi="仿宋" w:eastAsia="仿宋" w:cs="宋体"/>
                <w:kern w:val="0"/>
                <w:sz w:val="18"/>
                <w:szCs w:val="18"/>
              </w:rPr>
            </w:pPr>
            <w:r>
              <w:rPr>
                <w:rFonts w:hint="eastAsia" w:ascii="仿宋" w:hAnsi="仿宋" w:eastAsia="仿宋" w:cs="宋体"/>
                <w:kern w:val="0"/>
                <w:sz w:val="18"/>
                <w:szCs w:val="18"/>
              </w:rPr>
              <w:t>取得成效</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hint="eastAsia" w:ascii="仿宋" w:hAnsi="仿宋" w:eastAsia="仿宋" w:cs="宋体"/>
                <w:kern w:val="0"/>
                <w:sz w:val="18"/>
                <w:szCs w:val="18"/>
              </w:rPr>
            </w:pPr>
            <w:r>
              <w:rPr>
                <w:rFonts w:hint="eastAsia" w:ascii="仿宋" w:hAnsi="仿宋" w:eastAsia="仿宋" w:cs="宋体"/>
                <w:kern w:val="0"/>
                <w:sz w:val="18"/>
                <w:szCs w:val="18"/>
              </w:rPr>
              <w:t>8</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hint="eastAsia" w:ascii="仿宋" w:hAnsi="仿宋" w:eastAsia="仿宋"/>
                <w:sz w:val="20"/>
                <w:szCs w:val="20"/>
                <w:lang w:eastAsia="zh-CN"/>
              </w:rPr>
            </w:pPr>
            <w:r>
              <w:rPr>
                <w:rFonts w:hint="eastAsia" w:ascii="仿宋" w:hAnsi="仿宋" w:eastAsia="仿宋"/>
                <w:sz w:val="20"/>
                <w:szCs w:val="20"/>
                <w:lang w:val="en-US" w:eastAsia="zh-CN"/>
              </w:rPr>
              <w:t>6</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hint="eastAsia" w:ascii="仿宋" w:hAnsi="仿宋" w:eastAsia="仿宋" w:cs="宋体"/>
                <w:kern w:val="0"/>
                <w:sz w:val="18"/>
                <w:szCs w:val="18"/>
              </w:rPr>
            </w:pPr>
            <w:r>
              <w:rPr>
                <w:rFonts w:hint="eastAsia" w:ascii="仿宋" w:hAnsi="仿宋" w:eastAsia="仿宋" w:cs="宋体"/>
                <w:kern w:val="0"/>
                <w:sz w:val="18"/>
                <w:szCs w:val="18"/>
              </w:rPr>
              <w:t>评价部门预算完成绩效情况。</w:t>
            </w:r>
          </w:p>
        </w:tc>
      </w:tr>
      <w:tr>
        <w:tblPrEx>
          <w:tblCellMar>
            <w:top w:w="0" w:type="dxa"/>
            <w:left w:w="108" w:type="dxa"/>
            <w:bottom w:w="0" w:type="dxa"/>
            <w:right w:w="108" w:type="dxa"/>
          </w:tblCellMar>
        </w:tblPrEx>
        <w:trPr>
          <w:trHeight w:val="690" w:hRule="atLeast"/>
        </w:trPr>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违规记录</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ascii="仿宋" w:hAnsi="仿宋" w:eastAsia="仿宋" w:cs="宋体"/>
                <w:sz w:val="20"/>
                <w:szCs w:val="20"/>
              </w:rPr>
            </w:pPr>
            <w:r>
              <w:rPr>
                <w:rFonts w:hint="eastAsia" w:ascii="仿宋" w:hAnsi="仿宋" w:eastAsia="仿宋"/>
                <w:sz w:val="20"/>
                <w:szCs w:val="20"/>
              </w:rPr>
              <w:t>2</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根据审计监督、财政检查结果反映部门上一年度部门预算管理是否合规。</w:t>
            </w:r>
          </w:p>
        </w:tc>
      </w:tr>
      <w:tr>
        <w:tblPrEx>
          <w:tblCellMar>
            <w:top w:w="0" w:type="dxa"/>
            <w:left w:w="108" w:type="dxa"/>
            <w:bottom w:w="0" w:type="dxa"/>
            <w:right w:w="108" w:type="dxa"/>
          </w:tblCellMar>
        </w:tblPrEx>
        <w:trPr>
          <w:trHeight w:val="529" w:hRule="atLeast"/>
        </w:trPr>
        <w:tc>
          <w:tcPr>
            <w:tcW w:w="980" w:type="dxa"/>
            <w:tcBorders>
              <w:top w:val="nil"/>
              <w:left w:val="single" w:color="auto" w:sz="4" w:space="0"/>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专项预算管理（40分）</w:t>
            </w:r>
          </w:p>
        </w:tc>
        <w:tc>
          <w:tcPr>
            <w:tcW w:w="980" w:type="dxa"/>
            <w:tcBorders>
              <w:top w:val="nil"/>
              <w:left w:val="single" w:color="auto" w:sz="4" w:space="0"/>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40</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hint="eastAsia" w:ascii="仿宋" w:hAnsi="仿宋" w:eastAsia="仿宋" w:cs="宋体"/>
                <w:sz w:val="20"/>
                <w:szCs w:val="20"/>
                <w:lang w:eastAsia="zh-CN"/>
              </w:rPr>
            </w:pPr>
            <w:r>
              <w:rPr>
                <w:rFonts w:hint="eastAsia" w:ascii="仿宋" w:hAnsi="仿宋" w:eastAsia="仿宋"/>
                <w:sz w:val="20"/>
                <w:szCs w:val="20"/>
              </w:rPr>
              <w:t>3</w:t>
            </w:r>
            <w:r>
              <w:rPr>
                <w:rFonts w:hint="eastAsia" w:ascii="仿宋" w:hAnsi="仿宋" w:eastAsia="仿宋"/>
                <w:sz w:val="20"/>
                <w:szCs w:val="20"/>
                <w:lang w:val="en-US" w:eastAsia="zh-CN"/>
              </w:rPr>
              <w:t>6</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部门按照专项预算项目自评工作要求对本部门管理的专项预算项目进行自评并打分，形成自评报告；有两个及以上专项预算项目的，以平均分作为自评得分。按百分制形成的自评报告分数，按0.4的比例换算成此项指标得分。</w:t>
            </w:r>
          </w:p>
        </w:tc>
      </w:tr>
      <w:tr>
        <w:tblPrEx>
          <w:tblCellMar>
            <w:top w:w="0" w:type="dxa"/>
            <w:left w:w="108" w:type="dxa"/>
            <w:bottom w:w="0" w:type="dxa"/>
            <w:right w:w="108" w:type="dxa"/>
          </w:tblCellMar>
        </w:tblPrEx>
        <w:trPr>
          <w:trHeight w:val="431" w:hRule="atLeast"/>
        </w:trPr>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绩效结果应用（10分）</w:t>
            </w: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内部应用（4分）</w:t>
            </w: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预算挂钩</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4</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hint="eastAsia" w:ascii="仿宋" w:hAnsi="仿宋" w:eastAsia="仿宋" w:cs="宋体"/>
                <w:sz w:val="20"/>
                <w:szCs w:val="20"/>
                <w:lang w:val="en-US" w:eastAsia="zh-CN"/>
              </w:rPr>
            </w:pPr>
            <w:r>
              <w:rPr>
                <w:rFonts w:hint="eastAsia" w:ascii="仿宋" w:hAnsi="仿宋" w:eastAsia="仿宋" w:cs="宋体"/>
                <w:sz w:val="20"/>
                <w:szCs w:val="20"/>
                <w:lang w:val="en-US" w:eastAsia="zh-CN"/>
              </w:rPr>
              <w:t>2</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部门内部绩效结果与预算挂钩情况。</w:t>
            </w:r>
          </w:p>
        </w:tc>
      </w:tr>
      <w:tr>
        <w:tblPrEx>
          <w:tblCellMar>
            <w:top w:w="0" w:type="dxa"/>
            <w:left w:w="108" w:type="dxa"/>
            <w:bottom w:w="0" w:type="dxa"/>
            <w:right w:w="108" w:type="dxa"/>
          </w:tblCellMar>
        </w:tblPrEx>
        <w:trPr>
          <w:trHeight w:val="486" w:hRule="atLeast"/>
        </w:trPr>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tcBorders>
              <w:top w:val="nil"/>
              <w:left w:val="single" w:color="auto" w:sz="4" w:space="0"/>
              <w:bottom w:val="single" w:color="000000"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信息公开（2分）</w:t>
            </w: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自评公开</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ascii="仿宋" w:hAnsi="仿宋" w:eastAsia="仿宋" w:cs="宋体"/>
                <w:sz w:val="20"/>
                <w:szCs w:val="20"/>
              </w:rPr>
            </w:pPr>
            <w:r>
              <w:rPr>
                <w:rFonts w:hint="eastAsia" w:ascii="仿宋" w:hAnsi="仿宋" w:eastAsia="仿宋"/>
                <w:sz w:val="20"/>
                <w:szCs w:val="20"/>
              </w:rPr>
              <w:t>2</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评价部门是否按要求将部门整体绩效自评情况和自行组织的评价情况向社会公开。</w:t>
            </w:r>
          </w:p>
        </w:tc>
      </w:tr>
      <w:tr>
        <w:tblPrEx>
          <w:tblCellMar>
            <w:top w:w="0" w:type="dxa"/>
            <w:left w:w="108" w:type="dxa"/>
            <w:bottom w:w="0" w:type="dxa"/>
            <w:right w:w="108" w:type="dxa"/>
          </w:tblCellMar>
        </w:tblPrEx>
        <w:trPr>
          <w:trHeight w:val="525" w:hRule="atLeast"/>
        </w:trPr>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vMerge w:val="restart"/>
            <w:tcBorders>
              <w:top w:val="nil"/>
              <w:left w:val="single" w:color="auto" w:sz="4" w:space="0"/>
              <w:bottom w:val="single" w:color="000000"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整改反馈（4分）</w:t>
            </w: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问题整改</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ascii="仿宋" w:hAnsi="仿宋" w:eastAsia="仿宋" w:cs="宋体"/>
                <w:sz w:val="20"/>
                <w:szCs w:val="20"/>
              </w:rPr>
            </w:pPr>
            <w:r>
              <w:rPr>
                <w:rFonts w:hint="eastAsia" w:ascii="仿宋" w:hAnsi="仿宋" w:eastAsia="仿宋"/>
                <w:sz w:val="20"/>
                <w:szCs w:val="20"/>
              </w:rPr>
              <w:t>2</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评价部门根据绩效管理结果整改问题、完善政策、改进管理的情况。</w:t>
            </w:r>
          </w:p>
        </w:tc>
      </w:tr>
      <w:tr>
        <w:tblPrEx>
          <w:tblCellMar>
            <w:top w:w="0" w:type="dxa"/>
            <w:left w:w="108" w:type="dxa"/>
            <w:bottom w:w="0" w:type="dxa"/>
            <w:right w:w="108" w:type="dxa"/>
          </w:tblCellMar>
        </w:tblPrEx>
        <w:trPr>
          <w:trHeight w:val="305" w:hRule="atLeast"/>
        </w:trPr>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p>
        </w:tc>
        <w:tc>
          <w:tcPr>
            <w:tcW w:w="98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应用反馈</w:t>
            </w:r>
          </w:p>
        </w:tc>
        <w:tc>
          <w:tcPr>
            <w:tcW w:w="640" w:type="dxa"/>
            <w:tcBorders>
              <w:top w:val="nil"/>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20" w:type="dxa"/>
            <w:tcBorders>
              <w:top w:val="nil"/>
              <w:left w:val="nil"/>
              <w:bottom w:val="single" w:color="auto" w:sz="4" w:space="0"/>
              <w:right w:val="single" w:color="auto" w:sz="4" w:space="0"/>
            </w:tcBorders>
            <w:noWrap w:val="0"/>
            <w:vAlign w:val="center"/>
          </w:tcPr>
          <w:p>
            <w:pPr>
              <w:spacing w:line="300" w:lineRule="exact"/>
              <w:jc w:val="center"/>
              <w:rPr>
                <w:rFonts w:ascii="仿宋" w:hAnsi="仿宋" w:eastAsia="仿宋" w:cs="宋体"/>
                <w:sz w:val="20"/>
                <w:szCs w:val="20"/>
              </w:rPr>
            </w:pPr>
            <w:r>
              <w:rPr>
                <w:rFonts w:hint="eastAsia" w:ascii="仿宋" w:hAnsi="仿宋" w:eastAsia="仿宋"/>
                <w:sz w:val="20"/>
                <w:szCs w:val="20"/>
              </w:rPr>
              <w:t>2</w:t>
            </w:r>
          </w:p>
        </w:tc>
        <w:tc>
          <w:tcPr>
            <w:tcW w:w="4740" w:type="dxa"/>
            <w:tcBorders>
              <w:top w:val="nil"/>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评价部门按要求及时向财政部门反馈结果应用情况。</w:t>
            </w:r>
          </w:p>
        </w:tc>
      </w:tr>
      <w:tr>
        <w:tblPrEx>
          <w:tblCellMar>
            <w:top w:w="0" w:type="dxa"/>
            <w:left w:w="108" w:type="dxa"/>
            <w:bottom w:w="0" w:type="dxa"/>
            <w:right w:w="108" w:type="dxa"/>
          </w:tblCellMar>
        </w:tblPrEx>
        <w:trPr>
          <w:trHeight w:val="375" w:hRule="atLeast"/>
        </w:trPr>
        <w:tc>
          <w:tcPr>
            <w:tcW w:w="980" w:type="dxa"/>
            <w:tcBorders>
              <w:top w:val="single" w:color="auto" w:sz="4" w:space="0"/>
              <w:left w:val="single" w:color="auto" w:sz="4" w:space="0"/>
              <w:bottom w:val="single" w:color="auto" w:sz="4" w:space="0"/>
              <w:right w:val="single" w:color="000000"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自评质量（10分）</w:t>
            </w:r>
          </w:p>
        </w:tc>
        <w:tc>
          <w:tcPr>
            <w:tcW w:w="980" w:type="dxa"/>
            <w:tcBorders>
              <w:top w:val="single" w:color="auto" w:sz="4" w:space="0"/>
              <w:left w:val="single" w:color="auto" w:sz="4" w:space="0"/>
              <w:bottom w:val="single" w:color="auto" w:sz="4" w:space="0"/>
              <w:right w:val="single" w:color="000000"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自评质量</w:t>
            </w:r>
          </w:p>
        </w:tc>
        <w:tc>
          <w:tcPr>
            <w:tcW w:w="980" w:type="dxa"/>
            <w:tcBorders>
              <w:top w:val="single" w:color="auto" w:sz="4" w:space="0"/>
              <w:left w:val="single" w:color="auto" w:sz="4" w:space="0"/>
              <w:bottom w:val="single" w:color="auto" w:sz="4" w:space="0"/>
              <w:right w:val="single" w:color="000000"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自评质量</w:t>
            </w:r>
          </w:p>
        </w:tc>
        <w:tc>
          <w:tcPr>
            <w:tcW w:w="640" w:type="dxa"/>
            <w:tcBorders>
              <w:top w:val="single" w:color="auto" w:sz="4" w:space="0"/>
              <w:left w:val="nil"/>
              <w:bottom w:val="single" w:color="auto" w:sz="4" w:space="0"/>
              <w:right w:val="single" w:color="auto" w:sz="4" w:space="0"/>
            </w:tcBorders>
            <w:noWrap w:val="0"/>
            <w:vAlign w:val="center"/>
          </w:tcPr>
          <w:p>
            <w:pPr>
              <w:widowControl/>
              <w:spacing w:line="300" w:lineRule="exact"/>
              <w:jc w:val="center"/>
              <w:rPr>
                <w:rFonts w:ascii="仿宋" w:hAnsi="仿宋" w:eastAsia="仿宋" w:cs="宋体"/>
                <w:kern w:val="0"/>
                <w:sz w:val="18"/>
                <w:szCs w:val="18"/>
              </w:rPr>
            </w:pPr>
            <w:r>
              <w:rPr>
                <w:rFonts w:hint="eastAsia" w:ascii="仿宋" w:hAnsi="仿宋" w:eastAsia="仿宋" w:cs="宋体"/>
                <w:kern w:val="0"/>
                <w:sz w:val="18"/>
                <w:szCs w:val="18"/>
              </w:rPr>
              <w:t>10　</w:t>
            </w:r>
          </w:p>
        </w:tc>
        <w:tc>
          <w:tcPr>
            <w:tcW w:w="620"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rPr>
                <w:rFonts w:hint="eastAsia" w:ascii="仿宋" w:hAnsi="仿宋" w:eastAsia="仿宋" w:cs="宋体"/>
                <w:kern w:val="0"/>
                <w:sz w:val="18"/>
                <w:szCs w:val="18"/>
                <w:lang w:eastAsia="zh-CN"/>
              </w:rPr>
            </w:pPr>
            <w:r>
              <w:rPr>
                <w:rFonts w:hint="eastAsia" w:ascii="仿宋" w:hAnsi="仿宋" w:eastAsia="仿宋" w:cs="宋体"/>
                <w:kern w:val="0"/>
                <w:sz w:val="18"/>
                <w:szCs w:val="18"/>
                <w:lang w:val="en-US" w:eastAsia="zh-CN"/>
              </w:rPr>
              <w:t>8</w:t>
            </w:r>
          </w:p>
        </w:tc>
        <w:tc>
          <w:tcPr>
            <w:tcW w:w="4740" w:type="dxa"/>
            <w:tcBorders>
              <w:top w:val="single" w:color="auto" w:sz="4" w:space="0"/>
              <w:left w:val="nil"/>
              <w:bottom w:val="single" w:color="auto" w:sz="4" w:space="0"/>
              <w:right w:val="single" w:color="auto" w:sz="4" w:space="0"/>
            </w:tcBorders>
            <w:noWrap w:val="0"/>
            <w:vAlign w:val="center"/>
          </w:tcPr>
          <w:p>
            <w:pPr>
              <w:widowControl/>
              <w:spacing w:line="300" w:lineRule="exact"/>
              <w:jc w:val="left"/>
              <w:rPr>
                <w:rFonts w:ascii="仿宋" w:hAnsi="仿宋" w:eastAsia="仿宋" w:cs="宋体"/>
                <w:kern w:val="0"/>
                <w:sz w:val="18"/>
                <w:szCs w:val="18"/>
              </w:rPr>
            </w:pPr>
            <w:r>
              <w:rPr>
                <w:rFonts w:hint="eastAsia" w:ascii="仿宋" w:hAnsi="仿宋" w:eastAsia="仿宋" w:cs="宋体"/>
                <w:kern w:val="0"/>
                <w:sz w:val="18"/>
                <w:szCs w:val="18"/>
              </w:rPr>
              <w:t>评价部门整体支出自评准确率。</w:t>
            </w:r>
          </w:p>
        </w:tc>
      </w:tr>
      <w:tr>
        <w:tblPrEx>
          <w:tblCellMar>
            <w:top w:w="0" w:type="dxa"/>
            <w:left w:w="108" w:type="dxa"/>
            <w:bottom w:w="0" w:type="dxa"/>
            <w:right w:w="108" w:type="dxa"/>
          </w:tblCellMar>
        </w:tblPrEx>
        <w:trPr>
          <w:trHeight w:val="375" w:hRule="atLeast"/>
        </w:trPr>
        <w:tc>
          <w:tcPr>
            <w:tcW w:w="2940" w:type="dxa"/>
            <w:gridSpan w:val="3"/>
            <w:tcBorders>
              <w:top w:val="single" w:color="auto" w:sz="4" w:space="0"/>
              <w:left w:val="single" w:color="auto" w:sz="4" w:space="0"/>
              <w:bottom w:val="single" w:color="auto" w:sz="4" w:space="0"/>
              <w:right w:val="single" w:color="000000" w:sz="4" w:space="0"/>
            </w:tcBorders>
            <w:noWrap w:val="0"/>
            <w:vAlign w:val="center"/>
          </w:tcPr>
          <w:p>
            <w:pPr>
              <w:widowControl/>
              <w:spacing w:line="300" w:lineRule="exact"/>
              <w:jc w:val="center"/>
              <w:rPr>
                <w:rFonts w:hint="eastAsia" w:ascii="仿宋" w:hAnsi="仿宋" w:eastAsia="仿宋" w:cs="宋体"/>
                <w:kern w:val="0"/>
                <w:sz w:val="18"/>
                <w:szCs w:val="18"/>
              </w:rPr>
            </w:pPr>
            <w:r>
              <w:rPr>
                <w:rFonts w:hint="eastAsia" w:ascii="仿宋" w:hAnsi="仿宋" w:eastAsia="仿宋" w:cs="宋体"/>
                <w:kern w:val="0"/>
                <w:sz w:val="18"/>
                <w:szCs w:val="18"/>
              </w:rPr>
              <w:t>扣分项（10分）</w:t>
            </w:r>
          </w:p>
        </w:tc>
        <w:tc>
          <w:tcPr>
            <w:tcW w:w="640" w:type="dxa"/>
            <w:tcBorders>
              <w:top w:val="single" w:color="auto" w:sz="4" w:space="0"/>
              <w:left w:val="nil"/>
              <w:bottom w:val="single" w:color="auto" w:sz="4" w:space="0"/>
              <w:right w:val="single" w:color="auto" w:sz="4" w:space="0"/>
            </w:tcBorders>
            <w:noWrap w:val="0"/>
            <w:vAlign w:val="center"/>
          </w:tcPr>
          <w:p>
            <w:pPr>
              <w:widowControl/>
              <w:spacing w:line="300" w:lineRule="exact"/>
              <w:jc w:val="center"/>
              <w:rPr>
                <w:rFonts w:hint="eastAsia" w:ascii="仿宋" w:hAnsi="仿宋" w:eastAsia="仿宋" w:cs="宋体"/>
                <w:kern w:val="0"/>
                <w:sz w:val="18"/>
                <w:szCs w:val="18"/>
              </w:rPr>
            </w:pPr>
            <w:r>
              <w:rPr>
                <w:rFonts w:hint="eastAsia" w:ascii="仿宋" w:hAnsi="仿宋" w:eastAsia="仿宋" w:cs="宋体"/>
                <w:kern w:val="0"/>
                <w:sz w:val="18"/>
                <w:szCs w:val="18"/>
              </w:rPr>
              <w:t>10</w:t>
            </w:r>
          </w:p>
        </w:tc>
        <w:tc>
          <w:tcPr>
            <w:tcW w:w="620"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rPr>
                <w:rFonts w:hint="eastAsia" w:ascii="仿宋" w:hAnsi="仿宋" w:eastAsia="仿宋" w:cs="宋体"/>
                <w:kern w:val="0"/>
                <w:sz w:val="18"/>
                <w:szCs w:val="18"/>
                <w:lang w:eastAsia="zh-CN"/>
              </w:rPr>
            </w:pPr>
          </w:p>
        </w:tc>
        <w:tc>
          <w:tcPr>
            <w:tcW w:w="4740" w:type="dxa"/>
            <w:tcBorders>
              <w:top w:val="single" w:color="auto" w:sz="4" w:space="0"/>
              <w:left w:val="nil"/>
              <w:bottom w:val="single" w:color="auto" w:sz="4" w:space="0"/>
              <w:right w:val="single" w:color="auto" w:sz="4" w:space="0"/>
            </w:tcBorders>
            <w:noWrap w:val="0"/>
            <w:vAlign w:val="center"/>
          </w:tcPr>
          <w:p>
            <w:pPr>
              <w:widowControl/>
              <w:spacing w:line="300" w:lineRule="exact"/>
              <w:jc w:val="left"/>
              <w:rPr>
                <w:rFonts w:hint="eastAsia" w:ascii="仿宋" w:hAnsi="仿宋" w:eastAsia="仿宋" w:cs="宋体"/>
                <w:kern w:val="0"/>
                <w:sz w:val="18"/>
                <w:szCs w:val="18"/>
              </w:rPr>
            </w:pPr>
            <w:r>
              <w:rPr>
                <w:rFonts w:hint="eastAsia" w:ascii="仿宋" w:hAnsi="仿宋" w:eastAsia="仿宋" w:cs="宋体"/>
                <w:kern w:val="0"/>
                <w:sz w:val="18"/>
                <w:szCs w:val="18"/>
              </w:rPr>
              <w:t>被评价单位配合评价工作情况。</w:t>
            </w:r>
          </w:p>
        </w:tc>
      </w:tr>
      <w:tr>
        <w:tblPrEx>
          <w:tblCellMar>
            <w:top w:w="0" w:type="dxa"/>
            <w:left w:w="108" w:type="dxa"/>
            <w:bottom w:w="0" w:type="dxa"/>
            <w:right w:w="108" w:type="dxa"/>
          </w:tblCellMar>
        </w:tblPrEx>
        <w:trPr>
          <w:trHeight w:val="375" w:hRule="atLeast"/>
        </w:trPr>
        <w:tc>
          <w:tcPr>
            <w:tcW w:w="2940" w:type="dxa"/>
            <w:gridSpan w:val="3"/>
            <w:tcBorders>
              <w:top w:val="single" w:color="auto" w:sz="4" w:space="0"/>
              <w:left w:val="single" w:color="auto" w:sz="4" w:space="0"/>
              <w:bottom w:val="single" w:color="auto" w:sz="4" w:space="0"/>
              <w:right w:val="single" w:color="000000" w:sz="4" w:space="0"/>
            </w:tcBorders>
            <w:noWrap w:val="0"/>
            <w:vAlign w:val="center"/>
          </w:tcPr>
          <w:p>
            <w:pPr>
              <w:widowControl/>
              <w:spacing w:line="300" w:lineRule="exact"/>
              <w:jc w:val="center"/>
              <w:rPr>
                <w:rFonts w:hint="eastAsia" w:ascii="仿宋" w:hAnsi="仿宋" w:eastAsia="仿宋" w:cs="宋体"/>
                <w:kern w:val="0"/>
                <w:sz w:val="18"/>
                <w:szCs w:val="18"/>
                <w:lang w:val="en-US" w:eastAsia="zh-CN"/>
              </w:rPr>
            </w:pPr>
            <w:r>
              <w:rPr>
                <w:rFonts w:hint="eastAsia" w:ascii="仿宋" w:hAnsi="仿宋" w:eastAsia="仿宋" w:cs="宋体"/>
                <w:kern w:val="0"/>
                <w:sz w:val="18"/>
                <w:szCs w:val="18"/>
                <w:lang w:val="en-US" w:eastAsia="zh-CN"/>
              </w:rPr>
              <w:t>总分</w:t>
            </w:r>
          </w:p>
        </w:tc>
        <w:tc>
          <w:tcPr>
            <w:tcW w:w="640" w:type="dxa"/>
            <w:tcBorders>
              <w:top w:val="single" w:color="auto" w:sz="4" w:space="0"/>
              <w:left w:val="nil"/>
              <w:bottom w:val="single" w:color="auto" w:sz="4" w:space="0"/>
              <w:right w:val="single" w:color="auto" w:sz="4" w:space="0"/>
            </w:tcBorders>
            <w:noWrap w:val="0"/>
            <w:vAlign w:val="center"/>
          </w:tcPr>
          <w:p>
            <w:pPr>
              <w:widowControl/>
              <w:spacing w:line="300" w:lineRule="exact"/>
              <w:jc w:val="center"/>
              <w:rPr>
                <w:rFonts w:hint="eastAsia" w:ascii="仿宋" w:hAnsi="仿宋" w:eastAsia="仿宋" w:cs="宋体"/>
                <w:kern w:val="0"/>
                <w:sz w:val="18"/>
                <w:szCs w:val="18"/>
              </w:rPr>
            </w:pPr>
          </w:p>
        </w:tc>
        <w:tc>
          <w:tcPr>
            <w:tcW w:w="620" w:type="dxa"/>
            <w:tcBorders>
              <w:top w:val="single" w:color="auto" w:sz="4" w:space="0"/>
              <w:left w:val="nil"/>
              <w:bottom w:val="single" w:color="auto" w:sz="4" w:space="0"/>
              <w:right w:val="single" w:color="auto" w:sz="4" w:space="0"/>
            </w:tcBorders>
            <w:noWrap w:val="0"/>
            <w:vAlign w:val="center"/>
          </w:tcPr>
          <w:p>
            <w:pPr>
              <w:widowControl/>
              <w:spacing w:line="300" w:lineRule="exact"/>
              <w:jc w:val="center"/>
              <w:rPr>
                <w:rFonts w:hint="default" w:ascii="仿宋" w:hAnsi="仿宋" w:eastAsia="仿宋" w:cs="宋体"/>
                <w:kern w:val="0"/>
                <w:sz w:val="18"/>
                <w:szCs w:val="18"/>
                <w:lang w:val="en-US" w:eastAsia="zh-CN"/>
              </w:rPr>
            </w:pPr>
            <w:r>
              <w:rPr>
                <w:rFonts w:hint="eastAsia" w:ascii="仿宋" w:hAnsi="仿宋" w:eastAsia="仿宋" w:cs="宋体"/>
                <w:kern w:val="0"/>
                <w:sz w:val="18"/>
                <w:szCs w:val="18"/>
                <w:lang w:val="en-US" w:eastAsia="zh-CN"/>
              </w:rPr>
              <w:t>84</w:t>
            </w:r>
          </w:p>
        </w:tc>
        <w:tc>
          <w:tcPr>
            <w:tcW w:w="4740" w:type="dxa"/>
            <w:tcBorders>
              <w:top w:val="single" w:color="auto" w:sz="4" w:space="0"/>
              <w:left w:val="nil"/>
              <w:bottom w:val="single" w:color="auto" w:sz="4" w:space="0"/>
              <w:right w:val="single" w:color="auto" w:sz="4" w:space="0"/>
            </w:tcBorders>
            <w:noWrap w:val="0"/>
            <w:vAlign w:val="center"/>
          </w:tcPr>
          <w:p>
            <w:pPr>
              <w:widowControl/>
              <w:spacing w:line="300" w:lineRule="exact"/>
              <w:jc w:val="left"/>
              <w:rPr>
                <w:rFonts w:hint="eastAsia" w:ascii="仿宋" w:hAnsi="仿宋" w:eastAsia="仿宋" w:cs="宋体"/>
                <w:kern w:val="0"/>
                <w:sz w:val="18"/>
                <w:szCs w:val="18"/>
              </w:rPr>
            </w:pPr>
          </w:p>
        </w:tc>
      </w:tr>
    </w:tbl>
    <w:p>
      <w:pPr>
        <w:spacing w:line="560" w:lineRule="exact"/>
        <w:ind w:firstLine="640" w:firstLineChars="200"/>
        <w:rPr>
          <w:rFonts w:hint="eastAsia" w:ascii="仿宋_GB2312" w:eastAsia="仿宋_GB2312"/>
          <w:sz w:val="32"/>
          <w:szCs w:val="32"/>
        </w:rPr>
      </w:pPr>
    </w:p>
    <w:p>
      <w:pPr>
        <w:pStyle w:val="2"/>
        <w:outlineLvl w:val="9"/>
        <w:rPr>
          <w:rFonts w:hint="eastAsia" w:ascii="仿宋_GB2312" w:eastAsia="仿宋_GB2312"/>
          <w:sz w:val="32"/>
          <w:szCs w:val="32"/>
        </w:rPr>
      </w:pPr>
    </w:p>
    <w:p>
      <w:pPr>
        <w:pStyle w:val="2"/>
        <w:outlineLvl w:val="9"/>
        <w:rPr>
          <w:rFonts w:hint="eastAsia"/>
        </w:rPr>
      </w:pPr>
    </w:p>
    <w:p>
      <w:pPr>
        <w:pStyle w:val="6"/>
        <w:rPr>
          <w:rFonts w:hint="eastAsia" w:hAnsi="宋体" w:cs="宋体"/>
          <w:color w:val="auto"/>
          <w:kern w:val="0"/>
          <w:sz w:val="32"/>
          <w:szCs w:val="32"/>
          <w:highlight w:val="none"/>
          <w:shd w:val="clear" w:color="auto" w:fill="FFFFFF"/>
          <w:lang w:val="zh-CN"/>
        </w:rPr>
      </w:pPr>
    </w:p>
    <w:p>
      <w:pPr>
        <w:pStyle w:val="6"/>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color w:val="auto"/>
          <w:highlight w:val="none"/>
          <w:lang w:val="zh-CN"/>
        </w:rPr>
      </w:pPr>
      <w:r>
        <w:rPr>
          <w:rFonts w:hint="eastAsia" w:hAnsi="宋体" w:cs="宋体"/>
          <w:color w:val="auto"/>
          <w:kern w:val="0"/>
          <w:sz w:val="32"/>
          <w:szCs w:val="32"/>
          <w:highlight w:val="none"/>
          <w:shd w:val="clear" w:color="auto" w:fill="FFFFFF"/>
          <w:lang w:val="zh-CN"/>
        </w:rPr>
        <w:t>附件</w:t>
      </w: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方正小标宋简体" w:hAnsi="方正小标宋简体" w:eastAsia="方正小标宋简体" w:cs="方正小标宋简体"/>
          <w:color w:val="auto"/>
          <w:kern w:val="2"/>
          <w:sz w:val="40"/>
          <w:szCs w:val="40"/>
          <w:highlight w:val="none"/>
          <w:lang w:val="zh-CN" w:eastAsia="zh-CN" w:bidi="ar-SA"/>
        </w:rPr>
      </w:pPr>
      <w:r>
        <w:rPr>
          <w:rFonts w:hint="eastAsia" w:ascii="方正小标宋简体" w:hAnsi="方正小标宋简体" w:eastAsia="方正小标宋简体" w:cs="方正小标宋简体"/>
          <w:color w:val="auto"/>
          <w:kern w:val="2"/>
          <w:sz w:val="40"/>
          <w:szCs w:val="40"/>
          <w:highlight w:val="none"/>
          <w:lang w:val="en-US" w:eastAsia="zh-CN" w:bidi="ar-SA"/>
        </w:rPr>
        <w:t>2021年</w:t>
      </w:r>
      <w:r>
        <w:rPr>
          <w:rFonts w:hint="eastAsia" w:ascii="方正小标宋简体" w:hAnsi="方正小标宋简体" w:eastAsia="方正小标宋简体" w:cs="方正小标宋简体"/>
          <w:color w:val="auto"/>
          <w:kern w:val="2"/>
          <w:sz w:val="40"/>
          <w:szCs w:val="40"/>
          <w:highlight w:val="none"/>
          <w:lang w:val="zh-CN" w:eastAsia="zh-CN" w:bidi="ar-SA"/>
        </w:rPr>
        <w:t>专项预算项目支出绩效自评报告</w:t>
      </w: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_GB2312" w:hAnsi="宋体" w:eastAsia="仿宋_GB2312"/>
          <w:sz w:val="32"/>
          <w:szCs w:val="32"/>
        </w:rPr>
      </w:pPr>
      <w:r>
        <w:rPr>
          <w:rFonts w:hint="eastAsia" w:ascii="仿宋_GB2312" w:hAnsi="宋体" w:eastAsia="仿宋_GB2312"/>
          <w:sz w:val="32"/>
          <w:szCs w:val="32"/>
        </w:rPr>
        <w:t>（</w:t>
      </w:r>
      <w:r>
        <w:rPr>
          <w:rFonts w:hint="eastAsia" w:ascii="仿宋_GB2312" w:hAnsi="宋体" w:eastAsia="仿宋_GB2312"/>
          <w:sz w:val="32"/>
          <w:szCs w:val="32"/>
          <w:lang w:val="en-US" w:eastAsia="zh-CN"/>
        </w:rPr>
        <w:t>招商引资宣传费</w:t>
      </w:r>
      <w:r>
        <w:rPr>
          <w:rFonts w:hint="eastAsia" w:ascii="仿宋_GB2312" w:hAnsi="宋体" w:eastAsia="仿宋_GB2312"/>
          <w:sz w:val="32"/>
          <w:szCs w:val="32"/>
        </w:rPr>
        <w:t>）</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1"/>
        <w:rPr>
          <w:rFonts w:hint="eastAsia" w:ascii="黑体" w:hAnsi="黑体" w:eastAsia="黑体"/>
          <w:sz w:val="32"/>
          <w:szCs w:val="32"/>
        </w:rPr>
      </w:pPr>
      <w:bookmarkStart w:id="104" w:name="_Toc16178"/>
      <w:bookmarkStart w:id="105" w:name="_Toc2140"/>
      <w:r>
        <w:rPr>
          <w:rFonts w:hint="eastAsia" w:ascii="黑体" w:hAnsi="黑体" w:eastAsia="黑体"/>
          <w:sz w:val="32"/>
          <w:szCs w:val="32"/>
        </w:rPr>
        <w:t>一、项目概况</w:t>
      </w:r>
      <w:bookmarkEnd w:id="104"/>
      <w:bookmarkEnd w:id="105"/>
    </w:p>
    <w:p>
      <w:pPr>
        <w:keepNext w:val="0"/>
        <w:keepLines w:val="0"/>
        <w:pageBreakBefore w:val="0"/>
        <w:widowControl w:val="0"/>
        <w:kinsoku/>
        <w:wordWrap/>
        <w:overflowPunct/>
        <w:topLinePunct w:val="0"/>
        <w:autoSpaceDE/>
        <w:autoSpaceDN/>
        <w:bidi w:val="0"/>
        <w:adjustRightInd/>
        <w:snapToGrid/>
        <w:spacing w:line="460" w:lineRule="exact"/>
        <w:ind w:firstLine="643" w:firstLineChars="200"/>
        <w:textAlignment w:val="auto"/>
        <w:outlineLvl w:val="2"/>
        <w:rPr>
          <w:rFonts w:hint="eastAsia" w:ascii="仿宋_GB2312" w:eastAsia="仿宋_GB2312"/>
          <w:sz w:val="32"/>
          <w:szCs w:val="32"/>
        </w:rPr>
      </w:pPr>
      <w:r>
        <w:rPr>
          <w:rFonts w:hint="eastAsia" w:ascii="楷体_GB2312" w:eastAsia="楷体_GB2312"/>
          <w:b/>
          <w:sz w:val="32"/>
          <w:szCs w:val="32"/>
        </w:rPr>
        <w:t>（一）项目资金申报及批复情况。</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我单位2021年初招商引资宣传费资金</w:t>
      </w:r>
      <w:r>
        <w:rPr>
          <w:rFonts w:hint="eastAsia" w:ascii="仿宋_GB2312" w:eastAsia="仿宋_GB2312"/>
          <w:sz w:val="32"/>
          <w:szCs w:val="32"/>
          <w:lang w:eastAsia="zh-CN"/>
        </w:rPr>
        <w:t>申报</w:t>
      </w:r>
      <w:r>
        <w:rPr>
          <w:rFonts w:hint="eastAsia" w:ascii="仿宋_GB2312" w:eastAsia="仿宋_GB2312"/>
          <w:sz w:val="32"/>
          <w:szCs w:val="32"/>
        </w:rPr>
        <w:t>数</w:t>
      </w:r>
      <w:r>
        <w:rPr>
          <w:rFonts w:hint="eastAsia" w:ascii="仿宋_GB2312" w:eastAsia="仿宋_GB2312"/>
          <w:sz w:val="32"/>
          <w:szCs w:val="32"/>
          <w:lang w:eastAsia="zh-CN"/>
        </w:rPr>
        <w:t>为</w:t>
      </w:r>
      <w:r>
        <w:rPr>
          <w:rFonts w:hint="eastAsia" w:ascii="仿宋_GB2312" w:eastAsia="仿宋_GB2312"/>
          <w:sz w:val="32"/>
          <w:szCs w:val="32"/>
          <w:lang w:val="en-US" w:eastAsia="zh-CN"/>
        </w:rPr>
        <w:t>6.26</w:t>
      </w:r>
      <w:r>
        <w:rPr>
          <w:rFonts w:hint="eastAsia" w:ascii="仿宋_GB2312" w:eastAsia="仿宋_GB2312"/>
          <w:sz w:val="32"/>
          <w:szCs w:val="32"/>
        </w:rPr>
        <w:t>万元，</w:t>
      </w:r>
      <w:r>
        <w:rPr>
          <w:rFonts w:hint="eastAsia" w:ascii="仿宋_GB2312" w:eastAsia="仿宋_GB2312"/>
          <w:sz w:val="32"/>
          <w:szCs w:val="32"/>
          <w:lang w:eastAsia="zh-CN"/>
        </w:rPr>
        <w:t>批复</w:t>
      </w:r>
      <w:r>
        <w:rPr>
          <w:rFonts w:hint="eastAsia" w:ascii="仿宋_GB2312" w:eastAsia="仿宋_GB2312"/>
          <w:sz w:val="32"/>
          <w:szCs w:val="32"/>
        </w:rPr>
        <w:t>数为</w:t>
      </w:r>
      <w:r>
        <w:rPr>
          <w:rFonts w:hint="eastAsia" w:ascii="仿宋_GB2312" w:eastAsia="仿宋_GB2312"/>
          <w:sz w:val="32"/>
          <w:szCs w:val="32"/>
          <w:lang w:val="en-US" w:eastAsia="zh-CN"/>
        </w:rPr>
        <w:t>6.26</w:t>
      </w:r>
      <w:r>
        <w:rPr>
          <w:rFonts w:hint="eastAsia" w:ascii="仿宋_GB2312" w:eastAsia="仿宋_GB2312"/>
          <w:sz w:val="32"/>
          <w:szCs w:val="32"/>
        </w:rPr>
        <w:t>万元</w:t>
      </w:r>
      <w:r>
        <w:rPr>
          <w:rFonts w:hint="eastAsia" w:ascii="仿宋_GB2312" w:eastAsia="仿宋_GB2312"/>
          <w:sz w:val="32"/>
          <w:szCs w:val="32"/>
          <w:lang w:eastAsia="zh-CN"/>
        </w:rPr>
        <w:t>。</w:t>
      </w:r>
    </w:p>
    <w:p>
      <w:pPr>
        <w:keepNext w:val="0"/>
        <w:keepLines w:val="0"/>
        <w:pageBreakBefore w:val="0"/>
        <w:widowControl w:val="0"/>
        <w:numPr>
          <w:ilvl w:val="0"/>
          <w:numId w:val="6"/>
        </w:numPr>
        <w:kinsoku/>
        <w:wordWrap/>
        <w:overflowPunct/>
        <w:topLinePunct w:val="0"/>
        <w:autoSpaceDE/>
        <w:autoSpaceDN/>
        <w:bidi w:val="0"/>
        <w:adjustRightInd/>
        <w:snapToGrid/>
        <w:spacing w:line="460"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项目绩效目标。</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rPr>
        <w:t>通过</w:t>
      </w:r>
      <w:r>
        <w:rPr>
          <w:rFonts w:hint="eastAsia" w:ascii="仿宋_GB2312" w:eastAsia="仿宋_GB2312"/>
          <w:sz w:val="32"/>
          <w:szCs w:val="32"/>
          <w:lang w:val="en-US" w:eastAsia="zh-CN"/>
        </w:rPr>
        <w:t>制作招商宣传画册、招商项目册以及招商广告等</w:t>
      </w:r>
      <w:r>
        <w:rPr>
          <w:rFonts w:hint="eastAsia" w:ascii="仿宋_GB2312" w:eastAsia="仿宋_GB2312"/>
          <w:sz w:val="32"/>
          <w:szCs w:val="32"/>
        </w:rPr>
        <w:t>，</w:t>
      </w:r>
      <w:r>
        <w:rPr>
          <w:rFonts w:hint="eastAsia" w:ascii="仿宋_GB2312" w:eastAsia="仿宋_GB2312"/>
          <w:sz w:val="32"/>
          <w:szCs w:val="32"/>
          <w:lang w:val="en-US" w:eastAsia="zh-CN"/>
        </w:rPr>
        <w:t>及时更新宣传我县招商项目和县情，大力宣传和推广招商引资工作。</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rPr>
        <w:t>计划实现的具体绩效目标</w:t>
      </w:r>
      <w:r>
        <w:rPr>
          <w:rFonts w:hint="eastAsia" w:ascii="仿宋_GB2312" w:eastAsia="仿宋_GB2312"/>
          <w:sz w:val="32"/>
          <w:szCs w:val="32"/>
          <w:lang w:eastAsia="zh-CN"/>
        </w:rPr>
        <w:t>：</w:t>
      </w:r>
      <w:r>
        <w:rPr>
          <w:rFonts w:hint="eastAsia" w:ascii="仿宋_GB2312" w:eastAsia="仿宋_GB2312"/>
          <w:sz w:val="32"/>
          <w:szCs w:val="32"/>
          <w:lang w:val="en-US" w:eastAsia="zh-CN"/>
        </w:rPr>
        <w:t>制作项目册1000册、制造招商宣传画册1000册，制作招商宣传广告等12批次。</w:t>
      </w:r>
    </w:p>
    <w:p>
      <w:pPr>
        <w:keepNext w:val="0"/>
        <w:keepLines w:val="0"/>
        <w:pageBreakBefore w:val="0"/>
        <w:widowControl w:val="0"/>
        <w:numPr>
          <w:ilvl w:val="0"/>
          <w:numId w:val="7"/>
        </w:numPr>
        <w:kinsoku/>
        <w:wordWrap/>
        <w:overflowPunct/>
        <w:topLinePunct w:val="0"/>
        <w:autoSpaceDE/>
        <w:autoSpaceDN/>
        <w:bidi w:val="0"/>
        <w:adjustRightInd/>
        <w:snapToGrid/>
        <w:spacing w:line="460"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项目资金申报相符性。</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eastAsia="zh-CN"/>
        </w:rPr>
        <w:t>本乡该资金使用情况严格按照项目申报内容实施，申报目标基本合理。</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1"/>
        <w:rPr>
          <w:rFonts w:hint="eastAsia" w:ascii="黑体" w:hAnsi="黑体" w:eastAsia="黑体"/>
          <w:sz w:val="32"/>
          <w:szCs w:val="32"/>
        </w:rPr>
      </w:pPr>
      <w:bookmarkStart w:id="106" w:name="_Toc27373"/>
      <w:bookmarkStart w:id="107" w:name="_Toc16922"/>
      <w:r>
        <w:rPr>
          <w:rFonts w:hint="eastAsia" w:ascii="黑体" w:hAnsi="黑体" w:eastAsia="黑体"/>
          <w:sz w:val="32"/>
          <w:szCs w:val="32"/>
        </w:rPr>
        <w:t>二、项目实施及管理情况</w:t>
      </w:r>
      <w:bookmarkEnd w:id="106"/>
      <w:bookmarkEnd w:id="107"/>
    </w:p>
    <w:p>
      <w:pPr>
        <w:keepNext w:val="0"/>
        <w:keepLines w:val="0"/>
        <w:pageBreakBefore w:val="0"/>
        <w:widowControl w:val="0"/>
        <w:kinsoku/>
        <w:wordWrap/>
        <w:overflowPunct/>
        <w:topLinePunct w:val="0"/>
        <w:autoSpaceDE/>
        <w:autoSpaceDN/>
        <w:bidi w:val="0"/>
        <w:adjustRightInd/>
        <w:snapToGrid/>
        <w:spacing w:line="460"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（一）资金计划、到位及使用情况。</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1．资金计划及到位。</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我单位及时</w:t>
      </w:r>
      <w:r>
        <w:rPr>
          <w:rFonts w:hint="eastAsia" w:ascii="仿宋_GB2312" w:eastAsia="仿宋_GB2312"/>
          <w:sz w:val="32"/>
          <w:szCs w:val="32"/>
        </w:rPr>
        <w:t>将资金到位情况与资金计划进行比对，资金到位率</w:t>
      </w:r>
      <w:r>
        <w:rPr>
          <w:rFonts w:hint="eastAsia" w:ascii="仿宋_GB2312" w:eastAsia="仿宋_GB2312"/>
          <w:sz w:val="32"/>
          <w:szCs w:val="32"/>
          <w:lang w:val="en-US" w:eastAsia="zh-CN"/>
        </w:rPr>
        <w:t>100%</w:t>
      </w:r>
      <w:r>
        <w:rPr>
          <w:rFonts w:hint="eastAsia" w:ascii="仿宋_GB2312" w:eastAsia="仿宋_GB2312"/>
          <w:sz w:val="32"/>
          <w:szCs w:val="32"/>
        </w:rPr>
        <w:t>、到位及时。</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2．资金使用。</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2021年底</w:t>
      </w:r>
      <w:r>
        <w:rPr>
          <w:rFonts w:hint="eastAsia" w:ascii="仿宋_GB2312" w:eastAsia="仿宋_GB2312"/>
          <w:sz w:val="32"/>
          <w:szCs w:val="32"/>
          <w:lang w:eastAsia="zh-CN"/>
        </w:rPr>
        <w:t>本单位</w:t>
      </w:r>
      <w:r>
        <w:rPr>
          <w:rFonts w:hint="eastAsia" w:ascii="仿宋_GB2312" w:eastAsia="仿宋_GB2312"/>
          <w:sz w:val="32"/>
          <w:szCs w:val="32"/>
        </w:rPr>
        <w:t>项目资金的实际支出</w:t>
      </w:r>
      <w:r>
        <w:rPr>
          <w:rFonts w:hint="eastAsia" w:ascii="仿宋_GB2312" w:eastAsia="仿宋_GB2312"/>
          <w:sz w:val="32"/>
          <w:szCs w:val="32"/>
          <w:lang w:val="en-US" w:eastAsia="zh-CN"/>
        </w:rPr>
        <w:t>6.26万元，</w:t>
      </w:r>
      <w:r>
        <w:rPr>
          <w:rFonts w:hint="eastAsia" w:ascii="仿宋_GB2312" w:eastAsia="仿宋_GB2312"/>
          <w:sz w:val="32"/>
          <w:szCs w:val="32"/>
        </w:rPr>
        <w:t>支付依据合规合法，资金支付与预算相符</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460"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（二）项目财务管理情况。</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楷体_GB2312" w:eastAsia="楷体_GB2312"/>
          <w:b/>
          <w:sz w:val="32"/>
          <w:szCs w:val="32"/>
        </w:rPr>
      </w:pPr>
      <w:r>
        <w:rPr>
          <w:rFonts w:hint="eastAsia" w:ascii="仿宋_GB2312" w:eastAsia="仿宋_GB2312"/>
          <w:sz w:val="32"/>
          <w:szCs w:val="32"/>
          <w:lang w:eastAsia="zh-CN"/>
        </w:rPr>
        <w:t>截止</w:t>
      </w:r>
      <w:r>
        <w:rPr>
          <w:rFonts w:hint="eastAsia" w:ascii="仿宋_GB2312" w:eastAsia="仿宋_GB2312"/>
          <w:sz w:val="32"/>
          <w:szCs w:val="32"/>
          <w:lang w:val="en-US" w:eastAsia="zh-CN"/>
        </w:rPr>
        <w:t>2021年底制作项目册1000册、制造招商宣传画册1000册，制作招商宣传广告等12批次，</w:t>
      </w:r>
      <w:r>
        <w:rPr>
          <w:rFonts w:hint="eastAsia" w:ascii="仿宋_GB2312" w:eastAsia="仿宋_GB2312"/>
          <w:sz w:val="32"/>
          <w:szCs w:val="32"/>
          <w:lang w:eastAsia="zh-CN"/>
        </w:rPr>
        <w:t>共计</w:t>
      </w:r>
      <w:r>
        <w:rPr>
          <w:rFonts w:hint="eastAsia" w:ascii="仿宋_GB2312" w:eastAsia="仿宋_GB2312"/>
          <w:sz w:val="32"/>
          <w:szCs w:val="32"/>
          <w:lang w:val="en-US" w:eastAsia="zh-CN"/>
        </w:rPr>
        <w:t>6.26万元。我单位</w:t>
      </w:r>
      <w:r>
        <w:rPr>
          <w:rFonts w:hint="eastAsia" w:ascii="仿宋_GB2312" w:eastAsia="仿宋_GB2312"/>
          <w:sz w:val="32"/>
          <w:szCs w:val="32"/>
          <w:lang w:eastAsia="zh-CN"/>
        </w:rPr>
        <w:t>按照</w:t>
      </w:r>
      <w:r>
        <w:rPr>
          <w:rFonts w:hint="eastAsia" w:ascii="仿宋_GB2312" w:eastAsia="仿宋_GB2312"/>
          <w:sz w:val="32"/>
          <w:szCs w:val="32"/>
        </w:rPr>
        <w:t>项目资金管理办法，评价项目</w:t>
      </w:r>
      <w:r>
        <w:rPr>
          <w:rFonts w:hint="eastAsia" w:ascii="仿宋_GB2312" w:eastAsia="仿宋_GB2312"/>
          <w:sz w:val="32"/>
          <w:szCs w:val="32"/>
          <w:lang w:eastAsia="zh-CN"/>
        </w:rPr>
        <w:t>是否</w:t>
      </w:r>
      <w:r>
        <w:rPr>
          <w:rFonts w:hint="eastAsia" w:ascii="仿宋_GB2312" w:eastAsia="仿宋_GB2312"/>
          <w:sz w:val="32"/>
          <w:szCs w:val="32"/>
        </w:rPr>
        <w:t>严格执行财务管理制度</w:t>
      </w:r>
      <w:r>
        <w:rPr>
          <w:rFonts w:hint="eastAsia" w:ascii="仿宋_GB2312" w:eastAsia="仿宋_GB2312"/>
          <w:sz w:val="32"/>
          <w:szCs w:val="32"/>
          <w:lang w:eastAsia="zh-CN"/>
        </w:rPr>
        <w:t>，对于符合财务管理制度的及时申报资金支付，进行账务</w:t>
      </w:r>
      <w:r>
        <w:rPr>
          <w:rFonts w:hint="eastAsia" w:ascii="仿宋_GB2312" w:eastAsia="仿宋_GB2312"/>
          <w:sz w:val="32"/>
          <w:szCs w:val="32"/>
        </w:rPr>
        <w:t>处理</w:t>
      </w:r>
      <w:r>
        <w:rPr>
          <w:rFonts w:hint="eastAsia" w:ascii="仿宋_GB2312" w:eastAsia="仿宋_GB2312"/>
          <w:sz w:val="32"/>
          <w:szCs w:val="32"/>
          <w:lang w:eastAsia="zh-CN"/>
        </w:rPr>
        <w:t>、</w:t>
      </w:r>
      <w:r>
        <w:rPr>
          <w:rFonts w:hint="eastAsia" w:ascii="仿宋_GB2312" w:eastAsia="仿宋_GB2312"/>
          <w:sz w:val="32"/>
          <w:szCs w:val="32"/>
        </w:rPr>
        <w:t>会计核算。</w:t>
      </w:r>
    </w:p>
    <w:p>
      <w:pPr>
        <w:keepNext w:val="0"/>
        <w:keepLines w:val="0"/>
        <w:pageBreakBefore w:val="0"/>
        <w:widowControl w:val="0"/>
        <w:kinsoku/>
        <w:wordWrap/>
        <w:overflowPunct/>
        <w:topLinePunct w:val="0"/>
        <w:autoSpaceDE/>
        <w:autoSpaceDN/>
        <w:bidi w:val="0"/>
        <w:adjustRightInd/>
        <w:snapToGrid/>
        <w:spacing w:line="460"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（三）项目组织实施情况。</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default" w:ascii="黑体" w:hAnsi="黑体" w:eastAsia="黑体"/>
          <w:sz w:val="32"/>
          <w:szCs w:val="32"/>
          <w:lang w:val="en-US" w:eastAsia="zh-CN"/>
        </w:rPr>
      </w:pPr>
      <w:r>
        <w:rPr>
          <w:rFonts w:hint="eastAsia" w:ascii="仿宋_GB2312" w:eastAsia="仿宋_GB2312"/>
          <w:sz w:val="32"/>
          <w:szCs w:val="32"/>
          <w:lang w:eastAsia="zh-CN"/>
        </w:rPr>
        <w:t>我单位严格按照年初计划由</w:t>
      </w:r>
      <w:r>
        <w:rPr>
          <w:rFonts w:hint="eastAsia" w:ascii="仿宋_GB2312" w:eastAsia="仿宋_GB2312"/>
          <w:sz w:val="32"/>
          <w:szCs w:val="32"/>
          <w:lang w:val="en-US" w:eastAsia="zh-CN"/>
        </w:rPr>
        <w:t>办公室及招商引资股</w:t>
      </w:r>
      <w:r>
        <w:rPr>
          <w:rFonts w:hint="eastAsia" w:ascii="仿宋_GB2312" w:eastAsia="仿宋_GB2312"/>
          <w:sz w:val="32"/>
          <w:szCs w:val="32"/>
          <w:lang w:eastAsia="zh-CN"/>
        </w:rPr>
        <w:t>负责实施具体的事宜，实施过程中由</w:t>
      </w:r>
      <w:r>
        <w:rPr>
          <w:rFonts w:hint="eastAsia" w:ascii="仿宋_GB2312" w:eastAsia="仿宋_GB2312"/>
          <w:sz w:val="32"/>
          <w:szCs w:val="32"/>
          <w:lang w:val="en-US" w:eastAsia="zh-CN"/>
        </w:rPr>
        <w:t>财务室</w:t>
      </w:r>
      <w:r>
        <w:rPr>
          <w:rFonts w:hint="eastAsia" w:ascii="仿宋_GB2312" w:eastAsia="仿宋_GB2312"/>
          <w:sz w:val="32"/>
          <w:szCs w:val="32"/>
          <w:lang w:eastAsia="zh-CN"/>
        </w:rPr>
        <w:t>监督执行。年终所有计划均已完成，实施过程中发生的相关经费开支严格按照资金管理制度申报、初审，再经</w:t>
      </w:r>
      <w:r>
        <w:rPr>
          <w:rFonts w:hint="eastAsia" w:ascii="仿宋_GB2312" w:eastAsia="仿宋_GB2312"/>
          <w:sz w:val="32"/>
          <w:szCs w:val="32"/>
          <w:lang w:val="en-US" w:eastAsia="zh-CN"/>
        </w:rPr>
        <w:t>中心领导</w:t>
      </w:r>
      <w:r>
        <w:rPr>
          <w:rFonts w:hint="eastAsia" w:ascii="仿宋_GB2312" w:eastAsia="仿宋_GB2312"/>
          <w:sz w:val="32"/>
          <w:szCs w:val="32"/>
          <w:lang w:eastAsia="zh-CN"/>
        </w:rPr>
        <w:t>审核报账。</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1"/>
        <w:rPr>
          <w:rFonts w:hint="eastAsia" w:ascii="黑体" w:hAnsi="黑体" w:eastAsia="黑体"/>
          <w:sz w:val="32"/>
          <w:szCs w:val="32"/>
        </w:rPr>
      </w:pPr>
      <w:bookmarkStart w:id="108" w:name="_Toc15818"/>
      <w:bookmarkStart w:id="109" w:name="_Toc27675"/>
      <w:r>
        <w:rPr>
          <w:rFonts w:hint="eastAsia" w:ascii="黑体" w:hAnsi="黑体" w:eastAsia="黑体"/>
          <w:sz w:val="32"/>
          <w:szCs w:val="32"/>
        </w:rPr>
        <w:t>三、项目绩效情况</w:t>
      </w:r>
      <w:bookmarkEnd w:id="108"/>
      <w:bookmarkEnd w:id="109"/>
      <w:r>
        <w:rPr>
          <w:rFonts w:hint="eastAsia" w:ascii="黑体" w:hAnsi="黑体" w:eastAsia="黑体"/>
          <w:sz w:val="32"/>
          <w:szCs w:val="32"/>
        </w:rPr>
        <w:tab/>
      </w:r>
    </w:p>
    <w:p>
      <w:pPr>
        <w:keepNext w:val="0"/>
        <w:keepLines w:val="0"/>
        <w:pageBreakBefore w:val="0"/>
        <w:widowControl w:val="0"/>
        <w:kinsoku/>
        <w:wordWrap/>
        <w:overflowPunct/>
        <w:topLinePunct w:val="0"/>
        <w:autoSpaceDE/>
        <w:autoSpaceDN/>
        <w:bidi w:val="0"/>
        <w:adjustRightInd/>
        <w:snapToGrid/>
        <w:spacing w:line="460"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（一）项目完成情况。</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项目全年预算数6.56万元，执行数为6.56万元，完成预算的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%。通过项目实施，保障了20</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年招商</w:t>
      </w:r>
      <w:r>
        <w:rPr>
          <w:rFonts w:hint="eastAsia" w:ascii="仿宋_GB2312" w:hAnsi="仿宋_GB2312" w:eastAsia="仿宋_GB2312" w:cs="仿宋_GB2312"/>
          <w:sz w:val="32"/>
          <w:szCs w:val="32"/>
          <w:lang w:val="en-US" w:eastAsia="zh-CN"/>
        </w:rPr>
        <w:t>引资宣传方面工作的正常开展，制作</w:t>
      </w:r>
      <w:r>
        <w:rPr>
          <w:rFonts w:hint="eastAsia" w:ascii="仿宋_GB2312" w:hAnsi="仿宋_GB2312" w:eastAsia="仿宋_GB2312" w:cs="仿宋_GB2312"/>
          <w:sz w:val="32"/>
          <w:szCs w:val="32"/>
        </w:rPr>
        <w:t>重点项目册1000册，招商宣传册1000册，各类项目宣传广告12批次。</w:t>
      </w:r>
    </w:p>
    <w:p>
      <w:pPr>
        <w:keepNext w:val="0"/>
        <w:keepLines w:val="0"/>
        <w:pageBreakBefore w:val="0"/>
        <w:widowControl w:val="0"/>
        <w:kinsoku/>
        <w:wordWrap/>
        <w:overflowPunct/>
        <w:topLinePunct w:val="0"/>
        <w:autoSpaceDE/>
        <w:autoSpaceDN/>
        <w:bidi w:val="0"/>
        <w:adjustRightInd/>
        <w:snapToGrid/>
        <w:spacing w:line="460"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（二）项目效益情况。</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eastAsia="仿宋_GB2312"/>
          <w:sz w:val="32"/>
          <w:szCs w:val="32"/>
          <w:lang w:eastAsia="zh-CN"/>
        </w:rPr>
      </w:pPr>
      <w:r>
        <w:rPr>
          <w:rFonts w:hint="eastAsia" w:ascii="仿宋_GB2312" w:hAnsi="仿宋_GB2312" w:eastAsia="仿宋_GB2312" w:cs="仿宋_GB2312"/>
          <w:sz w:val="32"/>
          <w:szCs w:val="32"/>
          <w:lang w:val="en-US" w:eastAsia="zh-CN"/>
        </w:rPr>
        <w:t>政</w:t>
      </w:r>
      <w:r>
        <w:rPr>
          <w:rFonts w:hint="eastAsia" w:ascii="仿宋_GB2312" w:hAnsi="仿宋_GB2312" w:eastAsia="仿宋_GB2312" w:cs="仿宋_GB2312"/>
          <w:sz w:val="32"/>
          <w:szCs w:val="32"/>
        </w:rPr>
        <w:t>府招商宣传是一种对外宣传政府公关活动的艺术表现形式，通过声音、动画、文字、图片等全面展示。从而促进招商引资、产品促销、城市形象宣传、新品推介会、展会宣传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提高</w:t>
      </w:r>
      <w:r>
        <w:rPr>
          <w:rFonts w:hint="eastAsia" w:ascii="仿宋_GB2312" w:hAnsi="仿宋_GB2312" w:eastAsia="仿宋_GB2312" w:cs="仿宋_GB2312"/>
          <w:sz w:val="32"/>
          <w:szCs w:val="32"/>
          <w:lang w:val="en-US" w:eastAsia="zh-CN"/>
        </w:rPr>
        <w:t>我县</w:t>
      </w:r>
      <w:r>
        <w:rPr>
          <w:rFonts w:hint="eastAsia" w:ascii="仿宋_GB2312" w:hAnsi="仿宋_GB2312" w:eastAsia="仿宋_GB2312" w:cs="仿宋_GB2312"/>
          <w:sz w:val="32"/>
          <w:szCs w:val="32"/>
        </w:rPr>
        <w:t>的知名度，促进城市经济的和谐发展。</w:t>
      </w:r>
      <w:r>
        <w:rPr>
          <w:rFonts w:hint="eastAsia" w:ascii="仿宋_GB2312" w:eastAsia="仿宋_GB2312"/>
          <w:sz w:val="32"/>
          <w:szCs w:val="32"/>
          <w:lang w:val="en-US" w:eastAsia="zh-CN"/>
        </w:rPr>
        <w:t>宣传内容可持续</w:t>
      </w:r>
      <w:r>
        <w:rPr>
          <w:rFonts w:hint="eastAsia" w:ascii="仿宋_GB2312" w:eastAsia="仿宋_GB2312"/>
          <w:sz w:val="32"/>
          <w:szCs w:val="32"/>
          <w:lang w:eastAsia="zh-CN"/>
        </w:rPr>
        <w:t>≥</w:t>
      </w:r>
      <w:r>
        <w:rPr>
          <w:rFonts w:hint="eastAsia" w:ascii="仿宋_GB2312" w:eastAsia="仿宋_GB2312"/>
          <w:sz w:val="32"/>
          <w:szCs w:val="32"/>
          <w:lang w:val="en-US" w:eastAsia="zh-CN"/>
        </w:rPr>
        <w:t>2年</w:t>
      </w:r>
      <w:r>
        <w:rPr>
          <w:rFonts w:hint="eastAsia" w:ascii="仿宋_GB2312" w:eastAsia="仿宋_GB2312"/>
          <w:sz w:val="32"/>
          <w:szCs w:val="32"/>
          <w:lang w:eastAsia="zh-CN"/>
        </w:rPr>
        <w:t>，</w:t>
      </w:r>
      <w:r>
        <w:rPr>
          <w:rFonts w:hint="eastAsia" w:ascii="仿宋_GB2312" w:eastAsia="仿宋_GB2312"/>
          <w:sz w:val="32"/>
          <w:szCs w:val="32"/>
          <w:lang w:val="en-US" w:eastAsia="zh-CN"/>
        </w:rPr>
        <w:t>县级部门</w:t>
      </w:r>
      <w:r>
        <w:rPr>
          <w:rFonts w:hint="eastAsia" w:ascii="仿宋_GB2312" w:eastAsia="仿宋_GB2312"/>
          <w:sz w:val="32"/>
          <w:szCs w:val="32"/>
          <w:lang w:eastAsia="zh-CN"/>
        </w:rPr>
        <w:t>和</w:t>
      </w:r>
      <w:r>
        <w:rPr>
          <w:rFonts w:hint="eastAsia" w:ascii="仿宋_GB2312" w:eastAsia="仿宋_GB2312"/>
          <w:sz w:val="32"/>
          <w:szCs w:val="32"/>
          <w:lang w:val="en-US" w:eastAsia="zh-CN"/>
        </w:rPr>
        <w:t>客商、</w:t>
      </w:r>
      <w:r>
        <w:rPr>
          <w:rFonts w:hint="eastAsia" w:ascii="仿宋_GB2312" w:eastAsia="仿宋_GB2312"/>
          <w:sz w:val="32"/>
          <w:szCs w:val="32"/>
          <w:lang w:eastAsia="zh-CN"/>
        </w:rPr>
        <w:t>群众满意率≥99%，群众生命安全有保障。</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outlineLvl w:val="1"/>
        <w:rPr>
          <w:rFonts w:hint="eastAsia" w:ascii="黑体" w:hAnsi="黑体" w:eastAsia="黑体"/>
          <w:sz w:val="32"/>
          <w:szCs w:val="32"/>
        </w:rPr>
      </w:pPr>
      <w:bookmarkStart w:id="110" w:name="_Toc28831"/>
      <w:bookmarkStart w:id="111" w:name="_Toc5930"/>
      <w:r>
        <w:rPr>
          <w:rFonts w:hint="eastAsia" w:ascii="黑体" w:hAnsi="黑体" w:eastAsia="黑体"/>
          <w:sz w:val="32"/>
          <w:szCs w:val="32"/>
        </w:rPr>
        <w:t>四、问题及建议</w:t>
      </w:r>
      <w:bookmarkEnd w:id="110"/>
      <w:bookmarkEnd w:id="111"/>
    </w:p>
    <w:p>
      <w:pPr>
        <w:keepNext w:val="0"/>
        <w:keepLines w:val="0"/>
        <w:pageBreakBefore w:val="0"/>
        <w:widowControl w:val="0"/>
        <w:kinsoku/>
        <w:wordWrap/>
        <w:overflowPunct/>
        <w:topLinePunct w:val="0"/>
        <w:autoSpaceDE/>
        <w:autoSpaceDN/>
        <w:bidi w:val="0"/>
        <w:adjustRightInd/>
        <w:snapToGrid/>
        <w:spacing w:line="460"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（一）存在的问题。</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全年的项目册数量不够</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460" w:lineRule="exact"/>
        <w:ind w:firstLine="643" w:firstLineChars="200"/>
        <w:textAlignment w:val="auto"/>
        <w:outlineLvl w:val="2"/>
        <w:rPr>
          <w:rFonts w:hint="eastAsia" w:ascii="仿宋_GB2312" w:eastAsia="仿宋_GB2312"/>
          <w:spacing w:val="-8"/>
          <w:sz w:val="32"/>
          <w:szCs w:val="32"/>
        </w:rPr>
      </w:pPr>
      <w:r>
        <w:rPr>
          <w:rFonts w:hint="eastAsia" w:ascii="楷体_GB2312" w:eastAsia="楷体_GB2312"/>
          <w:b/>
          <w:sz w:val="32"/>
          <w:szCs w:val="32"/>
        </w:rPr>
        <w:t>（二）相关建议。</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jc w:val="both"/>
        <w:textAlignment w:val="auto"/>
        <w:rPr>
          <w:rFonts w:hint="eastAsia" w:ascii="方正小标宋简体" w:hAnsi="宋体" w:eastAsia="方正小标宋简体"/>
          <w:b/>
          <w:sz w:val="44"/>
          <w:szCs w:val="44"/>
        </w:rPr>
      </w:pPr>
      <w:r>
        <w:rPr>
          <w:rFonts w:hint="eastAsia" w:ascii="仿宋_GB2312" w:hAnsi="仿宋_GB2312" w:eastAsia="仿宋_GB2312" w:cs="仿宋_GB2312"/>
          <w:sz w:val="32"/>
          <w:szCs w:val="32"/>
          <w:lang w:val="en-US" w:eastAsia="zh-CN"/>
        </w:rPr>
        <w:t>提高预算资金，加大宣传力度。</w:t>
      </w:r>
      <w:r>
        <w:rPr>
          <w:rFonts w:hint="eastAsia" w:ascii="方正小标宋简体" w:hAnsi="宋体" w:eastAsia="方正小标宋简体"/>
          <w:b/>
          <w:sz w:val="44"/>
          <w:szCs w:val="44"/>
        </w:rPr>
        <w:t xml:space="preserve"> </w:t>
      </w:r>
    </w:p>
    <w:p>
      <w:pPr>
        <w:jc w:val="center"/>
        <w:rPr>
          <w:rFonts w:hint="eastAsia" w:ascii="方正小标宋简体" w:hAnsi="宋体" w:eastAsia="方正小标宋简体"/>
          <w:b/>
          <w:sz w:val="44"/>
          <w:szCs w:val="44"/>
        </w:rPr>
      </w:pPr>
    </w:p>
    <w:p>
      <w:pPr>
        <w:jc w:val="center"/>
        <w:rPr>
          <w:rFonts w:hint="eastAsia" w:ascii="方正小标宋简体" w:hAnsi="宋体" w:eastAsia="方正小标宋简体"/>
          <w:b/>
          <w:sz w:val="44"/>
          <w:szCs w:val="44"/>
        </w:rPr>
      </w:pPr>
    </w:p>
    <w:p>
      <w:pPr>
        <w:jc w:val="both"/>
        <w:rPr>
          <w:rFonts w:hint="eastAsia" w:ascii="方正小标宋简体" w:hAnsi="宋体" w:eastAsia="方正小标宋简体"/>
          <w:b/>
          <w:sz w:val="44"/>
          <w:szCs w:val="44"/>
        </w:rPr>
      </w:pPr>
    </w:p>
    <w:p/>
    <w:p>
      <w:pPr>
        <w:pStyle w:val="2"/>
      </w:pPr>
      <w:r>
        <w:rPr>
          <w:rFonts w:hint="eastAsia" w:ascii="仿宋_GB2312" w:hAnsi="宋体" w:eastAsia="仿宋_GB2312" w:cs="宋体"/>
          <w:b w:val="0"/>
          <w:bCs w:val="0"/>
          <w:color w:val="auto"/>
          <w:kern w:val="0"/>
          <w:sz w:val="32"/>
          <w:szCs w:val="32"/>
          <w:highlight w:val="none"/>
          <w:shd w:val="clear" w:color="auto" w:fill="FFFFFF"/>
          <w:lang w:val="zh-CN"/>
        </w:rPr>
        <w:object>
          <v:shape id="_x0000_i1031" o:spt="75" type="#_x0000_t75" style="height:456.3pt;width:414.75pt;" o:ole="t" filled="f" o:preferrelative="t" stroked="f" coordsize="21600,21600">
            <v:path/>
            <v:fill on="f" focussize="0,0"/>
            <v:stroke on="f"/>
            <v:imagedata r:id="rId24" o:title=""/>
            <o:lock v:ext="edit" aspectratio="f"/>
            <w10:wrap type="none"/>
            <w10:anchorlock/>
          </v:shape>
          <o:OLEObject Type="Embed" ProgID="Excel.Sheet.8" ShapeID="_x0000_i1031" DrawAspect="Content" ObjectID="_1468075732" r:id="rId23">
            <o:LockedField>false</o:LockedField>
          </o:OLEObject>
        </w:object>
      </w:r>
    </w:p>
    <w:p/>
    <w:p/>
    <w:p>
      <w:pPr>
        <w:pStyle w:val="33"/>
      </w:pPr>
    </w:p>
    <w:p/>
    <w:p>
      <w:pPr>
        <w:pStyle w:val="33"/>
      </w:pPr>
    </w:p>
    <w:p/>
    <w:p>
      <w:pPr>
        <w:jc w:val="both"/>
        <w:rPr>
          <w:rFonts w:hint="eastAsia" w:ascii="方正小标宋简体" w:hAnsi="宋体" w:eastAsia="方正小标宋简体"/>
          <w:b/>
          <w:sz w:val="44"/>
          <w:szCs w:val="44"/>
        </w:rPr>
      </w:pPr>
    </w:p>
    <w:p>
      <w:pPr>
        <w:keepNext w:val="0"/>
        <w:keepLines w:val="0"/>
        <w:pageBreakBefore w:val="0"/>
        <w:widowControl w:val="0"/>
        <w:kinsoku/>
        <w:wordWrap/>
        <w:overflowPunct/>
        <w:topLinePunct w:val="0"/>
        <w:autoSpaceDE/>
        <w:autoSpaceDN/>
        <w:bidi w:val="0"/>
        <w:spacing w:line="600" w:lineRule="exact"/>
        <w:jc w:val="both"/>
        <w:textAlignment w:val="auto"/>
        <w:rPr>
          <w:rFonts w:hint="eastAsia" w:ascii="方正小标宋简体" w:hAnsi="方正小标宋简体" w:eastAsia="方正小标宋简体" w:cs="方正小标宋简体"/>
          <w:color w:val="auto"/>
          <w:kern w:val="2"/>
          <w:sz w:val="40"/>
          <w:szCs w:val="40"/>
          <w:highlight w:val="none"/>
          <w:lang w:val="en-US" w:eastAsia="zh-CN" w:bidi="ar-SA"/>
        </w:rPr>
      </w:pPr>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ascii="仿宋_GB2312" w:hAnsi="宋体" w:eastAsia="仿宋_GB2312"/>
          <w:sz w:val="32"/>
          <w:szCs w:val="32"/>
        </w:rPr>
      </w:pPr>
      <w:r>
        <w:rPr>
          <w:rFonts w:hint="eastAsia" w:ascii="方正小标宋简体" w:hAnsi="方正小标宋简体" w:eastAsia="方正小标宋简体" w:cs="方正小标宋简体"/>
          <w:color w:val="auto"/>
          <w:kern w:val="2"/>
          <w:sz w:val="40"/>
          <w:szCs w:val="40"/>
          <w:highlight w:val="none"/>
          <w:lang w:val="en-US" w:eastAsia="zh-CN" w:bidi="ar-SA"/>
        </w:rPr>
        <w:t>2021年</w:t>
      </w:r>
      <w:r>
        <w:rPr>
          <w:rFonts w:hint="eastAsia" w:ascii="方正小标宋简体" w:hAnsi="方正小标宋简体" w:eastAsia="方正小标宋简体" w:cs="方正小标宋简体"/>
          <w:color w:val="auto"/>
          <w:kern w:val="2"/>
          <w:sz w:val="40"/>
          <w:szCs w:val="40"/>
          <w:highlight w:val="none"/>
          <w:lang w:val="zh-CN" w:eastAsia="zh-CN" w:bidi="ar-SA"/>
        </w:rPr>
        <w:t>专项预算项目支出绩效自评报告</w:t>
      </w:r>
    </w:p>
    <w:p>
      <w:pPr>
        <w:jc w:val="center"/>
        <w:rPr>
          <w:rFonts w:hint="eastAsia" w:ascii="仿宋_GB2312" w:hAnsi="宋体" w:eastAsia="仿宋_GB2312"/>
          <w:sz w:val="32"/>
          <w:szCs w:val="32"/>
        </w:rPr>
      </w:pP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w:t>
      </w:r>
      <w:r>
        <w:rPr>
          <w:rFonts w:hint="eastAsia" w:ascii="仿宋_GB2312" w:hAnsi="宋体" w:eastAsia="仿宋_GB2312"/>
          <w:sz w:val="32"/>
          <w:szCs w:val="32"/>
          <w:lang w:val="en-US" w:eastAsia="zh-CN"/>
        </w:rPr>
        <w:t>招商分局经费</w:t>
      </w:r>
      <w:r>
        <w:rPr>
          <w:rFonts w:hint="eastAsia" w:ascii="仿宋_GB2312" w:hAnsi="宋体" w:eastAsia="仿宋_GB2312"/>
          <w:sz w:val="32"/>
          <w:szCs w:val="32"/>
        </w:rPr>
        <w:t>）</w:t>
      </w:r>
    </w:p>
    <w:p>
      <w:pPr>
        <w:rPr>
          <w:rFonts w:ascii="宋体"/>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sz w:val="32"/>
          <w:szCs w:val="32"/>
        </w:rPr>
      </w:pPr>
      <w:bookmarkStart w:id="112" w:name="_Toc732"/>
      <w:bookmarkStart w:id="113" w:name="_Toc22699"/>
      <w:r>
        <w:rPr>
          <w:rFonts w:hint="eastAsia" w:ascii="黑体" w:hAnsi="黑体" w:eastAsia="黑体"/>
          <w:sz w:val="32"/>
          <w:szCs w:val="32"/>
        </w:rPr>
        <w:t>一、项目概况</w:t>
      </w:r>
      <w:bookmarkEnd w:id="112"/>
      <w:bookmarkEnd w:id="113"/>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仿宋_GB2312" w:eastAsia="仿宋_GB2312"/>
          <w:sz w:val="32"/>
          <w:szCs w:val="32"/>
        </w:rPr>
      </w:pPr>
      <w:r>
        <w:rPr>
          <w:rFonts w:hint="eastAsia" w:ascii="楷体_GB2312" w:eastAsia="楷体_GB2312"/>
          <w:b/>
          <w:sz w:val="32"/>
          <w:szCs w:val="32"/>
        </w:rPr>
        <w:t>（一）项目资金申报及批复情况。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我单位2021年初招商分局经费</w:t>
      </w:r>
      <w:r>
        <w:rPr>
          <w:rFonts w:hint="eastAsia" w:ascii="仿宋_GB2312" w:eastAsia="仿宋_GB2312"/>
          <w:sz w:val="32"/>
          <w:szCs w:val="32"/>
          <w:lang w:eastAsia="zh-CN"/>
        </w:rPr>
        <w:t>申报</w:t>
      </w:r>
      <w:r>
        <w:rPr>
          <w:rFonts w:hint="eastAsia" w:ascii="仿宋_GB2312" w:eastAsia="仿宋_GB2312"/>
          <w:sz w:val="32"/>
          <w:szCs w:val="32"/>
        </w:rPr>
        <w:t>数</w:t>
      </w:r>
      <w:r>
        <w:rPr>
          <w:rFonts w:hint="eastAsia" w:ascii="仿宋_GB2312" w:eastAsia="仿宋_GB2312"/>
          <w:sz w:val="32"/>
          <w:szCs w:val="32"/>
          <w:lang w:eastAsia="zh-CN"/>
        </w:rPr>
        <w:t>为</w:t>
      </w:r>
      <w:r>
        <w:rPr>
          <w:rFonts w:hint="eastAsia" w:ascii="仿宋_GB2312" w:eastAsia="仿宋_GB2312"/>
          <w:sz w:val="32"/>
          <w:szCs w:val="32"/>
          <w:lang w:val="en-US" w:eastAsia="zh-CN"/>
        </w:rPr>
        <w:t>104</w:t>
      </w:r>
      <w:r>
        <w:rPr>
          <w:rFonts w:hint="eastAsia" w:ascii="仿宋_GB2312" w:eastAsia="仿宋_GB2312"/>
          <w:sz w:val="32"/>
          <w:szCs w:val="32"/>
        </w:rPr>
        <w:t>万元，</w:t>
      </w:r>
      <w:r>
        <w:rPr>
          <w:rFonts w:hint="eastAsia" w:ascii="仿宋_GB2312" w:eastAsia="仿宋_GB2312"/>
          <w:sz w:val="32"/>
          <w:szCs w:val="32"/>
          <w:lang w:eastAsia="zh-CN"/>
        </w:rPr>
        <w:t>批复</w:t>
      </w:r>
      <w:r>
        <w:rPr>
          <w:rFonts w:hint="eastAsia" w:ascii="仿宋_GB2312" w:eastAsia="仿宋_GB2312"/>
          <w:sz w:val="32"/>
          <w:szCs w:val="32"/>
        </w:rPr>
        <w:t>数为</w:t>
      </w:r>
      <w:r>
        <w:rPr>
          <w:rFonts w:hint="eastAsia" w:ascii="仿宋_GB2312" w:eastAsia="仿宋_GB2312"/>
          <w:sz w:val="32"/>
          <w:szCs w:val="32"/>
          <w:lang w:val="en-US" w:eastAsia="zh-CN"/>
        </w:rPr>
        <w:t>104</w:t>
      </w:r>
      <w:r>
        <w:rPr>
          <w:rFonts w:hint="eastAsia" w:ascii="仿宋_GB2312" w:eastAsia="仿宋_GB2312"/>
          <w:sz w:val="32"/>
          <w:szCs w:val="32"/>
        </w:rPr>
        <w:t>万元</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lang w:eastAsia="zh-CN"/>
        </w:rPr>
        <w:t>（</w:t>
      </w:r>
      <w:r>
        <w:rPr>
          <w:rFonts w:hint="eastAsia" w:ascii="楷体_GB2312" w:eastAsia="楷体_GB2312"/>
          <w:b/>
          <w:sz w:val="32"/>
          <w:szCs w:val="32"/>
          <w:lang w:val="en-US" w:eastAsia="zh-CN"/>
        </w:rPr>
        <w:t>二</w:t>
      </w:r>
      <w:r>
        <w:rPr>
          <w:rFonts w:hint="eastAsia" w:ascii="楷体_GB2312" w:eastAsia="楷体_GB2312"/>
          <w:b/>
          <w:sz w:val="32"/>
          <w:szCs w:val="32"/>
          <w:lang w:eastAsia="zh-CN"/>
        </w:rPr>
        <w:t>）</w:t>
      </w:r>
      <w:r>
        <w:rPr>
          <w:rFonts w:hint="eastAsia" w:ascii="楷体_GB2312" w:eastAsia="楷体_GB2312"/>
          <w:b/>
          <w:sz w:val="32"/>
          <w:szCs w:val="32"/>
        </w:rPr>
        <w:t>项目绩效目标。</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eastAsia="仿宋_GB2312"/>
          <w:sz w:val="32"/>
          <w:szCs w:val="32"/>
        </w:rPr>
        <w:t>通过</w:t>
      </w:r>
      <w:r>
        <w:rPr>
          <w:rFonts w:hint="eastAsia" w:ascii="仿宋_GB2312" w:hAnsi="仿宋_GB2312" w:eastAsia="仿宋_GB2312" w:cs="仿宋_GB2312"/>
          <w:sz w:val="32"/>
          <w:szCs w:val="32"/>
        </w:rPr>
        <w:t>通过项目实施，保障</w:t>
      </w:r>
      <w:r>
        <w:rPr>
          <w:rFonts w:hint="eastAsia" w:ascii="仿宋_GB2312" w:hAnsi="仿宋_GB2312" w:eastAsia="仿宋_GB2312" w:cs="仿宋_GB2312"/>
          <w:sz w:val="32"/>
          <w:szCs w:val="32"/>
          <w:lang w:val="en-US" w:eastAsia="zh-CN"/>
        </w:rPr>
        <w:t>了我单位</w:t>
      </w:r>
      <w:r>
        <w:rPr>
          <w:rFonts w:hint="eastAsia" w:ascii="仿宋_GB2312" w:hAnsi="仿宋_GB2312" w:eastAsia="仿宋_GB2312" w:cs="仿宋_GB2312"/>
          <w:sz w:val="32"/>
          <w:szCs w:val="32"/>
        </w:rPr>
        <w:t>成都招商分局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广东招商分局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浙江招商分局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北京</w:t>
      </w:r>
      <w:r>
        <w:rPr>
          <w:rFonts w:hint="eastAsia" w:ascii="仿宋_GB2312" w:hAnsi="仿宋_GB2312" w:eastAsia="仿宋_GB2312" w:cs="仿宋_GB2312"/>
          <w:sz w:val="32"/>
          <w:szCs w:val="32"/>
        </w:rPr>
        <w:t>招商分局招商工作顺利开展。</w:t>
      </w:r>
      <w:r>
        <w:rPr>
          <w:rFonts w:hint="eastAsia" w:ascii="仿宋_GB2312" w:hAnsi="仿宋_GB2312" w:eastAsia="仿宋_GB2312" w:cs="仿宋_GB2312"/>
          <w:sz w:val="32"/>
          <w:szCs w:val="32"/>
          <w:lang w:val="en-US" w:eastAsia="zh-CN"/>
        </w:rPr>
        <w:t xml:space="preserve"> </w:t>
      </w:r>
    </w:p>
    <w:p>
      <w:pPr>
        <w:pStyle w:val="35"/>
        <w:keepNext w:val="0"/>
        <w:keepLines w:val="0"/>
        <w:pageBreakBefore w:val="0"/>
        <w:widowControl w:val="0"/>
        <w:numPr>
          <w:ilvl w:val="0"/>
          <w:numId w:val="0"/>
        </w:numPr>
        <w:kinsoku/>
        <w:wordWrap/>
        <w:overflowPunct/>
        <w:topLinePunct w:val="0"/>
        <w:autoSpaceDE/>
        <w:autoSpaceDN/>
        <w:bidi w:val="0"/>
        <w:adjustRightInd/>
        <w:snapToGrid w:val="0"/>
        <w:spacing w:line="576" w:lineRule="exact"/>
        <w:ind w:leftChars="0" w:firstLine="640" w:firstLineChars="200"/>
        <w:textAlignment w:val="auto"/>
        <w:outlineLvl w:val="9"/>
        <w:rPr>
          <w:rFonts w:hint="eastAsia" w:ascii="仿宋_GB2312" w:eastAsia="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eastAsia="仿宋_GB2312"/>
          <w:sz w:val="32"/>
          <w:szCs w:val="32"/>
        </w:rPr>
        <w:t>计划实现的具体绩效目标</w:t>
      </w:r>
      <w:r>
        <w:rPr>
          <w:rFonts w:hint="eastAsia" w:ascii="仿宋_GB2312" w:eastAsia="仿宋_GB2312"/>
          <w:sz w:val="32"/>
          <w:szCs w:val="32"/>
          <w:lang w:eastAsia="zh-CN"/>
        </w:rPr>
        <w:t>：</w:t>
      </w:r>
      <w:r>
        <w:rPr>
          <w:rFonts w:hint="eastAsia" w:ascii="仿宋_GB2312" w:eastAsia="仿宋_GB2312"/>
          <w:sz w:val="32"/>
          <w:szCs w:val="32"/>
          <w:lang w:val="en-US" w:eastAsia="zh-CN"/>
        </w:rPr>
        <w:t>完成成都、广东、浙江、北京4个招商分局招商任务，</w:t>
      </w:r>
      <w:r>
        <w:rPr>
          <w:rFonts w:hint="eastAsia" w:ascii="仿宋_GB2312" w:hAnsi="仿宋_GB2312" w:eastAsia="仿宋_GB2312" w:cs="仿宋_GB2312"/>
          <w:b w:val="0"/>
          <w:bCs/>
          <w:color w:val="auto"/>
          <w:kern w:val="2"/>
          <w:sz w:val="32"/>
          <w:szCs w:val="32"/>
          <w:lang w:val="en-US" w:eastAsia="zh-CN" w:bidi="ar-SA"/>
        </w:rPr>
        <w:t>引进市外到位资金82亿元，其中，工业到位资金45亿元，省外（5+1）到位资金30亿元，利用外资1000万元，其中FDI资金100万美元，实现利用外资从“零”到超额完成目标任务的重大历史性突破。</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lang w:eastAsia="zh-CN"/>
        </w:rPr>
        <w:t>（</w:t>
      </w:r>
      <w:r>
        <w:rPr>
          <w:rFonts w:hint="eastAsia" w:ascii="楷体_GB2312" w:eastAsia="楷体_GB2312"/>
          <w:b/>
          <w:sz w:val="32"/>
          <w:szCs w:val="32"/>
          <w:lang w:val="en-US" w:eastAsia="zh-CN"/>
        </w:rPr>
        <w:t>三</w:t>
      </w:r>
      <w:r>
        <w:rPr>
          <w:rFonts w:hint="eastAsia" w:ascii="楷体_GB2312" w:eastAsia="楷体_GB2312"/>
          <w:b/>
          <w:sz w:val="32"/>
          <w:szCs w:val="32"/>
          <w:lang w:eastAsia="zh-CN"/>
        </w:rPr>
        <w:t>）</w:t>
      </w:r>
      <w:r>
        <w:rPr>
          <w:rFonts w:hint="eastAsia" w:ascii="楷体_GB2312" w:eastAsia="楷体_GB2312"/>
          <w:b/>
          <w:sz w:val="32"/>
          <w:szCs w:val="32"/>
        </w:rPr>
        <w:t>项目资金申报相符性。</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eastAsia="zh-CN"/>
        </w:rPr>
        <w:t>本乡该资金使用情况严格按照项目申报内容实施，申报目标基本合理。</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sz w:val="32"/>
          <w:szCs w:val="32"/>
        </w:rPr>
      </w:pPr>
      <w:bookmarkStart w:id="114" w:name="_Toc21114"/>
      <w:bookmarkStart w:id="115" w:name="_Toc1277"/>
      <w:r>
        <w:rPr>
          <w:rFonts w:hint="eastAsia" w:ascii="黑体" w:hAnsi="黑体" w:eastAsia="黑体"/>
          <w:sz w:val="32"/>
          <w:szCs w:val="32"/>
        </w:rPr>
        <w:t>二、项目实施及管理情况</w:t>
      </w:r>
      <w:bookmarkEnd w:id="114"/>
      <w:bookmarkEnd w:id="115"/>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（一）资金计划、到位及使用情况。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1．资金计划及到位。</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我单位及时</w:t>
      </w:r>
      <w:r>
        <w:rPr>
          <w:rFonts w:hint="eastAsia" w:ascii="仿宋_GB2312" w:eastAsia="仿宋_GB2312"/>
          <w:sz w:val="32"/>
          <w:szCs w:val="32"/>
        </w:rPr>
        <w:t>将资金到位情况与资金计划进行比对，资金到位率</w:t>
      </w:r>
      <w:r>
        <w:rPr>
          <w:rFonts w:hint="eastAsia" w:ascii="仿宋_GB2312" w:eastAsia="仿宋_GB2312"/>
          <w:sz w:val="32"/>
          <w:szCs w:val="32"/>
          <w:lang w:val="en-US" w:eastAsia="zh-CN"/>
        </w:rPr>
        <w:t>100%</w:t>
      </w:r>
      <w:r>
        <w:rPr>
          <w:rFonts w:hint="eastAsia" w:ascii="仿宋_GB2312" w:eastAsia="仿宋_GB2312"/>
          <w:sz w:val="32"/>
          <w:szCs w:val="32"/>
        </w:rPr>
        <w:t>、到位及时。</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2．资金使用。</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2021年底</w:t>
      </w:r>
      <w:r>
        <w:rPr>
          <w:rFonts w:hint="eastAsia" w:ascii="仿宋_GB2312" w:eastAsia="仿宋_GB2312"/>
          <w:sz w:val="32"/>
          <w:szCs w:val="32"/>
          <w:lang w:eastAsia="zh-CN"/>
        </w:rPr>
        <w:t>本单位</w:t>
      </w:r>
      <w:r>
        <w:rPr>
          <w:rFonts w:hint="eastAsia" w:ascii="仿宋_GB2312" w:eastAsia="仿宋_GB2312"/>
          <w:sz w:val="32"/>
          <w:szCs w:val="32"/>
        </w:rPr>
        <w:t>项目资金的实际支出</w:t>
      </w:r>
      <w:r>
        <w:rPr>
          <w:rFonts w:hint="eastAsia" w:ascii="仿宋_GB2312" w:eastAsia="仿宋_GB2312"/>
          <w:sz w:val="32"/>
          <w:szCs w:val="32"/>
          <w:lang w:val="en-US" w:eastAsia="zh-CN"/>
        </w:rPr>
        <w:t>104万元，</w:t>
      </w:r>
      <w:r>
        <w:rPr>
          <w:rFonts w:hint="eastAsia" w:ascii="仿宋_GB2312" w:eastAsia="仿宋_GB2312"/>
          <w:sz w:val="32"/>
          <w:szCs w:val="32"/>
        </w:rPr>
        <w:t>支付依据合规合法，资金支付与预算相符</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（二）项目财务管理情况。</w:t>
      </w:r>
    </w:p>
    <w:p>
      <w:pPr>
        <w:keepNext w:val="0"/>
        <w:keepLines w:val="0"/>
        <w:pageBreakBefore w:val="0"/>
        <w:widowControl/>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eastAsia="仿宋_GB2312"/>
          <w:sz w:val="32"/>
          <w:szCs w:val="32"/>
          <w:lang w:val="en-US" w:eastAsia="zh-CN"/>
        </w:rPr>
        <w:t>2021年我中心</w:t>
      </w:r>
      <w:r>
        <w:rPr>
          <w:rFonts w:hint="eastAsia" w:ascii="仿宋_GB2312" w:hAnsi="仿宋_GB2312" w:eastAsia="仿宋_GB2312" w:cs="仿宋_GB2312"/>
          <w:sz w:val="32"/>
          <w:szCs w:val="32"/>
          <w:lang w:val="en-US" w:eastAsia="zh-CN"/>
        </w:rPr>
        <w:t>参加“2021中外知名企业四川行”、“2021川商发展大会川”、“第三届西博会进出口展暨国际投资大会”、“广元市承接海盐县产业转移专题投资促进活动”等重大活动8批次以及2021年县领导带队赴成都、北京、江苏、浙江、重庆、江西等地开展投促活动共计13次，</w:t>
      </w:r>
      <w:r>
        <w:rPr>
          <w:rFonts w:hint="eastAsia" w:ascii="仿宋_GB2312" w:hAnsi="仿宋_GB2312" w:eastAsia="仿宋_GB2312" w:cs="仿宋_GB2312"/>
          <w:b w:val="0"/>
          <w:bCs/>
          <w:color w:val="auto"/>
          <w:kern w:val="2"/>
          <w:sz w:val="32"/>
          <w:szCs w:val="32"/>
          <w:lang w:val="en-US" w:eastAsia="zh-CN" w:bidi="ar-SA"/>
        </w:rPr>
        <w:t>先后</w:t>
      </w:r>
      <w:r>
        <w:rPr>
          <w:rFonts w:hint="default" w:ascii="仿宋_GB2312" w:hAnsi="仿宋_GB2312" w:eastAsia="仿宋_GB2312" w:cs="仿宋_GB2312"/>
          <w:b w:val="0"/>
          <w:bCs/>
          <w:color w:val="auto"/>
          <w:kern w:val="2"/>
          <w:sz w:val="32"/>
          <w:szCs w:val="32"/>
          <w:lang w:val="en-US" w:eastAsia="zh-CN" w:bidi="ar-SA"/>
        </w:rPr>
        <w:t>获取</w:t>
      </w:r>
      <w:r>
        <w:rPr>
          <w:rFonts w:hint="eastAsia" w:ascii="仿宋_GB2312" w:hAnsi="仿宋_GB2312" w:eastAsia="仿宋_GB2312" w:cs="仿宋_GB2312"/>
          <w:b w:val="0"/>
          <w:bCs/>
          <w:color w:val="auto"/>
          <w:kern w:val="2"/>
          <w:sz w:val="32"/>
          <w:szCs w:val="32"/>
          <w:lang w:val="en-US" w:eastAsia="zh-CN" w:bidi="ar-SA"/>
        </w:rPr>
        <w:t>三峡集团、吉祥年集团、中节能等企业</w:t>
      </w:r>
      <w:r>
        <w:rPr>
          <w:rFonts w:hint="default" w:ascii="仿宋_GB2312" w:hAnsi="仿宋_GB2312" w:eastAsia="仿宋_GB2312" w:cs="仿宋_GB2312"/>
          <w:b w:val="0"/>
          <w:bCs/>
          <w:color w:val="auto"/>
          <w:kern w:val="2"/>
          <w:sz w:val="32"/>
          <w:szCs w:val="32"/>
          <w:lang w:val="en-US" w:eastAsia="zh-CN" w:bidi="ar-SA"/>
        </w:rPr>
        <w:t>有效</w:t>
      </w:r>
      <w:r>
        <w:rPr>
          <w:rFonts w:hint="eastAsia" w:ascii="仿宋_GB2312" w:hAnsi="仿宋_GB2312" w:eastAsia="仿宋_GB2312" w:cs="仿宋_GB2312"/>
          <w:b w:val="0"/>
          <w:bCs/>
          <w:color w:val="auto"/>
          <w:kern w:val="2"/>
          <w:sz w:val="32"/>
          <w:szCs w:val="32"/>
          <w:lang w:val="en-US" w:eastAsia="zh-CN" w:bidi="ar-SA"/>
        </w:rPr>
        <w:t>投资信息60</w:t>
      </w:r>
      <w:r>
        <w:rPr>
          <w:rFonts w:hint="default" w:ascii="仿宋_GB2312" w:hAnsi="仿宋_GB2312" w:eastAsia="仿宋_GB2312" w:cs="仿宋_GB2312"/>
          <w:b w:val="0"/>
          <w:bCs/>
          <w:color w:val="auto"/>
          <w:kern w:val="2"/>
          <w:sz w:val="32"/>
          <w:szCs w:val="32"/>
          <w:lang w:val="en-US" w:eastAsia="zh-CN" w:bidi="ar-SA"/>
        </w:rPr>
        <w:t>余条，形成</w:t>
      </w:r>
      <w:r>
        <w:rPr>
          <w:rFonts w:hint="eastAsia" w:ascii="仿宋_GB2312" w:hAnsi="仿宋_GB2312" w:eastAsia="仿宋_GB2312" w:cs="仿宋_GB2312"/>
          <w:b w:val="0"/>
          <w:bCs/>
          <w:color w:val="auto"/>
          <w:kern w:val="2"/>
          <w:sz w:val="32"/>
          <w:szCs w:val="32"/>
          <w:lang w:val="en-US" w:eastAsia="zh-CN" w:bidi="ar-SA"/>
        </w:rPr>
        <w:t>重点跟踪</w:t>
      </w:r>
      <w:r>
        <w:rPr>
          <w:rFonts w:hint="default" w:ascii="仿宋_GB2312" w:hAnsi="仿宋_GB2312" w:eastAsia="仿宋_GB2312" w:cs="仿宋_GB2312"/>
          <w:b w:val="0"/>
          <w:bCs/>
          <w:color w:val="auto"/>
          <w:kern w:val="2"/>
          <w:sz w:val="32"/>
          <w:szCs w:val="32"/>
          <w:lang w:val="en-US" w:eastAsia="zh-CN" w:bidi="ar-SA"/>
        </w:rPr>
        <w:t>在谈</w:t>
      </w:r>
      <w:r>
        <w:rPr>
          <w:rFonts w:hint="eastAsia" w:ascii="仿宋_GB2312" w:hAnsi="仿宋_GB2312" w:eastAsia="仿宋_GB2312" w:cs="仿宋_GB2312"/>
          <w:b w:val="0"/>
          <w:bCs/>
          <w:color w:val="auto"/>
          <w:kern w:val="2"/>
          <w:sz w:val="32"/>
          <w:szCs w:val="32"/>
          <w:lang w:val="en-US" w:eastAsia="zh-CN" w:bidi="ar-SA"/>
        </w:rPr>
        <w:t>工业</w:t>
      </w:r>
      <w:r>
        <w:rPr>
          <w:rFonts w:hint="default" w:ascii="仿宋_GB2312" w:hAnsi="仿宋_GB2312" w:eastAsia="仿宋_GB2312" w:cs="仿宋_GB2312"/>
          <w:b w:val="0"/>
          <w:bCs/>
          <w:color w:val="auto"/>
          <w:kern w:val="2"/>
          <w:sz w:val="32"/>
          <w:szCs w:val="32"/>
          <w:lang w:val="en-US" w:eastAsia="zh-CN" w:bidi="ar-SA"/>
        </w:rPr>
        <w:t>项目</w:t>
      </w:r>
      <w:r>
        <w:rPr>
          <w:rFonts w:hint="eastAsia" w:ascii="仿宋_GB2312" w:hAnsi="仿宋_GB2312" w:eastAsia="仿宋_GB2312" w:cs="仿宋_GB2312"/>
          <w:b w:val="0"/>
          <w:bCs/>
          <w:color w:val="auto"/>
          <w:kern w:val="2"/>
          <w:sz w:val="32"/>
          <w:szCs w:val="32"/>
          <w:lang w:val="en-US" w:eastAsia="zh-CN" w:bidi="ar-SA"/>
        </w:rPr>
        <w:t>21个，累计意向投资金额150余亿元。</w:t>
      </w:r>
      <w:r>
        <w:rPr>
          <w:rFonts w:hint="eastAsia" w:ascii="仿宋_GB2312" w:hAnsi="仿宋_GB2312" w:eastAsia="仿宋_GB2312" w:cs="仿宋_GB2312"/>
          <w:sz w:val="32"/>
          <w:szCs w:val="32"/>
          <w:lang w:val="en-US" w:eastAsia="zh-CN"/>
        </w:rPr>
        <w:t>2021年自主举办“旺苍县民营企业家及在外创业返乡人士代表座谈会”、“旺苍籍在外创业成功人士及在旺投资民营企业家座谈会”重大企业来访活动。</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eastAsia="楷体_GB2312"/>
          <w:b/>
          <w:sz w:val="32"/>
          <w:szCs w:val="32"/>
        </w:rPr>
      </w:pPr>
      <w:r>
        <w:rPr>
          <w:rFonts w:hint="eastAsia" w:ascii="仿宋_GB2312" w:eastAsia="仿宋_GB2312"/>
          <w:sz w:val="32"/>
          <w:szCs w:val="32"/>
          <w:lang w:val="en-US" w:eastAsia="zh-CN"/>
        </w:rPr>
        <w:t>我单位</w:t>
      </w:r>
      <w:r>
        <w:rPr>
          <w:rFonts w:hint="eastAsia" w:ascii="仿宋_GB2312" w:eastAsia="仿宋_GB2312"/>
          <w:sz w:val="32"/>
          <w:szCs w:val="32"/>
          <w:lang w:eastAsia="zh-CN"/>
        </w:rPr>
        <w:t>按照</w:t>
      </w:r>
      <w:r>
        <w:rPr>
          <w:rFonts w:hint="eastAsia" w:ascii="仿宋_GB2312" w:eastAsia="仿宋_GB2312"/>
          <w:sz w:val="32"/>
          <w:szCs w:val="32"/>
        </w:rPr>
        <w:t>项目资金管理办法，评价项目</w:t>
      </w:r>
      <w:r>
        <w:rPr>
          <w:rFonts w:hint="eastAsia" w:ascii="仿宋_GB2312" w:eastAsia="仿宋_GB2312"/>
          <w:sz w:val="32"/>
          <w:szCs w:val="32"/>
          <w:lang w:eastAsia="zh-CN"/>
        </w:rPr>
        <w:t>是否</w:t>
      </w:r>
      <w:r>
        <w:rPr>
          <w:rFonts w:hint="eastAsia" w:ascii="仿宋_GB2312" w:eastAsia="仿宋_GB2312"/>
          <w:sz w:val="32"/>
          <w:szCs w:val="32"/>
        </w:rPr>
        <w:t>严格执行财务管理制度</w:t>
      </w:r>
      <w:r>
        <w:rPr>
          <w:rFonts w:hint="eastAsia" w:ascii="仿宋_GB2312" w:eastAsia="仿宋_GB2312"/>
          <w:sz w:val="32"/>
          <w:szCs w:val="32"/>
          <w:lang w:eastAsia="zh-CN"/>
        </w:rPr>
        <w:t>，对于符合财务管理制度的及时申报资金支付，进行账务</w:t>
      </w:r>
      <w:r>
        <w:rPr>
          <w:rFonts w:hint="eastAsia" w:ascii="仿宋_GB2312" w:eastAsia="仿宋_GB2312"/>
          <w:sz w:val="32"/>
          <w:szCs w:val="32"/>
        </w:rPr>
        <w:t>处理</w:t>
      </w:r>
      <w:r>
        <w:rPr>
          <w:rFonts w:hint="eastAsia" w:ascii="仿宋_GB2312" w:eastAsia="仿宋_GB2312"/>
          <w:sz w:val="32"/>
          <w:szCs w:val="32"/>
          <w:lang w:eastAsia="zh-CN"/>
        </w:rPr>
        <w:t>、</w:t>
      </w:r>
      <w:r>
        <w:rPr>
          <w:rFonts w:hint="eastAsia" w:ascii="仿宋_GB2312" w:eastAsia="仿宋_GB2312"/>
          <w:sz w:val="32"/>
          <w:szCs w:val="32"/>
        </w:rPr>
        <w:t>会计核算。</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（三）项目组织实施情况。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黑体" w:hAnsi="黑体" w:eastAsia="黑体"/>
          <w:sz w:val="32"/>
          <w:szCs w:val="32"/>
          <w:lang w:val="en-US" w:eastAsia="zh-CN"/>
        </w:rPr>
      </w:pPr>
      <w:r>
        <w:rPr>
          <w:rFonts w:hint="eastAsia" w:ascii="仿宋_GB2312" w:eastAsia="仿宋_GB2312"/>
          <w:sz w:val="32"/>
          <w:szCs w:val="32"/>
          <w:lang w:eastAsia="zh-CN"/>
        </w:rPr>
        <w:t>我单位严格按照年初计划由</w:t>
      </w:r>
      <w:r>
        <w:rPr>
          <w:rFonts w:hint="eastAsia" w:ascii="仿宋_GB2312" w:eastAsia="仿宋_GB2312"/>
          <w:sz w:val="32"/>
          <w:szCs w:val="32"/>
          <w:lang w:val="en-US" w:eastAsia="zh-CN"/>
        </w:rPr>
        <w:t>成都、广东、浙江、北京4个招商分局</w:t>
      </w:r>
      <w:r>
        <w:rPr>
          <w:rFonts w:hint="eastAsia" w:ascii="仿宋_GB2312" w:eastAsia="仿宋_GB2312"/>
          <w:sz w:val="32"/>
          <w:szCs w:val="32"/>
          <w:lang w:eastAsia="zh-CN"/>
        </w:rPr>
        <w:t>负责实施具体的事宜，实施过程中由</w:t>
      </w:r>
      <w:r>
        <w:rPr>
          <w:rFonts w:hint="eastAsia" w:ascii="仿宋_GB2312" w:eastAsia="仿宋_GB2312"/>
          <w:sz w:val="32"/>
          <w:szCs w:val="32"/>
          <w:lang w:val="en-US" w:eastAsia="zh-CN"/>
        </w:rPr>
        <w:t>办公室</w:t>
      </w:r>
      <w:r>
        <w:rPr>
          <w:rFonts w:hint="eastAsia" w:ascii="仿宋_GB2312" w:eastAsia="仿宋_GB2312"/>
          <w:sz w:val="32"/>
          <w:szCs w:val="32"/>
          <w:lang w:eastAsia="zh-CN"/>
        </w:rPr>
        <w:t>监督执行。年终所有计划均已完成，实施过程中发生的相关经费开支严格按照资金管理制度申报、初审，再经</w:t>
      </w:r>
      <w:r>
        <w:rPr>
          <w:rFonts w:hint="eastAsia" w:ascii="仿宋_GB2312" w:eastAsia="仿宋_GB2312"/>
          <w:sz w:val="32"/>
          <w:szCs w:val="32"/>
          <w:lang w:val="en-US" w:eastAsia="zh-CN"/>
        </w:rPr>
        <w:t>中心领导</w:t>
      </w:r>
      <w:r>
        <w:rPr>
          <w:rFonts w:hint="eastAsia" w:ascii="仿宋_GB2312" w:eastAsia="仿宋_GB2312"/>
          <w:sz w:val="32"/>
          <w:szCs w:val="32"/>
          <w:lang w:eastAsia="zh-CN"/>
        </w:rPr>
        <w:t>审核报账。</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sz w:val="32"/>
          <w:szCs w:val="32"/>
        </w:rPr>
      </w:pPr>
      <w:bookmarkStart w:id="116" w:name="_Toc29837"/>
      <w:bookmarkStart w:id="117" w:name="_Toc19332"/>
      <w:r>
        <w:rPr>
          <w:rFonts w:hint="eastAsia" w:ascii="黑体" w:hAnsi="黑体" w:eastAsia="黑体"/>
          <w:sz w:val="32"/>
          <w:szCs w:val="32"/>
        </w:rPr>
        <w:t>三、项目绩效情况</w:t>
      </w:r>
      <w:bookmarkEnd w:id="116"/>
      <w:bookmarkEnd w:id="117"/>
      <w:r>
        <w:rPr>
          <w:rFonts w:hint="eastAsia" w:ascii="黑体" w:hAnsi="黑体" w:eastAsia="黑体"/>
          <w:sz w:val="32"/>
          <w:szCs w:val="32"/>
        </w:rPr>
        <w:tab/>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（一）项目完成情况。</w:t>
      </w:r>
    </w:p>
    <w:p>
      <w:pPr>
        <w:keepNext w:val="0"/>
        <w:keepLines w:val="0"/>
        <w:pageBreakBefore w:val="0"/>
        <w:widowControl w:val="0"/>
        <w:numPr>
          <w:ilvl w:val="0"/>
          <w:numId w:val="0"/>
        </w:numPr>
        <w:kinsoku/>
        <w:wordWrap/>
        <w:overflowPunct/>
        <w:topLinePunct w:val="0"/>
        <w:autoSpaceDE/>
        <w:autoSpaceDN/>
        <w:bidi w:val="0"/>
        <w:adjustRightInd/>
        <w:snapToGrid w:val="0"/>
        <w:spacing w:line="576" w:lineRule="exact"/>
        <w:ind w:leftChars="0"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项目全年预算数</w:t>
      </w:r>
      <w:r>
        <w:rPr>
          <w:rFonts w:hint="eastAsia" w:ascii="仿宋_GB2312" w:hAnsi="仿宋_GB2312" w:eastAsia="仿宋_GB2312" w:cs="仿宋_GB2312"/>
          <w:sz w:val="32"/>
          <w:szCs w:val="32"/>
          <w:lang w:val="en-US" w:eastAsia="zh-CN"/>
        </w:rPr>
        <w:t>104</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104</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w:t>
      </w:r>
      <w:r>
        <w:rPr>
          <w:rFonts w:hint="eastAsia" w:ascii="仿宋" w:hAnsi="仿宋" w:eastAsia="仿宋" w:cs="仿宋"/>
          <w:color w:val="auto"/>
          <w:sz w:val="32"/>
          <w:szCs w:val="40"/>
          <w:lang w:val="en-US" w:eastAsia="zh-CN"/>
        </w:rPr>
        <w:t>共引进市外到位资金117.2亿元，省外到位资金55.62亿元，</w:t>
      </w:r>
      <w:r>
        <w:rPr>
          <w:rFonts w:hint="eastAsia" w:ascii="仿宋" w:hAnsi="仿宋" w:eastAsia="仿宋" w:cs="仿宋"/>
          <w:b w:val="0"/>
          <w:bCs w:val="0"/>
          <w:color w:val="auto"/>
          <w:spacing w:val="-11"/>
          <w:sz w:val="32"/>
          <w:szCs w:val="40"/>
          <w:lang w:val="en-US" w:eastAsia="zh-CN"/>
        </w:rPr>
        <w:t>工业到位资金58.61亿，</w:t>
      </w:r>
      <w:r>
        <w:rPr>
          <w:rFonts w:hint="eastAsia" w:ascii="仿宋_GB2312" w:hAnsi="仿宋_GB2312" w:eastAsia="仿宋_GB2312" w:cs="仿宋_GB2312"/>
          <w:color w:val="auto"/>
          <w:sz w:val="32"/>
          <w:szCs w:val="32"/>
          <w:shd w:val="clear" w:color="auto" w:fill="FFFFFF"/>
          <w:lang w:val="en-US" w:eastAsia="zh-CN"/>
        </w:rPr>
        <w:t>新签约项目50个，新开工项目46个，</w:t>
      </w:r>
      <w:r>
        <w:rPr>
          <w:rFonts w:hint="eastAsia" w:ascii="仿宋" w:hAnsi="仿宋" w:eastAsia="仿宋" w:cs="仿宋"/>
          <w:b w:val="0"/>
          <w:bCs w:val="0"/>
          <w:color w:val="auto"/>
          <w:sz w:val="32"/>
          <w:szCs w:val="40"/>
          <w:lang w:val="en-US" w:eastAsia="zh-CN"/>
        </w:rPr>
        <w:t>纳入2019年省督办项目履约</w:t>
      </w:r>
      <w:r>
        <w:rPr>
          <w:rFonts w:hint="eastAsia" w:ascii="仿宋" w:hAnsi="仿宋" w:eastAsia="仿宋" w:cs="仿宋"/>
          <w:b w:val="0"/>
          <w:bCs w:val="0"/>
          <w:color w:val="auto"/>
          <w:spacing w:val="-11"/>
          <w:sz w:val="32"/>
          <w:szCs w:val="40"/>
          <w:lang w:val="en-US" w:eastAsia="zh-CN"/>
        </w:rPr>
        <w:t>率、开工率、资金到位率、投产率分别为100%、100%、93.6%、100%。</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（二）项目效益情况。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招商引资对我县经济发展作用非常重要，可以说，牵一发而动全身。只有通过招商引资，引进资金、人才、技术，将现有资源优势、区位优势、交通优势、载体优势、原料优势转化为生产力，形成产业集群，带动一产、三产竞相发展，为百姓谋取更多福祉，推进县委、县政府确定的即定发展目标更快地实现。</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sz w:val="32"/>
          <w:szCs w:val="32"/>
        </w:rPr>
      </w:pPr>
      <w:bookmarkStart w:id="118" w:name="_Toc27357"/>
      <w:bookmarkStart w:id="119" w:name="_Toc16515"/>
      <w:r>
        <w:rPr>
          <w:rFonts w:hint="eastAsia" w:ascii="黑体" w:hAnsi="黑体" w:eastAsia="黑体"/>
          <w:sz w:val="32"/>
          <w:szCs w:val="32"/>
        </w:rPr>
        <w:t>四、问题及建议</w:t>
      </w:r>
      <w:bookmarkEnd w:id="118"/>
      <w:bookmarkEnd w:id="119"/>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（一）存在的问题。</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资金方面，招商分局业务经费有限，对当前的招商工作，存在资金缺口</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仿宋_GB2312" w:eastAsia="仿宋_GB2312"/>
          <w:spacing w:val="-8"/>
          <w:sz w:val="32"/>
          <w:szCs w:val="32"/>
        </w:rPr>
      </w:pPr>
      <w:r>
        <w:rPr>
          <w:rFonts w:hint="eastAsia" w:ascii="楷体_GB2312" w:eastAsia="楷体_GB2312"/>
          <w:b/>
          <w:sz w:val="32"/>
          <w:szCs w:val="32"/>
        </w:rPr>
        <w:t>（二）相关建议。</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方正小标宋简体" w:hAnsi="宋体" w:eastAsia="方正小标宋简体"/>
          <w:b/>
          <w:sz w:val="44"/>
          <w:szCs w:val="44"/>
        </w:rPr>
      </w:pPr>
      <w:r>
        <w:rPr>
          <w:rFonts w:hint="eastAsia" w:ascii="仿宋_GB2312" w:hAnsi="仿宋_GB2312" w:eastAsia="仿宋_GB2312" w:cs="仿宋_GB2312"/>
          <w:sz w:val="32"/>
          <w:szCs w:val="32"/>
          <w:lang w:val="en-US" w:eastAsia="zh-CN"/>
        </w:rPr>
        <w:t>提高预算资金，提高资金使用效率。</w:t>
      </w:r>
      <w:r>
        <w:rPr>
          <w:rFonts w:hint="eastAsia" w:ascii="方正小标宋简体" w:hAnsi="宋体" w:eastAsia="方正小标宋简体"/>
          <w:b/>
          <w:sz w:val="44"/>
          <w:szCs w:val="44"/>
        </w:rPr>
        <w:t xml:space="preserve"> </w:t>
      </w:r>
    </w:p>
    <w:p>
      <w:pPr>
        <w:keepNext w:val="0"/>
        <w:keepLines w:val="0"/>
        <w:pageBreakBefore w:val="0"/>
        <w:kinsoku/>
        <w:wordWrap/>
        <w:overflowPunct/>
        <w:topLinePunct w:val="0"/>
        <w:autoSpaceDE/>
        <w:autoSpaceDN/>
        <w:bidi w:val="0"/>
        <w:adjustRightInd/>
        <w:spacing w:line="576" w:lineRule="exact"/>
        <w:jc w:val="center"/>
        <w:textAlignment w:val="auto"/>
        <w:rPr>
          <w:rFonts w:hint="eastAsia" w:ascii="方正小标宋简体" w:hAnsi="宋体" w:eastAsia="方正小标宋简体"/>
          <w:b/>
          <w:sz w:val="44"/>
          <w:szCs w:val="44"/>
        </w:rPr>
      </w:pPr>
    </w:p>
    <w:p>
      <w:pPr>
        <w:jc w:val="center"/>
        <w:rPr>
          <w:rFonts w:hint="eastAsia" w:ascii="方正小标宋简体" w:hAnsi="宋体" w:eastAsia="方正小标宋简体"/>
          <w:b/>
          <w:sz w:val="44"/>
          <w:szCs w:val="44"/>
        </w:rPr>
      </w:pPr>
    </w:p>
    <w:p>
      <w:pPr>
        <w:jc w:val="both"/>
        <w:rPr>
          <w:rFonts w:hint="eastAsia" w:ascii="方正小标宋简体" w:hAnsi="宋体" w:eastAsia="方正小标宋简体"/>
          <w:b/>
          <w:sz w:val="44"/>
          <w:szCs w:val="44"/>
        </w:rPr>
      </w:pPr>
    </w:p>
    <w:p>
      <w:pPr>
        <w:pStyle w:val="2"/>
        <w:rPr>
          <w:rFonts w:hint="eastAsia" w:ascii="方正小标宋简体" w:hAnsi="宋体" w:eastAsia="方正小标宋简体"/>
          <w:b/>
          <w:sz w:val="44"/>
          <w:szCs w:val="44"/>
        </w:rPr>
      </w:pPr>
    </w:p>
    <w:p>
      <w:pPr>
        <w:rPr>
          <w:rFonts w:hint="eastAsia" w:ascii="方正小标宋简体" w:hAnsi="宋体" w:eastAsia="方正小标宋简体"/>
          <w:b/>
          <w:sz w:val="44"/>
          <w:szCs w:val="44"/>
        </w:rPr>
      </w:pPr>
    </w:p>
    <w:p>
      <w:pPr>
        <w:pStyle w:val="2"/>
        <w:rPr>
          <w:rFonts w:hint="eastAsia" w:ascii="方正小标宋简体" w:hAnsi="宋体" w:eastAsia="方正小标宋简体"/>
          <w:b/>
          <w:sz w:val="44"/>
          <w:szCs w:val="44"/>
        </w:rPr>
      </w:pPr>
      <w:r>
        <w:rPr>
          <w:rFonts w:hint="eastAsia" w:ascii="仿宋_GB2312" w:hAnsi="宋体" w:eastAsia="仿宋_GB2312" w:cs="宋体"/>
          <w:b w:val="0"/>
          <w:bCs w:val="0"/>
          <w:color w:val="auto"/>
          <w:kern w:val="0"/>
          <w:sz w:val="32"/>
          <w:szCs w:val="32"/>
          <w:highlight w:val="none"/>
          <w:shd w:val="clear" w:color="auto" w:fill="FFFFFF"/>
          <w:lang w:val="zh-CN"/>
        </w:rPr>
        <w:object>
          <v:shape id="_x0000_i1032" o:spt="75" type="#_x0000_t75" style="height:477.95pt;width:415.1pt;" o:ole="t" filled="f" o:preferrelative="t" stroked="f" coordsize="21600,21600">
            <v:path/>
            <v:fill on="f" focussize="0,0"/>
            <v:stroke on="f"/>
            <v:imagedata r:id="rId26" o:title=""/>
            <o:lock v:ext="edit" aspectratio="f"/>
            <w10:wrap type="none"/>
            <w10:anchorlock/>
          </v:shape>
          <o:OLEObject Type="Embed" ProgID="Excel.Sheet.8" ShapeID="_x0000_i1032" DrawAspect="Content" ObjectID="_1468075733" r:id="rId25">
            <o:LockedField>false</o:LockedField>
          </o:OLEObject>
        </w:object>
      </w:r>
    </w:p>
    <w:p>
      <w:pPr>
        <w:rPr>
          <w:rFonts w:hint="eastAsia" w:ascii="方正小标宋简体" w:hAnsi="宋体" w:eastAsia="方正小标宋简体"/>
          <w:b/>
          <w:sz w:val="44"/>
          <w:szCs w:val="44"/>
        </w:rPr>
      </w:pPr>
    </w:p>
    <w:p>
      <w:pPr>
        <w:pStyle w:val="2"/>
        <w:rPr>
          <w:rFonts w:hint="eastAsia" w:ascii="方正小标宋简体" w:hAnsi="宋体" w:eastAsia="方正小标宋简体"/>
          <w:b/>
          <w:sz w:val="44"/>
          <w:szCs w:val="44"/>
        </w:rPr>
      </w:pPr>
    </w:p>
    <w:p>
      <w:pPr>
        <w:rPr>
          <w:rFonts w:hint="eastAsia" w:ascii="方正小标宋简体" w:hAnsi="宋体" w:eastAsia="方正小标宋简体"/>
          <w:b/>
          <w:sz w:val="44"/>
          <w:szCs w:val="44"/>
        </w:rPr>
      </w:pPr>
    </w:p>
    <w:p>
      <w:pPr>
        <w:pStyle w:val="34"/>
        <w:spacing w:line="240" w:lineRule="auto"/>
        <w:rPr>
          <w:rFonts w:hint="eastAsia" w:ascii="仿宋_GB2312" w:hAnsi="宋体" w:eastAsia="仿宋_GB2312"/>
          <w:sz w:val="32"/>
          <w:szCs w:val="32"/>
        </w:rPr>
      </w:pPr>
    </w:p>
    <w:p>
      <w:pPr>
        <w:pStyle w:val="34"/>
        <w:spacing w:line="240" w:lineRule="auto"/>
        <w:rPr>
          <w:rFonts w:hint="eastAsia" w:ascii="仿宋_GB2312" w:hAnsi="宋体" w:eastAsia="仿宋_GB2312"/>
          <w:sz w:val="32"/>
          <w:szCs w:val="32"/>
        </w:rPr>
      </w:pPr>
    </w:p>
    <w:p>
      <w:pPr>
        <w:keepNext w:val="0"/>
        <w:keepLines w:val="0"/>
        <w:pageBreakBefore w:val="0"/>
        <w:widowControl w:val="0"/>
        <w:kinsoku/>
        <w:wordWrap/>
        <w:overflowPunct/>
        <w:topLinePunct w:val="0"/>
        <w:autoSpaceDE/>
        <w:autoSpaceDN/>
        <w:bidi w:val="0"/>
        <w:spacing w:line="600" w:lineRule="exact"/>
        <w:jc w:val="center"/>
        <w:textAlignment w:val="auto"/>
        <w:outlineLvl w:val="1"/>
        <w:rPr>
          <w:rFonts w:hint="eastAsia" w:ascii="方正小标宋简体" w:hAnsi="方正小标宋简体" w:eastAsia="方正小标宋简体" w:cs="方正小标宋简体"/>
          <w:color w:val="auto"/>
          <w:kern w:val="2"/>
          <w:sz w:val="40"/>
          <w:szCs w:val="40"/>
          <w:highlight w:val="none"/>
          <w:lang w:val="zh-CN" w:eastAsia="zh-CN" w:bidi="ar-SA"/>
        </w:rPr>
      </w:pPr>
      <w:r>
        <w:rPr>
          <w:rFonts w:hint="eastAsia" w:ascii="方正小标宋简体" w:hAnsi="宋体" w:eastAsia="方正小标宋简体"/>
          <w:b/>
          <w:sz w:val="36"/>
          <w:szCs w:val="36"/>
        </w:rPr>
        <w:t xml:space="preserve"> </w:t>
      </w:r>
      <w:r>
        <w:rPr>
          <w:rFonts w:hint="eastAsia" w:ascii="方正小标宋简体" w:hAnsi="宋体" w:eastAsia="方正小标宋简体"/>
          <w:b/>
          <w:sz w:val="44"/>
          <w:szCs w:val="44"/>
        </w:rPr>
        <w:t xml:space="preserve"> </w:t>
      </w:r>
      <w:bookmarkStart w:id="120" w:name="_Toc25604"/>
      <w:bookmarkStart w:id="121" w:name="_Toc26354"/>
      <w:r>
        <w:rPr>
          <w:rFonts w:hint="eastAsia" w:ascii="方正小标宋简体" w:hAnsi="方正小标宋简体" w:eastAsia="方正小标宋简体" w:cs="方正小标宋简体"/>
          <w:color w:val="auto"/>
          <w:kern w:val="2"/>
          <w:sz w:val="40"/>
          <w:szCs w:val="40"/>
          <w:highlight w:val="none"/>
          <w:lang w:val="en-US" w:eastAsia="zh-CN" w:bidi="ar-SA"/>
        </w:rPr>
        <w:t>2021年</w:t>
      </w:r>
      <w:r>
        <w:rPr>
          <w:rFonts w:hint="eastAsia" w:ascii="方正小标宋简体" w:hAnsi="方正小标宋简体" w:eastAsia="方正小标宋简体" w:cs="方正小标宋简体"/>
          <w:color w:val="auto"/>
          <w:kern w:val="2"/>
          <w:sz w:val="40"/>
          <w:szCs w:val="40"/>
          <w:highlight w:val="none"/>
          <w:lang w:val="zh-CN" w:eastAsia="zh-CN" w:bidi="ar-SA"/>
        </w:rPr>
        <w:t>专项预算项目支出绩效自评报告</w:t>
      </w:r>
      <w:bookmarkEnd w:id="120"/>
      <w:bookmarkEnd w:id="121"/>
    </w:p>
    <w:p>
      <w:pPr>
        <w:jc w:val="center"/>
        <w:rPr>
          <w:rFonts w:hint="eastAsia" w:ascii="仿宋_GB2312" w:hAnsi="宋体" w:eastAsia="仿宋_GB2312"/>
          <w:sz w:val="32"/>
          <w:szCs w:val="32"/>
        </w:rPr>
      </w:pP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w:t>
      </w:r>
      <w:r>
        <w:rPr>
          <w:rFonts w:hint="eastAsia" w:ascii="仿宋_GB2312" w:hAnsi="宋体" w:eastAsia="仿宋_GB2312"/>
          <w:sz w:val="32"/>
          <w:szCs w:val="32"/>
          <w:lang w:val="en-US" w:eastAsia="zh-CN"/>
        </w:rPr>
        <w:t>基层党组织活动经费</w:t>
      </w:r>
      <w:r>
        <w:rPr>
          <w:rFonts w:hint="eastAsia" w:ascii="仿宋_GB2312" w:hAnsi="宋体" w:eastAsia="仿宋_GB2312"/>
          <w:sz w:val="32"/>
          <w:szCs w:val="32"/>
        </w:rPr>
        <w:t>）</w:t>
      </w:r>
    </w:p>
    <w:p>
      <w:pPr>
        <w:rPr>
          <w:rFonts w:ascii="宋体"/>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sz w:val="32"/>
          <w:szCs w:val="32"/>
        </w:rPr>
      </w:pPr>
      <w:bookmarkStart w:id="122" w:name="_Toc2947"/>
      <w:bookmarkStart w:id="123" w:name="_Toc18820"/>
      <w:r>
        <w:rPr>
          <w:rFonts w:hint="eastAsia" w:ascii="黑体" w:hAnsi="黑体" w:eastAsia="黑体"/>
          <w:sz w:val="32"/>
          <w:szCs w:val="32"/>
        </w:rPr>
        <w:t>一、项目概况</w:t>
      </w:r>
      <w:bookmarkEnd w:id="122"/>
      <w:bookmarkEnd w:id="123"/>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jc w:val="both"/>
        <w:textAlignment w:val="auto"/>
        <w:outlineLvl w:val="2"/>
        <w:rPr>
          <w:rFonts w:hint="eastAsia" w:ascii="仿宋_GB2312" w:eastAsia="仿宋_GB2312"/>
          <w:sz w:val="32"/>
          <w:szCs w:val="32"/>
        </w:rPr>
      </w:pPr>
      <w:r>
        <w:rPr>
          <w:rFonts w:hint="eastAsia" w:ascii="楷体_GB2312" w:eastAsia="楷体_GB2312"/>
          <w:b/>
          <w:sz w:val="32"/>
          <w:szCs w:val="32"/>
        </w:rPr>
        <w:t>（一）项目资金申报及批复情况。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我单位2021年初招商分局经费</w:t>
      </w:r>
      <w:r>
        <w:rPr>
          <w:rFonts w:hint="eastAsia" w:ascii="仿宋_GB2312" w:eastAsia="仿宋_GB2312"/>
          <w:sz w:val="32"/>
          <w:szCs w:val="32"/>
          <w:lang w:eastAsia="zh-CN"/>
        </w:rPr>
        <w:t>申报</w:t>
      </w:r>
      <w:r>
        <w:rPr>
          <w:rFonts w:hint="eastAsia" w:ascii="仿宋_GB2312" w:eastAsia="仿宋_GB2312"/>
          <w:sz w:val="32"/>
          <w:szCs w:val="32"/>
        </w:rPr>
        <w:t>数</w:t>
      </w:r>
      <w:r>
        <w:rPr>
          <w:rFonts w:hint="eastAsia" w:ascii="仿宋_GB2312" w:eastAsia="仿宋_GB2312"/>
          <w:sz w:val="32"/>
          <w:szCs w:val="32"/>
          <w:lang w:eastAsia="zh-CN"/>
        </w:rPr>
        <w:t>为</w:t>
      </w:r>
      <w:r>
        <w:rPr>
          <w:rFonts w:hint="eastAsia" w:ascii="仿宋_GB2312" w:eastAsia="仿宋_GB2312"/>
          <w:sz w:val="32"/>
          <w:szCs w:val="32"/>
          <w:lang w:val="en-US" w:eastAsia="zh-CN"/>
        </w:rPr>
        <w:t>1</w:t>
      </w:r>
      <w:r>
        <w:rPr>
          <w:rFonts w:hint="eastAsia" w:ascii="仿宋_GB2312" w:eastAsia="仿宋_GB2312"/>
          <w:sz w:val="32"/>
          <w:szCs w:val="32"/>
        </w:rPr>
        <w:t>万元，</w:t>
      </w:r>
      <w:r>
        <w:rPr>
          <w:rFonts w:hint="eastAsia" w:ascii="仿宋_GB2312" w:eastAsia="仿宋_GB2312"/>
          <w:sz w:val="32"/>
          <w:szCs w:val="32"/>
          <w:lang w:eastAsia="zh-CN"/>
        </w:rPr>
        <w:t>批复</w:t>
      </w:r>
      <w:r>
        <w:rPr>
          <w:rFonts w:hint="eastAsia" w:ascii="仿宋_GB2312" w:eastAsia="仿宋_GB2312"/>
          <w:sz w:val="32"/>
          <w:szCs w:val="32"/>
        </w:rPr>
        <w:t>数为</w:t>
      </w:r>
      <w:r>
        <w:rPr>
          <w:rFonts w:hint="eastAsia" w:ascii="仿宋_GB2312" w:eastAsia="仿宋_GB2312"/>
          <w:sz w:val="32"/>
          <w:szCs w:val="32"/>
          <w:lang w:val="en-US" w:eastAsia="zh-CN"/>
        </w:rPr>
        <w:t>1</w:t>
      </w:r>
      <w:r>
        <w:rPr>
          <w:rFonts w:hint="eastAsia" w:ascii="仿宋_GB2312" w:eastAsia="仿宋_GB2312"/>
          <w:sz w:val="32"/>
          <w:szCs w:val="32"/>
        </w:rPr>
        <w:t>万元</w:t>
      </w:r>
      <w:r>
        <w:rPr>
          <w:rFonts w:hint="eastAsia" w:ascii="仿宋_GB2312" w:eastAsia="仿宋_GB2312"/>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Chars="0" w:firstLine="643" w:firstLineChars="200"/>
        <w:jc w:val="left"/>
        <w:textAlignment w:val="auto"/>
        <w:outlineLvl w:val="2"/>
        <w:rPr>
          <w:rFonts w:hint="eastAsia" w:ascii="楷体_GB2312" w:eastAsia="楷体_GB2312"/>
          <w:b/>
          <w:sz w:val="32"/>
          <w:szCs w:val="32"/>
        </w:rPr>
      </w:pPr>
      <w:r>
        <w:rPr>
          <w:rFonts w:hint="eastAsia" w:ascii="楷体_GB2312" w:eastAsia="楷体_GB2312"/>
          <w:b/>
          <w:sz w:val="32"/>
          <w:szCs w:val="32"/>
          <w:lang w:eastAsia="zh-CN"/>
        </w:rPr>
        <w:t>（</w:t>
      </w:r>
      <w:r>
        <w:rPr>
          <w:rFonts w:hint="eastAsia" w:ascii="楷体_GB2312" w:eastAsia="楷体_GB2312"/>
          <w:b/>
          <w:sz w:val="32"/>
          <w:szCs w:val="32"/>
          <w:lang w:val="en-US" w:eastAsia="zh-CN"/>
        </w:rPr>
        <w:t>二</w:t>
      </w:r>
      <w:r>
        <w:rPr>
          <w:rFonts w:hint="eastAsia" w:ascii="楷体_GB2312" w:eastAsia="楷体_GB2312"/>
          <w:b/>
          <w:sz w:val="32"/>
          <w:szCs w:val="32"/>
          <w:lang w:eastAsia="zh-CN"/>
        </w:rPr>
        <w:t>）</w:t>
      </w:r>
      <w:r>
        <w:rPr>
          <w:rFonts w:hint="eastAsia" w:ascii="楷体_GB2312" w:eastAsia="楷体_GB2312"/>
          <w:b/>
          <w:sz w:val="32"/>
          <w:szCs w:val="32"/>
        </w:rPr>
        <w:t>项目绩效目标。</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2021年我中心</w:t>
      </w:r>
      <w:r>
        <w:rPr>
          <w:rFonts w:hint="eastAsia" w:ascii="仿宋_GB2312" w:eastAsia="仿宋_GB2312"/>
          <w:sz w:val="32"/>
          <w:szCs w:val="32"/>
        </w:rPr>
        <w:t>开展党员大会4次；支部委员会12次；党小组会12次；党课4次。党员干部积极参与，达到教育培训的目的</w:t>
      </w:r>
      <w:r>
        <w:rPr>
          <w:rFonts w:hint="eastAsia" w:ascii="仿宋_GB2312" w:eastAsia="仿宋_GB2312"/>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lang w:eastAsia="zh-CN"/>
        </w:rPr>
        <w:t>（</w:t>
      </w:r>
      <w:r>
        <w:rPr>
          <w:rFonts w:hint="eastAsia" w:ascii="楷体_GB2312" w:eastAsia="楷体_GB2312"/>
          <w:b/>
          <w:sz w:val="32"/>
          <w:szCs w:val="32"/>
          <w:lang w:val="en-US" w:eastAsia="zh-CN"/>
        </w:rPr>
        <w:t>三</w:t>
      </w:r>
      <w:r>
        <w:rPr>
          <w:rFonts w:hint="eastAsia" w:ascii="楷体_GB2312" w:eastAsia="楷体_GB2312"/>
          <w:b/>
          <w:sz w:val="32"/>
          <w:szCs w:val="32"/>
          <w:lang w:eastAsia="zh-CN"/>
        </w:rPr>
        <w:t>）</w:t>
      </w:r>
      <w:r>
        <w:rPr>
          <w:rFonts w:hint="eastAsia" w:ascii="楷体_GB2312" w:eastAsia="楷体_GB2312"/>
          <w:b/>
          <w:sz w:val="32"/>
          <w:szCs w:val="32"/>
        </w:rPr>
        <w:t>项目资金申报相符性。</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eastAsia="zh-CN"/>
        </w:rPr>
        <w:t>该资金使用情况严格按照项目申报内容实施，申报目标基本合理。</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sz w:val="32"/>
          <w:szCs w:val="32"/>
        </w:rPr>
      </w:pPr>
      <w:bookmarkStart w:id="124" w:name="_Toc13927"/>
      <w:bookmarkStart w:id="125" w:name="_Toc7632"/>
      <w:r>
        <w:rPr>
          <w:rFonts w:hint="eastAsia" w:ascii="黑体" w:hAnsi="黑体" w:eastAsia="黑体"/>
          <w:sz w:val="32"/>
          <w:szCs w:val="32"/>
        </w:rPr>
        <w:t>二、项目实施及管理情况</w:t>
      </w:r>
      <w:bookmarkEnd w:id="124"/>
      <w:bookmarkEnd w:id="125"/>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（一）资金计划、到位及使用情况。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1．资金计划及到位。</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我单位及时</w:t>
      </w:r>
      <w:r>
        <w:rPr>
          <w:rFonts w:hint="eastAsia" w:ascii="仿宋_GB2312" w:eastAsia="仿宋_GB2312"/>
          <w:sz w:val="32"/>
          <w:szCs w:val="32"/>
        </w:rPr>
        <w:t>将资金到位情况与资金计划进行比对，资金到位率</w:t>
      </w:r>
      <w:r>
        <w:rPr>
          <w:rFonts w:hint="eastAsia" w:ascii="仿宋_GB2312" w:eastAsia="仿宋_GB2312"/>
          <w:sz w:val="32"/>
          <w:szCs w:val="32"/>
          <w:lang w:val="en-US" w:eastAsia="zh-CN"/>
        </w:rPr>
        <w:t>100%</w:t>
      </w:r>
      <w:r>
        <w:rPr>
          <w:rFonts w:hint="eastAsia" w:ascii="仿宋_GB2312" w:eastAsia="仿宋_GB2312"/>
          <w:sz w:val="32"/>
          <w:szCs w:val="32"/>
        </w:rPr>
        <w:t>、到位及时。</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2．资金使用。</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2021年底</w:t>
      </w:r>
      <w:r>
        <w:rPr>
          <w:rFonts w:hint="eastAsia" w:ascii="仿宋_GB2312" w:eastAsia="仿宋_GB2312"/>
          <w:sz w:val="32"/>
          <w:szCs w:val="32"/>
          <w:lang w:eastAsia="zh-CN"/>
        </w:rPr>
        <w:t>本单位</w:t>
      </w:r>
      <w:r>
        <w:rPr>
          <w:rFonts w:hint="eastAsia" w:ascii="仿宋_GB2312" w:eastAsia="仿宋_GB2312"/>
          <w:sz w:val="32"/>
          <w:szCs w:val="32"/>
        </w:rPr>
        <w:t>项目资金的实际支出</w:t>
      </w:r>
      <w:r>
        <w:rPr>
          <w:rFonts w:hint="eastAsia" w:ascii="仿宋_GB2312" w:eastAsia="仿宋_GB2312"/>
          <w:sz w:val="32"/>
          <w:szCs w:val="32"/>
          <w:lang w:val="en-US" w:eastAsia="zh-CN"/>
        </w:rPr>
        <w:t>1万元，</w:t>
      </w:r>
      <w:r>
        <w:rPr>
          <w:rFonts w:hint="eastAsia" w:ascii="仿宋_GB2312" w:eastAsia="仿宋_GB2312"/>
          <w:sz w:val="32"/>
          <w:szCs w:val="32"/>
        </w:rPr>
        <w:t>支付依据合规合法，资金支付与预算相符</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（二）项目财务管理情况。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eastAsia="楷体_GB2312"/>
          <w:b/>
          <w:sz w:val="32"/>
          <w:szCs w:val="32"/>
        </w:rPr>
      </w:pPr>
      <w:r>
        <w:rPr>
          <w:rFonts w:hint="eastAsia" w:ascii="仿宋_GB2312" w:eastAsia="仿宋_GB2312"/>
          <w:sz w:val="32"/>
          <w:szCs w:val="32"/>
          <w:lang w:val="en-US" w:eastAsia="zh-CN"/>
        </w:rPr>
        <w:t>我单位</w:t>
      </w:r>
      <w:r>
        <w:rPr>
          <w:rFonts w:hint="eastAsia" w:ascii="仿宋_GB2312" w:eastAsia="仿宋_GB2312"/>
          <w:sz w:val="32"/>
          <w:szCs w:val="32"/>
          <w:lang w:eastAsia="zh-CN"/>
        </w:rPr>
        <w:t>按照</w:t>
      </w:r>
      <w:r>
        <w:rPr>
          <w:rFonts w:hint="eastAsia" w:ascii="仿宋_GB2312" w:eastAsia="仿宋_GB2312"/>
          <w:sz w:val="32"/>
          <w:szCs w:val="32"/>
        </w:rPr>
        <w:t>项目资金管理办法，评价项目</w:t>
      </w:r>
      <w:r>
        <w:rPr>
          <w:rFonts w:hint="eastAsia" w:ascii="仿宋_GB2312" w:eastAsia="仿宋_GB2312"/>
          <w:sz w:val="32"/>
          <w:szCs w:val="32"/>
          <w:lang w:eastAsia="zh-CN"/>
        </w:rPr>
        <w:t>是否</w:t>
      </w:r>
      <w:r>
        <w:rPr>
          <w:rFonts w:hint="eastAsia" w:ascii="仿宋_GB2312" w:eastAsia="仿宋_GB2312"/>
          <w:sz w:val="32"/>
          <w:szCs w:val="32"/>
        </w:rPr>
        <w:t>严格执行财务管理制度</w:t>
      </w:r>
      <w:r>
        <w:rPr>
          <w:rFonts w:hint="eastAsia" w:ascii="仿宋_GB2312" w:eastAsia="仿宋_GB2312"/>
          <w:sz w:val="32"/>
          <w:szCs w:val="32"/>
          <w:lang w:eastAsia="zh-CN"/>
        </w:rPr>
        <w:t>，对于符合财务管理制度的及时申报资金支付，进行账务</w:t>
      </w:r>
      <w:r>
        <w:rPr>
          <w:rFonts w:hint="eastAsia" w:ascii="仿宋_GB2312" w:eastAsia="仿宋_GB2312"/>
          <w:sz w:val="32"/>
          <w:szCs w:val="32"/>
        </w:rPr>
        <w:t>处理</w:t>
      </w:r>
      <w:r>
        <w:rPr>
          <w:rFonts w:hint="eastAsia" w:ascii="仿宋_GB2312" w:eastAsia="仿宋_GB2312"/>
          <w:sz w:val="32"/>
          <w:szCs w:val="32"/>
          <w:lang w:eastAsia="zh-CN"/>
        </w:rPr>
        <w:t>、</w:t>
      </w:r>
      <w:r>
        <w:rPr>
          <w:rFonts w:hint="eastAsia" w:ascii="仿宋_GB2312" w:eastAsia="仿宋_GB2312"/>
          <w:sz w:val="32"/>
          <w:szCs w:val="32"/>
        </w:rPr>
        <w:t>会计核算。</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（三）项目组织实施情况。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黑体" w:hAnsi="黑体" w:eastAsia="黑体"/>
          <w:sz w:val="32"/>
          <w:szCs w:val="32"/>
          <w:lang w:val="en-US" w:eastAsia="zh-CN"/>
        </w:rPr>
      </w:pPr>
      <w:r>
        <w:rPr>
          <w:rFonts w:hint="eastAsia" w:ascii="仿宋_GB2312" w:eastAsia="仿宋_GB2312"/>
          <w:sz w:val="32"/>
          <w:szCs w:val="32"/>
          <w:lang w:eastAsia="zh-CN"/>
        </w:rPr>
        <w:t>我单位严格按照年初计划，</w:t>
      </w:r>
      <w:r>
        <w:rPr>
          <w:rFonts w:hint="eastAsia" w:ascii="仿宋_GB2312" w:eastAsia="仿宋_GB2312"/>
          <w:sz w:val="32"/>
          <w:szCs w:val="32"/>
          <w:lang w:val="en-US" w:eastAsia="zh-CN"/>
        </w:rPr>
        <w:t>党员大会每季度一次、支部委员会每月一次、党小组会每月一次、坚持每月上党课，进行党员教育。</w:t>
      </w:r>
      <w:r>
        <w:rPr>
          <w:rFonts w:hint="eastAsia" w:ascii="仿宋_GB2312" w:eastAsia="仿宋_GB2312"/>
          <w:sz w:val="32"/>
          <w:szCs w:val="32"/>
          <w:lang w:eastAsia="zh-CN"/>
        </w:rPr>
        <w:t>年终所有计划均已完成，实施过程中发生的相关经费开支严格按照资金管理制度申报、初审，再经</w:t>
      </w:r>
      <w:r>
        <w:rPr>
          <w:rFonts w:hint="eastAsia" w:ascii="仿宋_GB2312" w:eastAsia="仿宋_GB2312"/>
          <w:sz w:val="32"/>
          <w:szCs w:val="32"/>
          <w:lang w:val="en-US" w:eastAsia="zh-CN"/>
        </w:rPr>
        <w:t>中心领导</w:t>
      </w:r>
      <w:r>
        <w:rPr>
          <w:rFonts w:hint="eastAsia" w:ascii="仿宋_GB2312" w:eastAsia="仿宋_GB2312"/>
          <w:sz w:val="32"/>
          <w:szCs w:val="32"/>
          <w:lang w:eastAsia="zh-CN"/>
        </w:rPr>
        <w:t>审核报账。</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sz w:val="32"/>
          <w:szCs w:val="32"/>
        </w:rPr>
      </w:pPr>
      <w:bookmarkStart w:id="126" w:name="_Toc18329"/>
      <w:bookmarkStart w:id="127" w:name="_Toc12104"/>
      <w:r>
        <w:rPr>
          <w:rFonts w:hint="eastAsia" w:ascii="黑体" w:hAnsi="黑体" w:eastAsia="黑体"/>
          <w:sz w:val="32"/>
          <w:szCs w:val="32"/>
        </w:rPr>
        <w:t>三、项目绩效情况</w:t>
      </w:r>
      <w:bookmarkEnd w:id="126"/>
      <w:bookmarkEnd w:id="127"/>
      <w:r>
        <w:rPr>
          <w:rFonts w:hint="eastAsia" w:ascii="黑体" w:hAnsi="黑体" w:eastAsia="黑体"/>
          <w:sz w:val="32"/>
          <w:szCs w:val="32"/>
        </w:rPr>
        <w:tab/>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（一）项目完成情况。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color w:val="auto"/>
          <w:sz w:val="32"/>
          <w:szCs w:val="40"/>
          <w:lang w:val="en-US" w:eastAsia="zh-CN"/>
        </w:rPr>
      </w:pPr>
      <w:r>
        <w:rPr>
          <w:rFonts w:hint="eastAsia" w:ascii="仿宋_GB2312" w:hAnsi="仿宋_GB2312" w:eastAsia="仿宋_GB2312" w:cs="仿宋_GB2312"/>
          <w:sz w:val="32"/>
          <w:szCs w:val="32"/>
        </w:rPr>
        <w:t>项目全年预算数</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（二）项目效益情况。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color w:val="auto"/>
          <w:sz w:val="32"/>
          <w:szCs w:val="40"/>
          <w:lang w:val="en-US" w:eastAsia="zh-CN"/>
        </w:rPr>
      </w:pPr>
      <w:r>
        <w:rPr>
          <w:rFonts w:hint="eastAsia" w:ascii="仿宋_GB2312" w:hAnsi="仿宋_GB2312" w:eastAsia="仿宋_GB2312" w:cs="仿宋_GB2312"/>
          <w:sz w:val="32"/>
          <w:szCs w:val="32"/>
        </w:rPr>
        <w:t>通过项目实施，</w:t>
      </w:r>
      <w:r>
        <w:rPr>
          <w:rFonts w:hint="eastAsia" w:ascii="仿宋" w:hAnsi="仿宋" w:eastAsia="仿宋" w:cs="仿宋"/>
          <w:color w:val="auto"/>
          <w:sz w:val="32"/>
          <w:szCs w:val="40"/>
          <w:lang w:val="en-US" w:eastAsia="zh-CN"/>
        </w:rPr>
        <w:t>健全党的组织生活，严格党员管理，加强党员教育，增强党组织凝聚力，基层党组织活力增强，党内政治生态持续优化，经合中心工作成效彰显。</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sz w:val="32"/>
          <w:szCs w:val="32"/>
        </w:rPr>
      </w:pPr>
      <w:bookmarkStart w:id="128" w:name="_Toc17953"/>
      <w:bookmarkStart w:id="129" w:name="_Toc32506"/>
      <w:r>
        <w:rPr>
          <w:rFonts w:hint="eastAsia" w:ascii="黑体" w:hAnsi="黑体" w:eastAsia="黑体"/>
          <w:sz w:val="32"/>
          <w:szCs w:val="32"/>
        </w:rPr>
        <w:t>四、问题及建议</w:t>
      </w:r>
      <w:bookmarkEnd w:id="128"/>
      <w:bookmarkEnd w:id="129"/>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楷体_GB2312" w:eastAsia="楷体_GB2312"/>
          <w:b/>
          <w:sz w:val="32"/>
          <w:szCs w:val="32"/>
        </w:rPr>
      </w:pPr>
      <w:r>
        <w:rPr>
          <w:rFonts w:hint="eastAsia" w:ascii="楷体_GB2312" w:eastAsia="楷体_GB2312"/>
          <w:b/>
          <w:sz w:val="32"/>
          <w:szCs w:val="32"/>
        </w:rPr>
        <w:t>（一）存在的问题。</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color w:val="auto"/>
          <w:sz w:val="32"/>
          <w:szCs w:val="40"/>
          <w:lang w:val="en-US" w:eastAsia="zh-CN"/>
        </w:rPr>
      </w:pPr>
      <w:r>
        <w:rPr>
          <w:rFonts w:hint="eastAsia" w:ascii="仿宋" w:hAnsi="仿宋" w:eastAsia="仿宋" w:cs="仿宋"/>
          <w:color w:val="auto"/>
          <w:sz w:val="32"/>
          <w:szCs w:val="40"/>
          <w:lang w:val="en-US" w:eastAsia="zh-CN"/>
        </w:rPr>
        <w:t>党支部组织生活仅限于上党课、集中学习、讨论交流、作承诺、开展走访慰问等形式，缺乏载体创新，不能很好地适应形势发展需要。</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outlineLvl w:val="2"/>
        <w:rPr>
          <w:rFonts w:hint="eastAsia" w:ascii="仿宋" w:hAnsi="仿宋" w:eastAsia="仿宋" w:cs="仿宋"/>
          <w:color w:val="auto"/>
          <w:sz w:val="32"/>
          <w:szCs w:val="40"/>
          <w:lang w:val="en-US" w:eastAsia="zh-CN"/>
        </w:rPr>
      </w:pPr>
      <w:r>
        <w:rPr>
          <w:rFonts w:hint="eastAsia" w:ascii="楷体_GB2312" w:eastAsia="楷体_GB2312"/>
          <w:b/>
          <w:sz w:val="32"/>
          <w:szCs w:val="32"/>
          <w:lang w:val="en-US" w:eastAsia="zh-CN"/>
        </w:rPr>
        <w:t>（二）相关建议。</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color w:val="auto"/>
          <w:sz w:val="32"/>
          <w:szCs w:val="40"/>
          <w:lang w:val="en-US" w:eastAsia="zh-CN"/>
        </w:rPr>
      </w:pPr>
      <w:r>
        <w:rPr>
          <w:rFonts w:hint="eastAsia" w:ascii="仿宋" w:hAnsi="仿宋" w:eastAsia="仿宋" w:cs="仿宋"/>
          <w:color w:val="auto"/>
          <w:sz w:val="32"/>
          <w:szCs w:val="40"/>
          <w:lang w:val="en-US" w:eastAsia="zh-CN"/>
        </w:rPr>
        <w:t>在今后的工作中，要敢于打破惯性思维，改变以往讨论、学习、作报告的组织生活固定形式，充分结合党员工作、生活、学习等实际情况，开展丰富多彩、形式多样的组织生活，增强其感染力和吸引力。</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 w:hAnsi="仿宋" w:eastAsia="仿宋" w:cs="仿宋"/>
          <w:color w:val="auto"/>
          <w:sz w:val="32"/>
          <w:szCs w:val="40"/>
          <w:lang w:val="en-US" w:eastAsia="zh-CN"/>
        </w:rPr>
      </w:pPr>
      <w:r>
        <w:rPr>
          <w:rFonts w:hint="eastAsia" w:ascii="仿宋" w:hAnsi="仿宋" w:eastAsia="仿宋" w:cs="仿宋"/>
          <w:color w:val="auto"/>
          <w:sz w:val="32"/>
          <w:szCs w:val="40"/>
          <w:lang w:val="en-US" w:eastAsia="zh-CN"/>
        </w:rPr>
        <w:t>充分发挥党员在组织生活中的主体作用，广泛征求党员对组织生活的意见建议，大胆尝试让普通党员承办组织生活，增强党员的主人翁意识，提高党员参加组织生活的积极性和主动性。</w:t>
      </w:r>
    </w:p>
    <w:p>
      <w:pPr>
        <w:keepNext w:val="0"/>
        <w:keepLines w:val="0"/>
        <w:pageBreakBefore w:val="0"/>
        <w:kinsoku/>
        <w:wordWrap/>
        <w:overflowPunct/>
        <w:topLinePunct w:val="0"/>
        <w:autoSpaceDE/>
        <w:autoSpaceDN/>
        <w:bidi w:val="0"/>
        <w:adjustRightInd/>
        <w:snapToGrid/>
        <w:spacing w:line="576" w:lineRule="exact"/>
      </w:pPr>
    </w:p>
    <w:p>
      <w:pPr>
        <w:pStyle w:val="33"/>
        <w:keepNext w:val="0"/>
        <w:keepLines w:val="0"/>
        <w:pageBreakBefore w:val="0"/>
        <w:kinsoku/>
        <w:wordWrap/>
        <w:overflowPunct/>
        <w:topLinePunct w:val="0"/>
        <w:autoSpaceDE/>
        <w:autoSpaceDN/>
        <w:bidi w:val="0"/>
        <w:adjustRightInd/>
        <w:snapToGrid/>
        <w:spacing w:line="576" w:lineRule="exact"/>
      </w:pPr>
    </w:p>
    <w:p>
      <w:pPr>
        <w:keepNext w:val="0"/>
        <w:keepLines w:val="0"/>
        <w:pageBreakBefore w:val="0"/>
        <w:kinsoku/>
        <w:wordWrap/>
        <w:overflowPunct/>
        <w:topLinePunct w:val="0"/>
        <w:autoSpaceDE/>
        <w:autoSpaceDN/>
        <w:bidi w:val="0"/>
        <w:adjustRightInd/>
        <w:snapToGrid/>
        <w:spacing w:line="576" w:lineRule="exact"/>
      </w:pPr>
    </w:p>
    <w:p>
      <w:pPr>
        <w:keepNext w:val="0"/>
        <w:keepLines w:val="0"/>
        <w:pageBreakBefore w:val="0"/>
        <w:kinsoku/>
        <w:wordWrap/>
        <w:overflowPunct/>
        <w:topLinePunct w:val="0"/>
        <w:autoSpaceDE/>
        <w:autoSpaceDN/>
        <w:bidi w:val="0"/>
        <w:adjustRightInd/>
        <w:snapToGrid/>
        <w:spacing w:line="576" w:lineRule="exact"/>
      </w:pPr>
    </w:p>
    <w:p>
      <w:pPr>
        <w:pStyle w:val="6"/>
        <w:rPr>
          <w:rFonts w:hint="eastAsia"/>
          <w:color w:val="auto"/>
          <w:highlight w:val="none"/>
          <w:lang w:val="zh-CN"/>
        </w:rPr>
      </w:pPr>
    </w:p>
    <w:p>
      <w:pPr>
        <w:pStyle w:val="6"/>
        <w:rPr>
          <w:rFonts w:hint="eastAsia"/>
          <w:color w:val="auto"/>
          <w:highlight w:val="none"/>
          <w:lang w:val="zh-CN"/>
        </w:rPr>
      </w:pPr>
    </w:p>
    <w:p>
      <w:pPr>
        <w:pStyle w:val="6"/>
        <w:rPr>
          <w:rFonts w:hint="eastAsia"/>
          <w:color w:val="auto"/>
          <w:highlight w:val="none"/>
          <w:lang w:val="zh-CN"/>
        </w:rPr>
      </w:pPr>
    </w:p>
    <w:p>
      <w:pPr>
        <w:pStyle w:val="6"/>
        <w:rPr>
          <w:rFonts w:hint="eastAsia"/>
          <w:color w:val="auto"/>
          <w:highlight w:val="none"/>
          <w:lang w:val="zh-CN"/>
        </w:rPr>
      </w:pPr>
    </w:p>
    <w:p>
      <w:pPr>
        <w:pStyle w:val="6"/>
        <w:rPr>
          <w:rFonts w:hint="eastAsia"/>
          <w:color w:val="auto"/>
          <w:highlight w:val="none"/>
          <w:lang w:val="zh-CN"/>
        </w:rPr>
      </w:pPr>
    </w:p>
    <w:p>
      <w:pPr>
        <w:pStyle w:val="6"/>
        <w:rPr>
          <w:rFonts w:hint="eastAsia"/>
          <w:color w:val="auto"/>
          <w:highlight w:val="none"/>
          <w:lang w:val="zh-CN"/>
        </w:rPr>
      </w:pPr>
    </w:p>
    <w:p>
      <w:pPr>
        <w:pStyle w:val="6"/>
        <w:rPr>
          <w:rFonts w:hint="eastAsia"/>
          <w:color w:val="auto"/>
          <w:highlight w:val="none"/>
          <w:lang w:val="zh-CN"/>
        </w:rPr>
      </w:pPr>
    </w:p>
    <w:p>
      <w:pPr>
        <w:pStyle w:val="6"/>
        <w:rPr>
          <w:rFonts w:hint="eastAsia"/>
          <w:color w:val="auto"/>
          <w:highlight w:val="none"/>
          <w:lang w:val="zh-CN"/>
        </w:rPr>
      </w:pPr>
    </w:p>
    <w:p>
      <w:pPr>
        <w:pStyle w:val="6"/>
        <w:rPr>
          <w:rFonts w:hint="eastAsia"/>
          <w:color w:val="auto"/>
          <w:highlight w:val="none"/>
          <w:lang w:val="zh-CN"/>
        </w:rPr>
      </w:pPr>
    </w:p>
    <w:p>
      <w:pPr>
        <w:pStyle w:val="6"/>
        <w:rPr>
          <w:rFonts w:hint="eastAsia"/>
          <w:color w:val="auto"/>
          <w:highlight w:val="none"/>
          <w:lang w:val="zh-CN"/>
        </w:rPr>
      </w:pPr>
    </w:p>
    <w:p>
      <w:pPr>
        <w:pStyle w:val="6"/>
        <w:rPr>
          <w:rFonts w:hint="eastAsia"/>
          <w:color w:val="auto"/>
          <w:highlight w:val="none"/>
          <w:lang w:val="en-US" w:eastAsia="zh-CN"/>
        </w:rPr>
      </w:pPr>
    </w:p>
    <w:p>
      <w:pPr>
        <w:pStyle w:val="6"/>
        <w:rPr>
          <w:rFonts w:hint="eastAsia"/>
          <w:color w:val="auto"/>
          <w:highlight w:val="none"/>
          <w:lang w:val="en-US" w:eastAsia="zh-CN"/>
        </w:rPr>
      </w:pPr>
      <w:r>
        <w:rPr>
          <w:rFonts w:hint="eastAsia"/>
          <w:color w:val="auto"/>
          <w:highlight w:val="none"/>
          <w:lang w:val="en-US" w:eastAsia="zh-CN"/>
        </w:rPr>
        <w:t>附件</w:t>
      </w:r>
    </w:p>
    <w:p>
      <w:pPr>
        <w:pStyle w:val="6"/>
        <w:rPr>
          <w:rFonts w:hint="eastAsia"/>
          <w:lang w:val="zh-CN"/>
        </w:rPr>
      </w:pPr>
      <w:r>
        <w:rPr>
          <w:rFonts w:hint="eastAsia"/>
          <w:lang w:val="zh-CN"/>
        </w:rPr>
        <w:object>
          <v:shape id="_x0000_i1033" o:spt="75" type="#_x0000_t75" style="height:589.8pt;width:414.7pt;" o:ole="t" filled="f" o:preferrelative="t" stroked="f" coordsize="21600,21600">
            <v:path/>
            <v:fill on="f" focussize="0,0"/>
            <v:stroke on="f"/>
            <v:imagedata r:id="rId28" o:title=""/>
            <o:lock v:ext="edit" aspectratio="f"/>
            <w10:wrap type="none"/>
            <w10:anchorlock/>
          </v:shape>
          <o:OLEObject Type="Embed" ProgID="Excel.Sheet.8" ShapeID="_x0000_i1033" DrawAspect="Content" ObjectID="_1468075734" r:id="rId27">
            <o:LockedField>false</o:LockedField>
          </o:OLEObject>
        </w:object>
      </w:r>
    </w:p>
    <w:p>
      <w:pPr>
        <w:rPr>
          <w:rFonts w:hint="eastAsia"/>
          <w:lang w:val="zh-CN"/>
        </w:rPr>
      </w:pPr>
    </w:p>
    <w:p>
      <w:pPr>
        <w:rPr>
          <w:rStyle w:val="27"/>
          <w:rFonts w:ascii="黑体" w:hAnsi="黑体" w:eastAsia="黑体"/>
          <w:b w:val="0"/>
          <w:color w:val="auto"/>
          <w:highlight w:val="none"/>
        </w:rPr>
      </w:pPr>
    </w:p>
    <w:p>
      <w:pPr>
        <w:widowControl/>
        <w:jc w:val="left"/>
        <w:rPr>
          <w:rStyle w:val="27"/>
          <w:rFonts w:ascii="黑体" w:hAnsi="黑体" w:eastAsia="黑体"/>
          <w:b w:val="0"/>
          <w:color w:val="auto"/>
          <w:highlight w:val="none"/>
        </w:rPr>
      </w:pPr>
      <w:r>
        <w:rPr>
          <w:rStyle w:val="27"/>
          <w:rFonts w:ascii="黑体" w:hAnsi="黑体" w:eastAsia="黑体"/>
          <w:b w:val="0"/>
          <w:color w:val="auto"/>
          <w:highlight w:val="none"/>
        </w:rPr>
        <w:br w:type="page"/>
      </w:r>
    </w:p>
    <w:p>
      <w:pPr>
        <w:spacing w:line="600" w:lineRule="exact"/>
        <w:jc w:val="center"/>
        <w:outlineLvl w:val="0"/>
        <w:rPr>
          <w:rFonts w:hint="eastAsia" w:ascii="仿宋" w:hAnsi="仿宋" w:eastAsia="仿宋"/>
          <w:b w:val="0"/>
          <w:color w:val="auto"/>
          <w:highlight w:val="none"/>
        </w:rPr>
      </w:pPr>
      <w:bookmarkStart w:id="130" w:name="_Toc15629"/>
      <w:bookmarkStart w:id="131" w:name="_Toc15396618"/>
      <w:r>
        <w:rPr>
          <w:rFonts w:hint="eastAsia" w:ascii="黑体" w:hAnsi="黑体" w:eastAsia="黑体"/>
          <w:color w:val="auto"/>
          <w:sz w:val="44"/>
          <w:szCs w:val="44"/>
          <w:highlight w:val="none"/>
        </w:rPr>
        <w:t>第</w:t>
      </w:r>
      <w:r>
        <w:rPr>
          <w:rStyle w:val="27"/>
          <w:rFonts w:hint="eastAsia" w:ascii="黑体" w:hAnsi="黑体" w:eastAsia="黑体"/>
          <w:b w:val="0"/>
          <w:color w:val="auto"/>
          <w:highlight w:val="none"/>
        </w:rPr>
        <w:t>五部分 附表</w:t>
      </w:r>
      <w:bookmarkEnd w:id="86"/>
      <w:bookmarkEnd w:id="130"/>
      <w:bookmarkEnd w:id="131"/>
      <w:bookmarkStart w:id="132" w:name="_Toc15396619"/>
    </w:p>
    <w:p>
      <w:pPr>
        <w:pStyle w:val="4"/>
        <w:rPr>
          <w:rFonts w:ascii="仿宋" w:hAnsi="仿宋" w:eastAsia="仿宋"/>
          <w:color w:val="auto"/>
          <w:highlight w:val="none"/>
        </w:rPr>
      </w:pPr>
      <w:bookmarkStart w:id="133" w:name="_Toc24203"/>
      <w:bookmarkStart w:id="134" w:name="_Toc3628"/>
      <w:r>
        <w:rPr>
          <w:rFonts w:hint="eastAsia" w:ascii="仿宋" w:hAnsi="仿宋" w:eastAsia="仿宋"/>
          <w:b w:val="0"/>
          <w:color w:val="auto"/>
          <w:highlight w:val="none"/>
        </w:rPr>
        <w:t>一、收</w:t>
      </w:r>
      <w:r>
        <w:rPr>
          <w:rStyle w:val="28"/>
          <w:rFonts w:hint="eastAsia" w:ascii="仿宋" w:hAnsi="仿宋" w:eastAsia="仿宋"/>
          <w:b w:val="0"/>
          <w:bCs w:val="0"/>
          <w:color w:val="auto"/>
          <w:highlight w:val="none"/>
        </w:rPr>
        <w:t>入支出决算总表</w:t>
      </w:r>
      <w:bookmarkEnd w:id="132"/>
      <w:bookmarkEnd w:id="133"/>
      <w:bookmarkEnd w:id="134"/>
    </w:p>
    <w:p>
      <w:pPr>
        <w:pStyle w:val="4"/>
        <w:rPr>
          <w:rFonts w:ascii="仿宋" w:hAnsi="仿宋" w:eastAsia="仿宋"/>
          <w:color w:val="auto"/>
          <w:highlight w:val="none"/>
        </w:rPr>
      </w:pPr>
      <w:bookmarkStart w:id="135" w:name="_Toc15396620"/>
      <w:bookmarkStart w:id="136" w:name="_Toc31350"/>
      <w:bookmarkStart w:id="137" w:name="_Toc4313"/>
      <w:r>
        <w:rPr>
          <w:rFonts w:hint="eastAsia" w:ascii="仿宋" w:hAnsi="仿宋" w:eastAsia="仿宋"/>
          <w:b w:val="0"/>
          <w:color w:val="auto"/>
          <w:highlight w:val="none"/>
        </w:rPr>
        <w:t>二、收</w:t>
      </w:r>
      <w:r>
        <w:rPr>
          <w:rStyle w:val="28"/>
          <w:rFonts w:hint="eastAsia" w:ascii="仿宋" w:hAnsi="仿宋" w:eastAsia="仿宋"/>
          <w:b w:val="0"/>
          <w:bCs w:val="0"/>
          <w:color w:val="auto"/>
          <w:highlight w:val="none"/>
        </w:rPr>
        <w:t>入决算表</w:t>
      </w:r>
      <w:bookmarkEnd w:id="135"/>
      <w:bookmarkEnd w:id="136"/>
      <w:bookmarkEnd w:id="137"/>
    </w:p>
    <w:p>
      <w:pPr>
        <w:pStyle w:val="4"/>
        <w:rPr>
          <w:rFonts w:ascii="仿宋" w:hAnsi="仿宋" w:eastAsia="仿宋"/>
          <w:color w:val="auto"/>
          <w:highlight w:val="none"/>
        </w:rPr>
      </w:pPr>
      <w:bookmarkStart w:id="138" w:name="_Toc8100"/>
      <w:bookmarkStart w:id="139" w:name="_Toc10978"/>
      <w:bookmarkStart w:id="140" w:name="_Toc15396621"/>
      <w:r>
        <w:rPr>
          <w:rStyle w:val="28"/>
          <w:rFonts w:hint="eastAsia" w:ascii="仿宋" w:hAnsi="仿宋" w:eastAsia="仿宋"/>
          <w:b w:val="0"/>
          <w:bCs w:val="0"/>
          <w:color w:val="auto"/>
          <w:highlight w:val="none"/>
        </w:rPr>
        <w:t>三、</w:t>
      </w:r>
      <w:r>
        <w:rPr>
          <w:rFonts w:hint="eastAsia" w:ascii="仿宋" w:hAnsi="仿宋" w:eastAsia="仿宋"/>
          <w:b w:val="0"/>
          <w:color w:val="auto"/>
          <w:highlight w:val="none"/>
        </w:rPr>
        <w:t>支</w:t>
      </w:r>
      <w:r>
        <w:rPr>
          <w:rStyle w:val="28"/>
          <w:rFonts w:hint="eastAsia" w:ascii="仿宋" w:hAnsi="仿宋" w:eastAsia="仿宋"/>
          <w:b w:val="0"/>
          <w:bCs w:val="0"/>
          <w:color w:val="auto"/>
          <w:highlight w:val="none"/>
        </w:rPr>
        <w:t>出决算表</w:t>
      </w:r>
      <w:bookmarkEnd w:id="138"/>
      <w:bookmarkEnd w:id="139"/>
      <w:bookmarkEnd w:id="140"/>
    </w:p>
    <w:p>
      <w:pPr>
        <w:pStyle w:val="4"/>
        <w:rPr>
          <w:rFonts w:ascii="仿宋" w:hAnsi="仿宋" w:eastAsia="仿宋"/>
          <w:b w:val="0"/>
          <w:color w:val="auto"/>
          <w:highlight w:val="none"/>
        </w:rPr>
      </w:pPr>
      <w:bookmarkStart w:id="141" w:name="_Toc15396622"/>
      <w:bookmarkStart w:id="142" w:name="_Toc1018"/>
      <w:bookmarkStart w:id="143" w:name="_Toc321"/>
      <w:r>
        <w:rPr>
          <w:rStyle w:val="28"/>
          <w:rFonts w:hint="eastAsia" w:ascii="仿宋" w:hAnsi="仿宋" w:eastAsia="仿宋"/>
          <w:b w:val="0"/>
          <w:bCs w:val="0"/>
          <w:color w:val="auto"/>
          <w:highlight w:val="none"/>
        </w:rPr>
        <w:t>四、</w:t>
      </w:r>
      <w:r>
        <w:rPr>
          <w:rFonts w:hint="eastAsia" w:ascii="仿宋" w:hAnsi="仿宋" w:eastAsia="仿宋"/>
          <w:b w:val="0"/>
          <w:color w:val="auto"/>
          <w:highlight w:val="none"/>
        </w:rPr>
        <w:t>财</w:t>
      </w:r>
      <w:r>
        <w:rPr>
          <w:rStyle w:val="28"/>
          <w:rFonts w:hint="eastAsia" w:ascii="仿宋" w:hAnsi="仿宋" w:eastAsia="仿宋"/>
          <w:b w:val="0"/>
          <w:bCs w:val="0"/>
          <w:color w:val="auto"/>
          <w:highlight w:val="none"/>
        </w:rPr>
        <w:t>政拨款收入支出决算总表</w:t>
      </w:r>
      <w:bookmarkEnd w:id="141"/>
      <w:bookmarkEnd w:id="142"/>
      <w:bookmarkEnd w:id="143"/>
    </w:p>
    <w:p>
      <w:pPr>
        <w:pStyle w:val="4"/>
        <w:rPr>
          <w:rStyle w:val="28"/>
          <w:rFonts w:ascii="仿宋" w:hAnsi="仿宋" w:eastAsia="仿宋"/>
          <w:b w:val="0"/>
          <w:bCs w:val="0"/>
          <w:color w:val="auto"/>
          <w:highlight w:val="none"/>
        </w:rPr>
      </w:pPr>
      <w:bookmarkStart w:id="144" w:name="_Toc25929"/>
      <w:bookmarkStart w:id="145" w:name="_Toc15396623"/>
      <w:bookmarkStart w:id="146" w:name="_Toc10927"/>
      <w:r>
        <w:rPr>
          <w:rStyle w:val="28"/>
          <w:rFonts w:hint="eastAsia" w:ascii="仿宋" w:hAnsi="仿宋" w:eastAsia="仿宋"/>
          <w:b w:val="0"/>
          <w:bCs w:val="0"/>
          <w:color w:val="auto"/>
          <w:highlight w:val="none"/>
        </w:rPr>
        <w:t>五、</w:t>
      </w:r>
      <w:r>
        <w:rPr>
          <w:rFonts w:hint="eastAsia" w:ascii="仿宋" w:hAnsi="仿宋" w:eastAsia="仿宋"/>
          <w:b w:val="0"/>
          <w:color w:val="auto"/>
          <w:highlight w:val="none"/>
        </w:rPr>
        <w:t>财</w:t>
      </w:r>
      <w:r>
        <w:rPr>
          <w:rStyle w:val="28"/>
          <w:rFonts w:hint="eastAsia" w:ascii="仿宋" w:hAnsi="仿宋" w:eastAsia="仿宋"/>
          <w:b w:val="0"/>
          <w:bCs w:val="0"/>
          <w:color w:val="auto"/>
          <w:highlight w:val="none"/>
        </w:rPr>
        <w:t>政拨款支出决算明细表</w:t>
      </w:r>
      <w:bookmarkEnd w:id="144"/>
      <w:bookmarkEnd w:id="145"/>
      <w:bookmarkEnd w:id="146"/>
      <w:bookmarkStart w:id="147" w:name="_Toc15396624"/>
    </w:p>
    <w:p>
      <w:pPr>
        <w:pStyle w:val="4"/>
        <w:rPr>
          <w:rFonts w:ascii="仿宋" w:hAnsi="仿宋" w:eastAsia="仿宋"/>
          <w:color w:val="auto"/>
          <w:highlight w:val="none"/>
        </w:rPr>
      </w:pPr>
      <w:bookmarkStart w:id="148" w:name="_Toc15990"/>
      <w:bookmarkStart w:id="149" w:name="_Toc5404"/>
      <w:r>
        <w:rPr>
          <w:rStyle w:val="28"/>
          <w:rFonts w:hint="eastAsia" w:ascii="仿宋" w:hAnsi="仿宋" w:eastAsia="仿宋"/>
          <w:b w:val="0"/>
          <w:bCs w:val="0"/>
          <w:color w:val="auto"/>
          <w:highlight w:val="none"/>
        </w:rPr>
        <w:t>六、</w:t>
      </w:r>
      <w:r>
        <w:rPr>
          <w:rFonts w:hint="eastAsia" w:ascii="仿宋" w:hAnsi="仿宋" w:eastAsia="仿宋"/>
          <w:b w:val="0"/>
          <w:color w:val="auto"/>
          <w:highlight w:val="none"/>
        </w:rPr>
        <w:t>一</w:t>
      </w:r>
      <w:r>
        <w:rPr>
          <w:rStyle w:val="28"/>
          <w:rFonts w:hint="eastAsia" w:ascii="仿宋" w:hAnsi="仿宋" w:eastAsia="仿宋"/>
          <w:b w:val="0"/>
          <w:bCs w:val="0"/>
          <w:color w:val="auto"/>
          <w:highlight w:val="none"/>
        </w:rPr>
        <w:t>般公共预算财政拨款支出决算表</w:t>
      </w:r>
      <w:bookmarkEnd w:id="147"/>
      <w:bookmarkEnd w:id="148"/>
      <w:bookmarkEnd w:id="149"/>
    </w:p>
    <w:p>
      <w:pPr>
        <w:pStyle w:val="4"/>
        <w:rPr>
          <w:rFonts w:ascii="仿宋" w:hAnsi="仿宋" w:eastAsia="仿宋"/>
          <w:color w:val="auto"/>
          <w:highlight w:val="none"/>
        </w:rPr>
      </w:pPr>
      <w:bookmarkStart w:id="150" w:name="_Toc20952"/>
      <w:bookmarkStart w:id="151" w:name="_Toc20050"/>
      <w:bookmarkStart w:id="152" w:name="_Toc15396625"/>
      <w:r>
        <w:rPr>
          <w:rStyle w:val="28"/>
          <w:rFonts w:hint="eastAsia" w:ascii="仿宋" w:hAnsi="仿宋" w:eastAsia="仿宋"/>
          <w:b w:val="0"/>
          <w:bCs w:val="0"/>
          <w:color w:val="auto"/>
          <w:highlight w:val="none"/>
        </w:rPr>
        <w:t>七、</w:t>
      </w:r>
      <w:r>
        <w:rPr>
          <w:rFonts w:hint="eastAsia" w:ascii="仿宋" w:hAnsi="仿宋" w:eastAsia="仿宋"/>
          <w:b w:val="0"/>
          <w:color w:val="auto"/>
          <w:highlight w:val="none"/>
        </w:rPr>
        <w:t>一</w:t>
      </w:r>
      <w:r>
        <w:rPr>
          <w:rStyle w:val="28"/>
          <w:rFonts w:hint="eastAsia" w:ascii="仿宋" w:hAnsi="仿宋" w:eastAsia="仿宋"/>
          <w:b w:val="0"/>
          <w:bCs w:val="0"/>
          <w:color w:val="auto"/>
          <w:highlight w:val="none"/>
        </w:rPr>
        <w:t>般公共预算财政拨款支出决算明细表</w:t>
      </w:r>
      <w:bookmarkEnd w:id="150"/>
      <w:bookmarkEnd w:id="151"/>
      <w:bookmarkEnd w:id="152"/>
    </w:p>
    <w:p>
      <w:pPr>
        <w:pStyle w:val="4"/>
        <w:rPr>
          <w:rFonts w:ascii="仿宋" w:hAnsi="仿宋" w:eastAsia="仿宋"/>
          <w:color w:val="auto"/>
          <w:highlight w:val="none"/>
        </w:rPr>
      </w:pPr>
      <w:bookmarkStart w:id="153" w:name="_Toc15569"/>
      <w:bookmarkStart w:id="154" w:name="_Toc15396626"/>
      <w:bookmarkStart w:id="155" w:name="_Toc28351"/>
      <w:r>
        <w:rPr>
          <w:rStyle w:val="28"/>
          <w:rFonts w:hint="eastAsia" w:ascii="仿宋" w:hAnsi="仿宋" w:eastAsia="仿宋"/>
          <w:b w:val="0"/>
          <w:bCs w:val="0"/>
          <w:color w:val="auto"/>
          <w:highlight w:val="none"/>
        </w:rPr>
        <w:t>八、</w:t>
      </w:r>
      <w:r>
        <w:rPr>
          <w:rFonts w:hint="eastAsia" w:ascii="仿宋" w:hAnsi="仿宋" w:eastAsia="仿宋"/>
          <w:b w:val="0"/>
          <w:color w:val="auto"/>
          <w:highlight w:val="none"/>
        </w:rPr>
        <w:t>一</w:t>
      </w:r>
      <w:r>
        <w:rPr>
          <w:rStyle w:val="28"/>
          <w:rFonts w:hint="eastAsia" w:ascii="仿宋" w:hAnsi="仿宋" w:eastAsia="仿宋"/>
          <w:b w:val="0"/>
          <w:bCs w:val="0"/>
          <w:color w:val="auto"/>
          <w:highlight w:val="none"/>
        </w:rPr>
        <w:t>般公共预算财政拨款基本支出决算表</w:t>
      </w:r>
      <w:bookmarkEnd w:id="153"/>
      <w:bookmarkEnd w:id="154"/>
      <w:bookmarkEnd w:id="155"/>
    </w:p>
    <w:p>
      <w:pPr>
        <w:pStyle w:val="4"/>
        <w:rPr>
          <w:rFonts w:ascii="仿宋" w:hAnsi="仿宋" w:eastAsia="仿宋"/>
          <w:color w:val="auto"/>
          <w:highlight w:val="none"/>
        </w:rPr>
      </w:pPr>
      <w:bookmarkStart w:id="156" w:name="_Toc2392"/>
      <w:bookmarkStart w:id="157" w:name="_Toc15396627"/>
      <w:bookmarkStart w:id="158" w:name="_Toc1631"/>
      <w:r>
        <w:rPr>
          <w:rStyle w:val="28"/>
          <w:rFonts w:hint="eastAsia" w:ascii="仿宋" w:hAnsi="仿宋" w:eastAsia="仿宋"/>
          <w:b w:val="0"/>
          <w:bCs w:val="0"/>
          <w:color w:val="auto"/>
          <w:highlight w:val="none"/>
        </w:rPr>
        <w:t>九、</w:t>
      </w:r>
      <w:r>
        <w:rPr>
          <w:rFonts w:hint="eastAsia" w:ascii="仿宋" w:hAnsi="仿宋" w:eastAsia="仿宋"/>
          <w:b w:val="0"/>
          <w:color w:val="auto"/>
          <w:highlight w:val="none"/>
        </w:rPr>
        <w:t>一</w:t>
      </w:r>
      <w:r>
        <w:rPr>
          <w:rStyle w:val="28"/>
          <w:rFonts w:hint="eastAsia" w:ascii="仿宋" w:hAnsi="仿宋" w:eastAsia="仿宋"/>
          <w:b w:val="0"/>
          <w:bCs w:val="0"/>
          <w:color w:val="auto"/>
          <w:highlight w:val="none"/>
        </w:rPr>
        <w:t>般公共预算财政拨款项目支出决算表</w:t>
      </w:r>
      <w:bookmarkEnd w:id="156"/>
      <w:bookmarkEnd w:id="157"/>
      <w:bookmarkEnd w:id="158"/>
    </w:p>
    <w:p>
      <w:pPr>
        <w:pStyle w:val="4"/>
        <w:rPr>
          <w:rFonts w:ascii="仿宋" w:hAnsi="仿宋" w:eastAsia="仿宋"/>
          <w:color w:val="auto"/>
          <w:highlight w:val="none"/>
        </w:rPr>
      </w:pPr>
      <w:bookmarkStart w:id="159" w:name="_Toc16974"/>
      <w:bookmarkStart w:id="160" w:name="_Toc71"/>
      <w:bookmarkStart w:id="161" w:name="_Toc15396628"/>
      <w:r>
        <w:rPr>
          <w:rStyle w:val="28"/>
          <w:rFonts w:hint="eastAsia" w:ascii="仿宋" w:hAnsi="仿宋" w:eastAsia="仿宋"/>
          <w:b w:val="0"/>
          <w:bCs w:val="0"/>
          <w:color w:val="auto"/>
          <w:highlight w:val="none"/>
        </w:rPr>
        <w:t>十、</w:t>
      </w:r>
      <w:r>
        <w:rPr>
          <w:rFonts w:hint="eastAsia" w:ascii="仿宋" w:hAnsi="仿宋" w:eastAsia="仿宋"/>
          <w:b w:val="0"/>
          <w:color w:val="auto"/>
          <w:highlight w:val="none"/>
        </w:rPr>
        <w:t>一</w:t>
      </w:r>
      <w:r>
        <w:rPr>
          <w:rStyle w:val="28"/>
          <w:rFonts w:hint="eastAsia" w:ascii="仿宋" w:hAnsi="仿宋" w:eastAsia="仿宋"/>
          <w:b w:val="0"/>
          <w:bCs w:val="0"/>
          <w:color w:val="auto"/>
          <w:highlight w:val="none"/>
        </w:rPr>
        <w:t>般公共预算财政拨款“三公”经费支出决算表</w:t>
      </w:r>
      <w:bookmarkEnd w:id="159"/>
      <w:bookmarkEnd w:id="160"/>
      <w:bookmarkEnd w:id="161"/>
    </w:p>
    <w:p>
      <w:pPr>
        <w:pStyle w:val="4"/>
        <w:rPr>
          <w:rFonts w:ascii="仿宋" w:hAnsi="仿宋" w:eastAsia="仿宋"/>
          <w:color w:val="auto"/>
          <w:highlight w:val="none"/>
        </w:rPr>
      </w:pPr>
      <w:bookmarkStart w:id="162" w:name="_Toc3525"/>
      <w:bookmarkStart w:id="163" w:name="_Toc15396629"/>
      <w:bookmarkStart w:id="164" w:name="_Toc10008"/>
      <w:r>
        <w:rPr>
          <w:rStyle w:val="28"/>
          <w:rFonts w:hint="eastAsia" w:ascii="仿宋" w:hAnsi="仿宋" w:eastAsia="仿宋"/>
          <w:b w:val="0"/>
          <w:bCs w:val="0"/>
          <w:color w:val="auto"/>
          <w:highlight w:val="none"/>
        </w:rPr>
        <w:t>十一、</w:t>
      </w:r>
      <w:r>
        <w:rPr>
          <w:rFonts w:hint="eastAsia" w:ascii="仿宋" w:hAnsi="仿宋" w:eastAsia="仿宋"/>
          <w:b w:val="0"/>
          <w:color w:val="auto"/>
          <w:highlight w:val="none"/>
        </w:rPr>
        <w:t>政</w:t>
      </w:r>
      <w:r>
        <w:rPr>
          <w:rStyle w:val="28"/>
          <w:rFonts w:hint="eastAsia" w:ascii="仿宋" w:hAnsi="仿宋" w:eastAsia="仿宋"/>
          <w:b w:val="0"/>
          <w:bCs w:val="0"/>
          <w:color w:val="auto"/>
          <w:highlight w:val="none"/>
        </w:rPr>
        <w:t>府性基金预算财政拨款收入支出决算表</w:t>
      </w:r>
      <w:bookmarkEnd w:id="162"/>
      <w:bookmarkEnd w:id="163"/>
      <w:bookmarkEnd w:id="164"/>
    </w:p>
    <w:p>
      <w:pPr>
        <w:pStyle w:val="4"/>
        <w:rPr>
          <w:rFonts w:ascii="仿宋" w:hAnsi="仿宋" w:eastAsia="仿宋"/>
          <w:color w:val="auto"/>
          <w:highlight w:val="none"/>
        </w:rPr>
      </w:pPr>
      <w:bookmarkStart w:id="165" w:name="_Toc14039"/>
      <w:bookmarkStart w:id="166" w:name="_Toc15396630"/>
      <w:bookmarkStart w:id="167" w:name="_Toc3049"/>
      <w:r>
        <w:rPr>
          <w:rStyle w:val="28"/>
          <w:rFonts w:hint="eastAsia" w:ascii="仿宋" w:hAnsi="仿宋" w:eastAsia="仿宋"/>
          <w:b w:val="0"/>
          <w:bCs w:val="0"/>
          <w:color w:val="auto"/>
          <w:highlight w:val="none"/>
        </w:rPr>
        <w:t>十二、</w:t>
      </w:r>
      <w:r>
        <w:rPr>
          <w:rFonts w:hint="eastAsia" w:ascii="仿宋" w:hAnsi="仿宋" w:eastAsia="仿宋"/>
          <w:b w:val="0"/>
          <w:color w:val="auto"/>
          <w:highlight w:val="none"/>
        </w:rPr>
        <w:t>政</w:t>
      </w:r>
      <w:r>
        <w:rPr>
          <w:rStyle w:val="28"/>
          <w:rFonts w:hint="eastAsia" w:ascii="仿宋" w:hAnsi="仿宋" w:eastAsia="仿宋"/>
          <w:b w:val="0"/>
          <w:bCs w:val="0"/>
          <w:color w:val="auto"/>
          <w:highlight w:val="none"/>
        </w:rPr>
        <w:t>府性基金预算财政拨款“三公”经费支出决算表</w:t>
      </w:r>
      <w:bookmarkEnd w:id="165"/>
      <w:bookmarkEnd w:id="166"/>
      <w:bookmarkEnd w:id="167"/>
    </w:p>
    <w:p>
      <w:pPr>
        <w:pStyle w:val="4"/>
        <w:rPr>
          <w:rStyle w:val="28"/>
          <w:rFonts w:hint="eastAsia" w:ascii="仿宋" w:hAnsi="仿宋" w:eastAsia="仿宋"/>
          <w:b w:val="0"/>
          <w:bCs w:val="0"/>
          <w:color w:val="auto"/>
          <w:highlight w:val="none"/>
        </w:rPr>
      </w:pPr>
      <w:bookmarkStart w:id="168" w:name="_Toc15730"/>
      <w:bookmarkStart w:id="169" w:name="_Toc15396631"/>
      <w:bookmarkStart w:id="170" w:name="_Toc7513"/>
      <w:r>
        <w:rPr>
          <w:rStyle w:val="28"/>
          <w:rFonts w:hint="eastAsia" w:ascii="仿宋" w:hAnsi="仿宋" w:eastAsia="仿宋"/>
          <w:b w:val="0"/>
          <w:bCs w:val="0"/>
          <w:color w:val="auto"/>
          <w:highlight w:val="none"/>
        </w:rPr>
        <w:t>十三、</w:t>
      </w:r>
      <w:r>
        <w:rPr>
          <w:rFonts w:hint="eastAsia" w:ascii="仿宋" w:hAnsi="仿宋" w:eastAsia="仿宋"/>
          <w:b w:val="0"/>
          <w:color w:val="auto"/>
          <w:highlight w:val="none"/>
        </w:rPr>
        <w:t>国</w:t>
      </w:r>
      <w:r>
        <w:rPr>
          <w:rStyle w:val="28"/>
          <w:rFonts w:hint="eastAsia" w:ascii="仿宋" w:hAnsi="仿宋" w:eastAsia="仿宋"/>
          <w:b w:val="0"/>
          <w:bCs w:val="0"/>
          <w:color w:val="auto"/>
          <w:highlight w:val="none"/>
        </w:rPr>
        <w:t>有资本经营预算</w:t>
      </w:r>
      <w:r>
        <w:rPr>
          <w:rStyle w:val="28"/>
          <w:rFonts w:hint="eastAsia" w:ascii="仿宋" w:hAnsi="仿宋" w:eastAsia="仿宋"/>
          <w:b w:val="0"/>
          <w:bCs w:val="0"/>
          <w:color w:val="auto"/>
          <w:highlight w:val="none"/>
          <w:lang w:eastAsia="zh-CN"/>
        </w:rPr>
        <w:t>财政拨款收入</w:t>
      </w:r>
      <w:r>
        <w:rPr>
          <w:rStyle w:val="28"/>
          <w:rFonts w:hint="eastAsia" w:ascii="仿宋" w:hAnsi="仿宋" w:eastAsia="仿宋"/>
          <w:b w:val="0"/>
          <w:bCs w:val="0"/>
          <w:color w:val="auto"/>
          <w:highlight w:val="none"/>
        </w:rPr>
        <w:t>支出决算表</w:t>
      </w:r>
      <w:bookmarkEnd w:id="168"/>
      <w:bookmarkEnd w:id="169"/>
      <w:bookmarkEnd w:id="170"/>
    </w:p>
    <w:p>
      <w:pPr>
        <w:rPr>
          <w:rFonts w:hint="eastAsia" w:eastAsia="仿宋"/>
          <w:color w:val="auto"/>
          <w:highlight w:val="none"/>
          <w:lang w:eastAsia="zh-CN"/>
        </w:rPr>
      </w:pPr>
      <w:bookmarkStart w:id="171" w:name="_Toc32021"/>
      <w:bookmarkStart w:id="172" w:name="_Toc226"/>
      <w:r>
        <w:rPr>
          <w:rStyle w:val="28"/>
          <w:rFonts w:hint="eastAsia" w:ascii="仿宋" w:hAnsi="仿宋" w:eastAsia="仿宋"/>
          <w:b w:val="0"/>
          <w:bCs w:val="0"/>
          <w:color w:val="auto"/>
          <w:highlight w:val="none"/>
          <w:lang w:eastAsia="zh-CN"/>
        </w:rPr>
        <w:t>十四、国有资本经营预算财政拨款支出决算表</w:t>
      </w:r>
      <w:bookmarkEnd w:id="171"/>
      <w:bookmarkEnd w:id="172"/>
    </w:p>
    <w:sectPr>
      <w:footerReference r:id="rId7" w:type="first"/>
      <w:footerReference r:id="rId6" w:type="default"/>
      <w:pgSz w:w="11906" w:h="16838"/>
      <w:pgMar w:top="1440" w:right="1800" w:bottom="1440" w:left="1800" w:header="851" w:footer="992" w:gutter="0"/>
      <w:pgNumType w:fmt="numberInDash"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roman"/>
    <w:pitch w:val="default"/>
    <w:sig w:usb0="00000000" w:usb1="00000000" w:usb2="00000000" w:usb3="00000000" w:csb0="00000001" w:csb1="00000000"/>
  </w:font>
  <w:font w:name="方正小标宋简体">
    <w:panose1 w:val="02000000000000000000"/>
    <w:charset w:val="86"/>
    <w:family w:val="script"/>
    <w:pitch w:val="default"/>
    <w:sig w:usb0="A00002BF" w:usb1="184F6CFA" w:usb2="00000012"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6848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- 2 -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CWlnYUAgAAFQQAAA4AAABkcnMvZTJvRG9jLnhtbK1Ty47TMBTdI/EP&#10;lvc0aRFD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VtKNFPY0enH99PPh9OvbwQ6ANRaP4PfxsIzdO9MB+dB76GMc3eV&#10;U/HGRAR2QH28wCu6QHgMmk6m0xwmDtvwQP7sMdw6H94Lo0gUCuqwvwQrO6x96F0Hl1hNm1UjZdqh&#10;1KQt6NXrN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gJaWdhQCAAAVBAAADgAAAAAAAAAB&#10;ACAAAAAfAQAAZHJzL2Uyb0RvYy54bWxQSwUGAAAAAAYABgBZAQAApQUAAAAA&#10;">
              <v:fill on="f" focussize="0,0"/>
              <v:stroke on="f" weight="0.5pt"/>
              <v:imagedata o:title=""/>
              <o:lock v:ext="edit" aspectratio="f"/>
              <v:textbox inset="0mm,0mm,0mm,0mm" style="mso-fit-shape-to-text:t;">
                <w:txbxContent>
                  <w:p>
                    <w:pPr>
                      <w:pStyle w:val="9"/>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- 2 -</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6950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memoQT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sCnNFHZ0+frl8u3H5ftnAh0Aaq1fwG9n4Rm616aD86j3UMa5u8qp&#10;eGMiAjugPl/hFV0gPAbNZ/N5DhOHbXwgf/YUbp0Pb4RRJAoFddhfgpWdtj70rqNLrKbNppEy7VBq&#10;0hb05uWrPAVcLUguNWrEIfpmoxS6fTdMtjflGYM503PDW75pUHzLfHhkDmRAwyB4eMBRSYMiZpAo&#10;qY379Dd99MeOYKWkBbkKqsF+SuRbjd1FHo6CG4X9KOijujNg6xQfx/IkIsAFOYqVM+ojWL+ONWBi&#10;mqNSQcMo3oWe4Pg1XKzXyeloXXOo+wAwz7Kw1TvLY5kIpLfrYwCYCeMIUI/KgBu4l7Y0/JNI7l/f&#10;yevpN69+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CZnpqEEwIAABUEAAAOAAAAAAAAAAEA&#10;IAAAAB8BAABkcnMvZTJvRG9jLnhtbFBLBQYAAAAABgAGAFkBAACkBQAAAAA=&#10;">
              <v:fill on="f" focussize="0,0"/>
              <v:stroke on="f" weight="0.5pt"/>
              <v:imagedata o:title=""/>
              <o:lock v:ext="edit" aspectratio="f"/>
              <v:textbox inset="0mm,0mm,0mm,0mm" style="mso-fit-shape-to-text:t;">
                <w:txbxContent>
                  <w:p>
                    <w:pPr>
                      <w:pStyle w:val="9"/>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D14133C8"/>
    <w:multiLevelType w:val="singleLevel"/>
    <w:tmpl w:val="D14133C8"/>
    <w:lvl w:ilvl="0" w:tentative="0">
      <w:start w:val="3"/>
      <w:numFmt w:val="chineseCounting"/>
      <w:suff w:val="nothing"/>
      <w:lvlText w:val="（%1）"/>
      <w:lvlJc w:val="left"/>
      <w:rPr>
        <w:rFonts w:hint="eastAsia"/>
      </w:rPr>
    </w:lvl>
  </w:abstractNum>
  <w:abstractNum w:abstractNumId="2">
    <w:nsid w:val="E2FA047D"/>
    <w:multiLevelType w:val="singleLevel"/>
    <w:tmpl w:val="E2FA047D"/>
    <w:lvl w:ilvl="0" w:tentative="0">
      <w:start w:val="3"/>
      <w:numFmt w:val="chineseCounting"/>
      <w:suff w:val="space"/>
      <w:lvlText w:val="第%1部分"/>
      <w:lvlJc w:val="left"/>
      <w:rPr>
        <w:rFonts w:hint="eastAsia"/>
      </w:rPr>
    </w:lvl>
  </w:abstractNum>
  <w:abstractNum w:abstractNumId="3">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4">
    <w:nsid w:val="21BAC2D0"/>
    <w:multiLevelType w:val="singleLevel"/>
    <w:tmpl w:val="21BAC2D0"/>
    <w:lvl w:ilvl="0" w:tentative="0">
      <w:start w:val="4"/>
      <w:numFmt w:val="chineseCounting"/>
      <w:suff w:val="nothing"/>
      <w:lvlText w:val="%1、"/>
      <w:lvlJc w:val="left"/>
      <w:rPr>
        <w:rFonts w:hint="eastAsia"/>
      </w:rPr>
    </w:lvl>
  </w:abstractNum>
  <w:abstractNum w:abstractNumId="5">
    <w:nsid w:val="4F38E396"/>
    <w:multiLevelType w:val="singleLevel"/>
    <w:tmpl w:val="4F38E396"/>
    <w:lvl w:ilvl="0" w:tentative="0">
      <w:start w:val="2"/>
      <w:numFmt w:val="chineseCounting"/>
      <w:suff w:val="nothing"/>
      <w:lvlText w:val="（%1）"/>
      <w:lvlJc w:val="left"/>
      <w:rPr>
        <w:rFonts w:hint="eastAsia"/>
      </w:rPr>
    </w:lvl>
  </w:abstractNum>
  <w:abstractNum w:abstractNumId="6">
    <w:nsid w:val="554EAD80"/>
    <w:multiLevelType w:val="singleLevel"/>
    <w:tmpl w:val="554EAD80"/>
    <w:lvl w:ilvl="0" w:tentative="0">
      <w:start w:val="2"/>
      <w:numFmt w:val="chineseCounting"/>
      <w:suff w:val="nothing"/>
      <w:lvlText w:val="（%1）"/>
      <w:lvlJc w:val="left"/>
      <w:rPr>
        <w:rFonts w:hint="eastAsia"/>
      </w:rPr>
    </w:lvl>
  </w:abstractNum>
  <w:num w:numId="1">
    <w:abstractNumId w:val="3"/>
  </w:num>
  <w:num w:numId="2">
    <w:abstractNumId w:val="0"/>
  </w:num>
  <w:num w:numId="3">
    <w:abstractNumId w:val="2"/>
  </w:num>
  <w:num w:numId="4">
    <w:abstractNumId w:val="6"/>
  </w:num>
  <w:num w:numId="5">
    <w:abstractNumId w:val="4"/>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FkOTE1MGRmMzE5YzQ0MDcwMmVmNzI5M2JjYzg2ODYifQ=="/>
  </w:docVars>
  <w:rsids>
    <w:rsidRoot w:val="00172A27"/>
    <w:rsid w:val="000222C6"/>
    <w:rsid w:val="0002549F"/>
    <w:rsid w:val="000468DB"/>
    <w:rsid w:val="0006487A"/>
    <w:rsid w:val="00065F8F"/>
    <w:rsid w:val="00070A43"/>
    <w:rsid w:val="00072C34"/>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66FFA"/>
    <w:rsid w:val="0057481D"/>
    <w:rsid w:val="0058486E"/>
    <w:rsid w:val="00585B33"/>
    <w:rsid w:val="0059014D"/>
    <w:rsid w:val="005B5C64"/>
    <w:rsid w:val="005C5337"/>
    <w:rsid w:val="005C6BD0"/>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E23E5"/>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A4B"/>
    <w:rsid w:val="009C2E98"/>
    <w:rsid w:val="009D3447"/>
    <w:rsid w:val="009D4711"/>
    <w:rsid w:val="009F1185"/>
    <w:rsid w:val="009F18CD"/>
    <w:rsid w:val="009F2A13"/>
    <w:rsid w:val="009F7527"/>
    <w:rsid w:val="00A04EB0"/>
    <w:rsid w:val="00A13CC1"/>
    <w:rsid w:val="00A16847"/>
    <w:rsid w:val="00A237D8"/>
    <w:rsid w:val="00A268C4"/>
    <w:rsid w:val="00A307CD"/>
    <w:rsid w:val="00A331C8"/>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7FD8"/>
    <w:rsid w:val="00C91381"/>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82267"/>
    <w:rsid w:val="00E853CE"/>
    <w:rsid w:val="00E867B6"/>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562705C"/>
    <w:rsid w:val="066E0107"/>
    <w:rsid w:val="07996F6E"/>
    <w:rsid w:val="0A2032A3"/>
    <w:rsid w:val="0F2E6E4B"/>
    <w:rsid w:val="101860EC"/>
    <w:rsid w:val="10C055FF"/>
    <w:rsid w:val="118107EC"/>
    <w:rsid w:val="12557610"/>
    <w:rsid w:val="13D50BC4"/>
    <w:rsid w:val="16BB723D"/>
    <w:rsid w:val="1BE8440E"/>
    <w:rsid w:val="1D155CEE"/>
    <w:rsid w:val="1F461226"/>
    <w:rsid w:val="23860B96"/>
    <w:rsid w:val="23B74DF7"/>
    <w:rsid w:val="240371BF"/>
    <w:rsid w:val="27117D71"/>
    <w:rsid w:val="29FD04D3"/>
    <w:rsid w:val="2C8A61B5"/>
    <w:rsid w:val="2DF04E50"/>
    <w:rsid w:val="3106646D"/>
    <w:rsid w:val="319F7F4E"/>
    <w:rsid w:val="32226DA0"/>
    <w:rsid w:val="359F7AA1"/>
    <w:rsid w:val="36AA5135"/>
    <w:rsid w:val="37E16F03"/>
    <w:rsid w:val="3D98207C"/>
    <w:rsid w:val="3F9D61EE"/>
    <w:rsid w:val="44E268DA"/>
    <w:rsid w:val="4A627F82"/>
    <w:rsid w:val="4B4F25DA"/>
    <w:rsid w:val="4BE068DB"/>
    <w:rsid w:val="4D577224"/>
    <w:rsid w:val="4EAB630A"/>
    <w:rsid w:val="4ECE2238"/>
    <w:rsid w:val="5AF92295"/>
    <w:rsid w:val="5CD71FC4"/>
    <w:rsid w:val="5EE654C2"/>
    <w:rsid w:val="5F171F43"/>
    <w:rsid w:val="63BF40D6"/>
    <w:rsid w:val="641C5084"/>
    <w:rsid w:val="65C17CCD"/>
    <w:rsid w:val="66376316"/>
    <w:rsid w:val="680E73DA"/>
    <w:rsid w:val="6C4A05C8"/>
    <w:rsid w:val="6E7E3605"/>
    <w:rsid w:val="6F0671CF"/>
    <w:rsid w:val="6FF5CC65"/>
    <w:rsid w:val="71441F77"/>
    <w:rsid w:val="715C0E4B"/>
    <w:rsid w:val="72734D90"/>
    <w:rsid w:val="73AD73D5"/>
    <w:rsid w:val="73B6EB34"/>
    <w:rsid w:val="746B0BEB"/>
    <w:rsid w:val="75F802B9"/>
    <w:rsid w:val="76505221"/>
    <w:rsid w:val="79EE5BA4"/>
    <w:rsid w:val="7A894339"/>
    <w:rsid w:val="7EEF11D3"/>
    <w:rsid w:val="7FA30C79"/>
    <w:rsid w:val="7FC96657"/>
    <w:rsid w:val="D8D6DB89"/>
    <w:rsid w:val="DB6F4CAB"/>
    <w:rsid w:val="DF6F978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7"/>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8"/>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2">
    <w:name w:val="heading 3"/>
    <w:basedOn w:val="1"/>
    <w:next w:val="1"/>
    <w:link w:val="31"/>
    <w:unhideWhenUsed/>
    <w:qFormat/>
    <w:uiPriority w:val="9"/>
    <w:pPr>
      <w:keepNext/>
      <w:keepLines/>
      <w:spacing w:before="260" w:after="260" w:line="416" w:lineRule="auto"/>
      <w:outlineLvl w:val="2"/>
    </w:pPr>
    <w:rPr>
      <w:b/>
      <w:bCs/>
      <w:sz w:val="32"/>
      <w:szCs w:val="32"/>
    </w:rPr>
  </w:style>
  <w:style w:type="character" w:default="1" w:styleId="15">
    <w:name w:val="Default Paragraph Font"/>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5">
    <w:name w:val="Salutation"/>
    <w:basedOn w:val="1"/>
    <w:next w:val="1"/>
    <w:qFormat/>
    <w:uiPriority w:val="0"/>
  </w:style>
  <w:style w:type="paragraph" w:styleId="6">
    <w:name w:val="Body Text"/>
    <w:basedOn w:val="1"/>
    <w:link w:val="24"/>
    <w:qFormat/>
    <w:uiPriority w:val="99"/>
    <w:pPr>
      <w:spacing w:beforeLines="30"/>
    </w:pPr>
    <w:rPr>
      <w:rFonts w:ascii="仿宋_GB2312" w:eastAsia="仿宋_GB2312"/>
      <w:kern w:val="0"/>
      <w:sz w:val="30"/>
    </w:r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30"/>
    <w:semiHidden/>
    <w:unhideWhenUsed/>
    <w:qFormat/>
    <w:uiPriority w:val="99"/>
    <w:rPr>
      <w:sz w:val="18"/>
      <w:szCs w:val="18"/>
    </w:rPr>
  </w:style>
  <w:style w:type="paragraph" w:styleId="9">
    <w:name w:val="footer"/>
    <w:basedOn w:val="1"/>
    <w:link w:val="22"/>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20"/>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2">
    <w:name w:val="toc 2"/>
    <w:basedOn w:val="1"/>
    <w:next w:val="1"/>
    <w:unhideWhenUsed/>
    <w:qFormat/>
    <w:uiPriority w:val="39"/>
    <w:pPr>
      <w:tabs>
        <w:tab w:val="right" w:leader="dot" w:pos="8296"/>
      </w:tabs>
      <w:ind w:left="420" w:leftChars="200"/>
    </w:pPr>
  </w:style>
  <w:style w:type="paragraph" w:styleId="13">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6">
    <w:name w:val="Strong"/>
    <w:basedOn w:val="15"/>
    <w:qFormat/>
    <w:uiPriority w:val="99"/>
    <w:rPr>
      <w:b/>
    </w:rPr>
  </w:style>
  <w:style w:type="character" w:styleId="17">
    <w:name w:val="page number"/>
    <w:basedOn w:val="15"/>
    <w:qFormat/>
    <w:uiPriority w:val="0"/>
  </w:style>
  <w:style w:type="character" w:styleId="18">
    <w:name w:val="Hyperlink"/>
    <w:basedOn w:val="15"/>
    <w:unhideWhenUsed/>
    <w:qFormat/>
    <w:uiPriority w:val="99"/>
    <w:rPr>
      <w:color w:val="0000FF" w:themeColor="hyperlink"/>
      <w:u w:val="single"/>
      <w14:textFill>
        <w14:solidFill>
          <w14:schemeClr w14:val="hlink"/>
        </w14:solidFill>
      </w14:textFill>
    </w:rPr>
  </w:style>
  <w:style w:type="character" w:customStyle="1" w:styleId="19">
    <w:name w:val="Header Char"/>
    <w:basedOn w:val="15"/>
    <w:semiHidden/>
    <w:qFormat/>
    <w:uiPriority w:val="99"/>
    <w:rPr>
      <w:rFonts w:ascii="Times New Roman" w:hAnsi="Times New Roman"/>
      <w:sz w:val="18"/>
      <w:szCs w:val="18"/>
    </w:rPr>
  </w:style>
  <w:style w:type="character" w:customStyle="1" w:styleId="20">
    <w:name w:val="页眉 Char"/>
    <w:link w:val="10"/>
    <w:semiHidden/>
    <w:qFormat/>
    <w:locked/>
    <w:uiPriority w:val="99"/>
    <w:rPr>
      <w:sz w:val="18"/>
    </w:rPr>
  </w:style>
  <w:style w:type="character" w:customStyle="1" w:styleId="21">
    <w:name w:val="Footer Char"/>
    <w:basedOn w:val="15"/>
    <w:semiHidden/>
    <w:qFormat/>
    <w:uiPriority w:val="99"/>
    <w:rPr>
      <w:rFonts w:ascii="Times New Roman" w:hAnsi="Times New Roman"/>
      <w:sz w:val="18"/>
      <w:szCs w:val="18"/>
    </w:rPr>
  </w:style>
  <w:style w:type="character" w:customStyle="1" w:styleId="22">
    <w:name w:val="页脚 Char"/>
    <w:link w:val="9"/>
    <w:qFormat/>
    <w:locked/>
    <w:uiPriority w:val="99"/>
    <w:rPr>
      <w:sz w:val="18"/>
    </w:rPr>
  </w:style>
  <w:style w:type="character" w:customStyle="1" w:styleId="23">
    <w:name w:val="Body Text Char"/>
    <w:basedOn w:val="15"/>
    <w:semiHidden/>
    <w:qFormat/>
    <w:uiPriority w:val="99"/>
    <w:rPr>
      <w:rFonts w:ascii="Times New Roman" w:hAnsi="Times New Roman"/>
      <w:szCs w:val="24"/>
    </w:rPr>
  </w:style>
  <w:style w:type="character" w:customStyle="1" w:styleId="24">
    <w:name w:val="正文文本 Char"/>
    <w:link w:val="6"/>
    <w:qFormat/>
    <w:locked/>
    <w:uiPriority w:val="99"/>
    <w:rPr>
      <w:rFonts w:ascii="仿宋_GB2312" w:hAnsi="Times New Roman" w:eastAsia="仿宋_GB2312"/>
      <w:sz w:val="24"/>
    </w:rPr>
  </w:style>
  <w:style w:type="paragraph" w:customStyle="1" w:styleId="25">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6">
    <w:name w:val="List Paragraph"/>
    <w:basedOn w:val="1"/>
    <w:qFormat/>
    <w:uiPriority w:val="34"/>
    <w:pPr>
      <w:ind w:firstLine="420" w:firstLineChars="200"/>
    </w:pPr>
  </w:style>
  <w:style w:type="character" w:customStyle="1" w:styleId="27">
    <w:name w:val="标题 1 Char"/>
    <w:basedOn w:val="15"/>
    <w:link w:val="3"/>
    <w:qFormat/>
    <w:uiPriority w:val="9"/>
    <w:rPr>
      <w:rFonts w:ascii="Times New Roman" w:hAnsi="Times New Roman"/>
      <w:b/>
      <w:bCs/>
      <w:kern w:val="44"/>
      <w:sz w:val="44"/>
      <w:szCs w:val="44"/>
    </w:rPr>
  </w:style>
  <w:style w:type="character" w:customStyle="1" w:styleId="28">
    <w:name w:val="标题 2 Char"/>
    <w:basedOn w:val="15"/>
    <w:link w:val="4"/>
    <w:qFormat/>
    <w:uiPriority w:val="9"/>
    <w:rPr>
      <w:rFonts w:asciiTheme="majorHAnsi" w:hAnsiTheme="majorHAnsi" w:eastAsiaTheme="majorEastAsia" w:cstheme="majorBidi"/>
      <w:b/>
      <w:bCs/>
      <w:kern w:val="2"/>
      <w:sz w:val="32"/>
      <w:szCs w:val="32"/>
    </w:rPr>
  </w:style>
  <w:style w:type="paragraph" w:customStyle="1" w:styleId="29">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30">
    <w:name w:val="批注框文本 Char"/>
    <w:basedOn w:val="15"/>
    <w:link w:val="8"/>
    <w:semiHidden/>
    <w:qFormat/>
    <w:uiPriority w:val="99"/>
    <w:rPr>
      <w:rFonts w:ascii="Times New Roman" w:hAnsi="Times New Roman"/>
      <w:kern w:val="2"/>
      <w:sz w:val="18"/>
      <w:szCs w:val="18"/>
    </w:rPr>
  </w:style>
  <w:style w:type="character" w:customStyle="1" w:styleId="31">
    <w:name w:val="标题 3 Char"/>
    <w:basedOn w:val="15"/>
    <w:link w:val="2"/>
    <w:qFormat/>
    <w:uiPriority w:val="9"/>
    <w:rPr>
      <w:rFonts w:ascii="Times New Roman" w:hAnsi="Times New Roman"/>
      <w:b/>
      <w:bCs/>
      <w:kern w:val="2"/>
      <w:sz w:val="32"/>
      <w:szCs w:val="32"/>
    </w:rPr>
  </w:style>
  <w:style w:type="paragraph" w:customStyle="1" w:styleId="32">
    <w:name w:val="TOC Heading"/>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33">
    <w:name w:val="章标题"/>
    <w:basedOn w:val="1"/>
    <w:next w:val="1"/>
    <w:qFormat/>
    <w:uiPriority w:val="99"/>
    <w:pPr>
      <w:widowControl/>
      <w:spacing w:before="158" w:after="153" w:line="323" w:lineRule="atLeast"/>
      <w:ind w:right="-120"/>
      <w:jc w:val="center"/>
      <w:textAlignment w:val="baseline"/>
    </w:pPr>
    <w:rPr>
      <w:rFonts w:ascii="Times New Roman" w:hAnsi="Times New Roman"/>
      <w:color w:val="FF0000"/>
      <w:sz w:val="18"/>
      <w:szCs w:val="24"/>
    </w:rPr>
  </w:style>
  <w:style w:type="paragraph" w:customStyle="1" w:styleId="34">
    <w:name w:val="四号正文"/>
    <w:basedOn w:val="1"/>
    <w:qFormat/>
    <w:uiPriority w:val="0"/>
    <w:pPr>
      <w:spacing w:line="360" w:lineRule="auto"/>
    </w:pPr>
    <w:rPr>
      <w:rFonts w:ascii="??" w:hAnsi="??" w:eastAsia="宋体" w:cs="宋体"/>
      <w:color w:val="000000"/>
      <w:kern w:val="0"/>
      <w:sz w:val="28"/>
      <w:szCs w:val="21"/>
    </w:rPr>
  </w:style>
  <w:style w:type="paragraph" w:customStyle="1" w:styleId="35">
    <w:name w:val="图表目录1"/>
    <w:basedOn w:val="1"/>
    <w:next w:val="1"/>
    <w:qFormat/>
    <w:uiPriority w:val="99"/>
    <w:pPr>
      <w:ind w:left="200" w:leftChars="200" w:hanging="200" w:hangingChars="200"/>
    </w:pPr>
  </w:style>
  <w:style w:type="paragraph" w:customStyle="1" w:styleId="36">
    <w:name w:val="WPSOffice手动目录 1"/>
    <w:uiPriority w:val="0"/>
    <w:pPr>
      <w:ind w:leftChars="0"/>
    </w:pPr>
    <w:rPr>
      <w:rFonts w:ascii="Times New Roman" w:hAnsi="Times New Roman" w:eastAsia="宋体" w:cs="Times New Roman"/>
      <w:sz w:val="20"/>
      <w:szCs w:val="20"/>
    </w:rPr>
  </w:style>
  <w:style w:type="paragraph" w:customStyle="1" w:styleId="37">
    <w:name w:val="WPSOffice手动目录 2"/>
    <w:qFormat/>
    <w:uiPriority w:val="0"/>
    <w:pPr>
      <w:ind w:leftChars="200"/>
    </w:pPr>
    <w:rPr>
      <w:rFonts w:ascii="Times New Roman" w:hAnsi="Times New Roman" w:eastAsia="宋体" w:cs="Times New Roman"/>
      <w:sz w:val="20"/>
      <w:szCs w:val="20"/>
    </w:rPr>
  </w:style>
  <w:style w:type="paragraph" w:customStyle="1" w:styleId="38">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1.bin"/><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image" Target="media/image10.emf"/><Relationship Id="rId27" Type="http://schemas.openxmlformats.org/officeDocument/2006/relationships/oleObject" Target="embeddings/oleObject10.bin"/><Relationship Id="rId26" Type="http://schemas.openxmlformats.org/officeDocument/2006/relationships/image" Target="media/image9.emf"/><Relationship Id="rId25" Type="http://schemas.openxmlformats.org/officeDocument/2006/relationships/oleObject" Target="embeddings/oleObject9.bin"/><Relationship Id="rId24" Type="http://schemas.openxmlformats.org/officeDocument/2006/relationships/image" Target="media/image8.emf"/><Relationship Id="rId23" Type="http://schemas.openxmlformats.org/officeDocument/2006/relationships/oleObject" Target="embeddings/oleObject8.bin"/><Relationship Id="rId22" Type="http://schemas.openxmlformats.org/officeDocument/2006/relationships/image" Target="media/image7.emf"/><Relationship Id="rId21" Type="http://schemas.openxmlformats.org/officeDocument/2006/relationships/oleObject" Target="embeddings/oleObject7.bin"/><Relationship Id="rId20" Type="http://schemas.openxmlformats.org/officeDocument/2006/relationships/image" Target="media/image6.emf"/><Relationship Id="rId2" Type="http://schemas.openxmlformats.org/officeDocument/2006/relationships/settings" Target="settings.xml"/><Relationship Id="rId19" Type="http://schemas.openxmlformats.org/officeDocument/2006/relationships/oleObject" Target="embeddings/oleObject6.bin"/><Relationship Id="rId18" Type="http://schemas.openxmlformats.org/officeDocument/2006/relationships/image" Target="media/image5.emf"/><Relationship Id="rId17" Type="http://schemas.openxmlformats.org/officeDocument/2006/relationships/oleObject" Target="embeddings/oleObject5.bin"/><Relationship Id="rId16" Type="http://schemas.openxmlformats.org/officeDocument/2006/relationships/image" Target="media/image4.emf"/><Relationship Id="rId15" Type="http://schemas.openxmlformats.org/officeDocument/2006/relationships/oleObject" Target="embeddings/oleObject4.bin"/><Relationship Id="rId14" Type="http://schemas.openxmlformats.org/officeDocument/2006/relationships/image" Target="media/image3.emf"/><Relationship Id="rId13" Type="http://schemas.openxmlformats.org/officeDocument/2006/relationships/oleObject" Target="embeddings/oleObject3.bin"/><Relationship Id="rId12" Type="http://schemas.openxmlformats.org/officeDocument/2006/relationships/image" Target="media/image2.emf"/><Relationship Id="rId11" Type="http://schemas.openxmlformats.org/officeDocument/2006/relationships/oleObject" Target="embeddings/oleObject2.bin"/><Relationship Id="rId10" Type="http://schemas.openxmlformats.org/officeDocument/2006/relationships/image" Target="media/image1.emf"/><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44</Pages>
  <Words>15084</Words>
  <Characters>16323</Characters>
  <Lines>61</Lines>
  <Paragraphs>17</Paragraphs>
  <TotalTime>3</TotalTime>
  <ScaleCrop>false</ScaleCrop>
  <LinksUpToDate>false</LinksUpToDate>
  <CharactersWithSpaces>16645</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2020-08-05T01:49:00Z</dcterms:created>
  <dc:creator>曹颖</dc:creator>
  <cp:lastModifiedBy>Q</cp:lastModifiedBy>
  <cp:lastPrinted>2022-10-11T07:14:00Z</cp:lastPrinted>
  <dcterms:modified xsi:type="dcterms:W3CDTF">2024-12-02T01:11:38Z</dcterms:modified>
  <dc:title>四川省***</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ED027CA31C8F460F9CCD3B48D34CE9F2</vt:lpwstr>
  </property>
</Properties>
</file>