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6"/>
        </w:rPr>
      </w:pPr>
      <w:bookmarkStart w:id="2" w:name="_GoBack"/>
      <w:bookmarkEnd w:id="2"/>
      <w:r>
        <w:rPr>
          <w:rFonts w:ascii="Times New Roman" w:hAnsi="Times New Roman" w:cs="Times New Roman"/>
          <w:b/>
          <w:sz w:val="36"/>
        </w:rPr>
        <w:t>四川旺苍经济开发区总体</w:t>
      </w:r>
      <w:r>
        <w:rPr>
          <w:rFonts w:hint="eastAsia" w:ascii="Times New Roman" w:hAnsi="Times New Roman" w:cs="Times New Roman"/>
          <w:b/>
          <w:sz w:val="36"/>
        </w:rPr>
        <w:t>规划</w:t>
      </w:r>
    </w:p>
    <w:p>
      <w:pPr>
        <w:jc w:val="center"/>
        <w:rPr>
          <w:rFonts w:hint="eastAsia" w:ascii="Times New Roman" w:hAnsi="Times New Roman" w:cs="Times New Roman"/>
          <w:b/>
          <w:sz w:val="36"/>
        </w:rPr>
      </w:pPr>
      <w:r>
        <w:rPr>
          <w:rFonts w:ascii="Times New Roman" w:hAnsi="Times New Roman" w:cs="Times New Roman"/>
          <w:b/>
          <w:sz w:val="36"/>
        </w:rPr>
        <w:t>环境影响报告书第二次公示</w:t>
      </w:r>
      <w:r>
        <w:rPr>
          <w:rFonts w:hint="eastAsia" w:ascii="Times New Roman" w:hAnsi="Times New Roman" w:cs="Times New Roman"/>
          <w:b/>
          <w:sz w:val="36"/>
        </w:rPr>
        <w:t>（征求意见稿）</w:t>
      </w:r>
    </w:p>
    <w:p>
      <w:pPr>
        <w:pStyle w:val="19"/>
        <w:ind w:firstLine="482"/>
        <w:outlineLvl w:val="0"/>
        <w:rPr>
          <w:b/>
          <w:bCs/>
        </w:rPr>
      </w:pPr>
      <w:r>
        <w:rPr>
          <w:b/>
          <w:bCs/>
        </w:rPr>
        <w:t>一、规划</w:t>
      </w:r>
      <w:r>
        <w:rPr>
          <w:rFonts w:hint="eastAsia"/>
          <w:b/>
          <w:bCs/>
        </w:rPr>
        <w:t>概况</w:t>
      </w:r>
    </w:p>
    <w:p>
      <w:pPr>
        <w:pStyle w:val="19"/>
        <w:rPr>
          <w:rFonts w:hint="eastAsia" w:hAnsi="宋体"/>
          <w:bCs/>
        </w:rPr>
      </w:pPr>
      <w:r>
        <w:rPr>
          <w:rFonts w:hAnsi="宋体"/>
          <w:bCs/>
        </w:rPr>
        <w:t>四川旺苍经济开发区规划总面积</w:t>
      </w:r>
      <w:r>
        <w:rPr>
          <w:rFonts w:hint="eastAsia" w:hAnsi="宋体"/>
          <w:bCs/>
        </w:rPr>
        <w:t>633.66公顷，包括</w:t>
      </w:r>
      <w:r>
        <w:rPr>
          <w:rFonts w:hAnsi="宋体"/>
          <w:bCs/>
        </w:rPr>
        <w:t>煤资源综合利用功能区(含旺苍嘉川化工园区)、生物资源综合利用功能区</w:t>
      </w:r>
      <w:r>
        <w:rPr>
          <w:rFonts w:hint="eastAsia" w:hAnsi="宋体"/>
          <w:bCs/>
        </w:rPr>
        <w:t>A区、</w:t>
      </w:r>
      <w:r>
        <w:rPr>
          <w:rFonts w:hAnsi="宋体"/>
          <w:bCs/>
        </w:rPr>
        <w:t>机械加工制造功能区和生物资源综合利用功能区</w:t>
      </w:r>
      <w:r>
        <w:rPr>
          <w:rFonts w:hint="eastAsia" w:hAnsi="宋体"/>
          <w:bCs/>
        </w:rPr>
        <w:t>B区</w:t>
      </w:r>
      <w:r>
        <w:rPr>
          <w:rFonts w:hAnsi="宋体"/>
          <w:bCs/>
        </w:rPr>
        <w:t>。其中，煤资源综合利用功能区(含旺苍嘉川化工园区)以煤化工、天然气综合利用和钒资源综合利用为主导产业，适度发展矿产资源加工产业；生物资源综合利用功能区</w:t>
      </w:r>
      <w:r>
        <w:rPr>
          <w:rFonts w:hint="eastAsia" w:hAnsi="宋体"/>
          <w:bCs/>
        </w:rPr>
        <w:t>A区以旺苍县特色生物资源(如杜仲等)综合利用加工项目为</w:t>
      </w:r>
      <w:r>
        <w:rPr>
          <w:rFonts w:hAnsi="宋体"/>
          <w:bCs/>
        </w:rPr>
        <w:t>主导产业；机械加工制造功能区以机械加工、零部件制造为主导产业，优化延伸产业链；生物资源综合利用功能区以农副产品加工、食品、饮料制造为主导产业。</w:t>
      </w:r>
    </w:p>
    <w:p>
      <w:pPr>
        <w:pStyle w:val="19"/>
        <w:ind w:firstLine="482"/>
        <w:outlineLvl w:val="0"/>
        <w:rPr>
          <w:b/>
          <w:bCs/>
        </w:rPr>
      </w:pPr>
      <w:r>
        <w:rPr>
          <w:b/>
          <w:bCs/>
        </w:rPr>
        <w:t>二、</w:t>
      </w:r>
      <w:r>
        <w:rPr>
          <w:rFonts w:hint="eastAsia"/>
          <w:b/>
          <w:bCs/>
        </w:rPr>
        <w:t>区域开发现状</w:t>
      </w:r>
    </w:p>
    <w:p>
      <w:pPr>
        <w:pStyle w:val="19"/>
        <w:rPr>
          <w:rFonts w:hAnsi="宋体"/>
          <w:bCs/>
        </w:rPr>
      </w:pPr>
      <w:r>
        <w:rPr>
          <w:rFonts w:hAnsi="宋体"/>
          <w:bCs/>
        </w:rPr>
        <w:t>经过多年的发展，四川旺苍经济开发区目前主要入驻企业23家。其中，机械加工制造功能区现状开发用地面积60.63hm</w:t>
      </w:r>
      <w:r>
        <w:rPr>
          <w:rFonts w:hAnsi="宋体"/>
          <w:bCs/>
          <w:vertAlign w:val="superscript"/>
        </w:rPr>
        <w:t>2</w:t>
      </w:r>
      <w:r>
        <w:rPr>
          <w:rFonts w:hAnsi="宋体"/>
          <w:bCs/>
        </w:rPr>
        <w:t>，开发建设程度为43.52%，主要入驻企业9家，实现工业产值20.89亿元；煤资源综合利用功能区现状开发用地面积56.53hm</w:t>
      </w:r>
      <w:r>
        <w:rPr>
          <w:rFonts w:hAnsi="宋体"/>
          <w:bCs/>
          <w:vertAlign w:val="superscript"/>
        </w:rPr>
        <w:t>2</w:t>
      </w:r>
      <w:r>
        <w:rPr>
          <w:rFonts w:hAnsi="宋体"/>
          <w:bCs/>
        </w:rPr>
        <w:t>，开发建设程度为21.14%，主要入驻企业5家，实现工业产值35.17亿元；生物资源综合利用功能区A区现状开发用地面积12.26hm</w:t>
      </w:r>
      <w:r>
        <w:rPr>
          <w:rFonts w:hAnsi="宋体"/>
          <w:bCs/>
          <w:vertAlign w:val="superscript"/>
        </w:rPr>
        <w:t>2</w:t>
      </w:r>
      <w:r>
        <w:rPr>
          <w:rFonts w:hAnsi="宋体"/>
          <w:bCs/>
        </w:rPr>
        <w:t>，开发建设程度为8.39%，仅入驻企业1家，实现工业产值15.93亿元；生物资源综合利用功能区B区现状开发用地面积48.93hm</w:t>
      </w:r>
      <w:r>
        <w:rPr>
          <w:rFonts w:hAnsi="宋体"/>
          <w:bCs/>
          <w:vertAlign w:val="superscript"/>
        </w:rPr>
        <w:t>2</w:t>
      </w:r>
      <w:r>
        <w:rPr>
          <w:rFonts w:hAnsi="宋体"/>
          <w:bCs/>
        </w:rPr>
        <w:t>，开发建设程度为58.80%，主要入驻企业8家，实现工业产值7.49亿元。</w:t>
      </w:r>
    </w:p>
    <w:p>
      <w:pPr>
        <w:pStyle w:val="19"/>
        <w:ind w:firstLine="482"/>
        <w:outlineLvl w:val="0"/>
        <w:rPr>
          <w:b/>
          <w:bCs/>
        </w:rPr>
      </w:pPr>
      <w:r>
        <w:rPr>
          <w:rFonts w:hint="eastAsia"/>
          <w:b/>
          <w:bCs/>
        </w:rPr>
        <w:t>三</w:t>
      </w:r>
      <w:r>
        <w:rPr>
          <w:b/>
          <w:bCs/>
        </w:rPr>
        <w:t>、</w:t>
      </w:r>
      <w:r>
        <w:rPr>
          <w:rFonts w:hint="eastAsia"/>
          <w:b/>
          <w:bCs/>
        </w:rPr>
        <w:t>区域环境质量现状及变化趋势</w:t>
      </w:r>
    </w:p>
    <w:p>
      <w:pPr>
        <w:pStyle w:val="19"/>
        <w:ind w:firstLine="464"/>
        <w:rPr>
          <w:spacing w:val="-4"/>
        </w:rPr>
      </w:pPr>
      <w:bookmarkStart w:id="0" w:name="_Toc13476604"/>
      <w:r>
        <w:rPr>
          <w:spacing w:val="-4"/>
        </w:rPr>
        <w:t>（1）</w:t>
      </w:r>
      <w:r>
        <w:rPr>
          <w:rFonts w:hint="eastAsia"/>
          <w:spacing w:val="-4"/>
        </w:rPr>
        <w:t>环境空气</w:t>
      </w:r>
      <w:r>
        <w:rPr>
          <w:spacing w:val="-4"/>
        </w:rPr>
        <w:t>质量</w:t>
      </w:r>
    </w:p>
    <w:p>
      <w:pPr>
        <w:pStyle w:val="19"/>
        <w:rPr>
          <w:spacing w:val="-4"/>
        </w:rPr>
      </w:pPr>
      <w:r>
        <w:rPr>
          <w:rFonts w:eastAsiaTheme="minorEastAsia"/>
        </w:rPr>
        <w:t>2015~2021</w:t>
      </w:r>
      <w:r>
        <w:rPr>
          <w:rFonts w:eastAsiaTheme="minorEastAsia"/>
          <w:spacing w:val="-2"/>
        </w:rPr>
        <w:t>年7年间，旺苍县SO</w:t>
      </w:r>
      <w:r>
        <w:rPr>
          <w:rFonts w:eastAsiaTheme="minorEastAsia"/>
          <w:spacing w:val="-2"/>
          <w:vertAlign w:val="subscript"/>
        </w:rPr>
        <w:t>2</w:t>
      </w:r>
      <w:r>
        <w:rPr>
          <w:rFonts w:eastAsiaTheme="minorEastAsia"/>
          <w:spacing w:val="-2"/>
        </w:rPr>
        <w:t>、NO</w:t>
      </w:r>
      <w:r>
        <w:rPr>
          <w:rFonts w:eastAsiaTheme="minorEastAsia"/>
          <w:spacing w:val="-2"/>
          <w:vertAlign w:val="subscript"/>
        </w:rPr>
        <w:t>2</w:t>
      </w:r>
      <w:r>
        <w:rPr>
          <w:rFonts w:eastAsiaTheme="minorEastAsia"/>
          <w:spacing w:val="-2"/>
        </w:rPr>
        <w:t>年均值浓度、CO 24小时平均第95百分位浓度和O</w:t>
      </w:r>
      <w:r>
        <w:rPr>
          <w:rFonts w:eastAsiaTheme="minorEastAsia"/>
          <w:spacing w:val="-2"/>
          <w:vertAlign w:val="subscript"/>
        </w:rPr>
        <w:t>3</w:t>
      </w:r>
      <w:r>
        <w:rPr>
          <w:rFonts w:eastAsiaTheme="minorEastAsia"/>
          <w:spacing w:val="-2"/>
        </w:rPr>
        <w:t>日最大8小时滑动平均值第90百分位数浓度均能满足《环境空气质量标准》(GB3095-2012)中二类区标准限值；PM</w:t>
      </w:r>
      <w:r>
        <w:rPr>
          <w:rFonts w:eastAsiaTheme="minorEastAsia"/>
          <w:spacing w:val="-2"/>
          <w:vertAlign w:val="subscript"/>
        </w:rPr>
        <w:t>10</w:t>
      </w:r>
      <w:r>
        <w:rPr>
          <w:rFonts w:eastAsiaTheme="minorEastAsia"/>
          <w:spacing w:val="-2"/>
        </w:rPr>
        <w:t>年均值浓度自2019年开始能够满足《环境空气质量标准》(GB3095-2012)中二类区标准限值；PM</w:t>
      </w:r>
      <w:r>
        <w:rPr>
          <w:rFonts w:eastAsiaTheme="minorEastAsia"/>
          <w:spacing w:val="-2"/>
          <w:vertAlign w:val="subscript"/>
        </w:rPr>
        <w:t>2.5</w:t>
      </w:r>
      <w:r>
        <w:rPr>
          <w:rFonts w:eastAsiaTheme="minorEastAsia"/>
          <w:spacing w:val="-2"/>
        </w:rPr>
        <w:t>年均值浓度在2020年开始满足《环境空气质量标准》(GB3095-2012)中二类区标准限值。</w:t>
      </w:r>
    </w:p>
    <w:p>
      <w:pPr>
        <w:pStyle w:val="19"/>
        <w:ind w:firstLine="464"/>
        <w:rPr>
          <w:spacing w:val="-4"/>
        </w:rPr>
      </w:pPr>
      <w:r>
        <w:rPr>
          <w:rFonts w:hint="eastAsia"/>
          <w:spacing w:val="-4"/>
        </w:rPr>
        <w:t>补充监测结果表明，评价区域特征污染物监测指标均能满足《环境空气质量标准》(GB3095-2012)二级标准及《环境影响评价技术导则大气环境》(HJ2.2-2018)附录D相关污染物浓度限值要求。</w:t>
      </w:r>
    </w:p>
    <w:p>
      <w:pPr>
        <w:pStyle w:val="19"/>
        <w:ind w:firstLine="464"/>
        <w:rPr>
          <w:spacing w:val="-4"/>
        </w:rPr>
      </w:pPr>
      <w:r>
        <w:rPr>
          <w:rFonts w:hint="eastAsia"/>
          <w:spacing w:val="-4"/>
        </w:rPr>
        <w:t>（2）地表水环境质量</w:t>
      </w:r>
    </w:p>
    <w:p>
      <w:pPr>
        <w:pStyle w:val="19"/>
        <w:rPr>
          <w:color w:val="FF0000"/>
          <w:spacing w:val="-4"/>
        </w:rPr>
      </w:pPr>
      <w:r>
        <w:rPr>
          <w:rFonts w:eastAsiaTheme="minorEastAsia"/>
        </w:rPr>
        <w:t>2015~2021</w:t>
      </w:r>
      <w:r>
        <w:rPr>
          <w:rFonts w:eastAsiaTheme="minorEastAsia"/>
          <w:spacing w:val="-2"/>
        </w:rPr>
        <w:t>年7年间，</w:t>
      </w:r>
      <w:r>
        <w:rPr>
          <w:rFonts w:eastAsiaTheme="minorEastAsia"/>
        </w:rPr>
        <w:t>苍旺坝渡口市控断面CODcr、NH</w:t>
      </w:r>
      <w:r>
        <w:rPr>
          <w:rFonts w:eastAsiaTheme="minorEastAsia"/>
          <w:vertAlign w:val="subscript"/>
        </w:rPr>
        <w:t>3</w:t>
      </w:r>
      <w:r>
        <w:rPr>
          <w:rFonts w:eastAsiaTheme="minorEastAsia"/>
        </w:rPr>
        <w:t>-N、TP均能稳定满足《地表水环境质量标准》(GB3838-2002)中</w:t>
      </w:r>
      <w:r>
        <w:rPr>
          <w:rFonts w:asciiTheme="minorEastAsia" w:hAnsiTheme="minorEastAsia" w:eastAsiaTheme="minorEastAsia"/>
        </w:rPr>
        <w:t>Ⅲ</w:t>
      </w:r>
      <w:r>
        <w:rPr>
          <w:rFonts w:eastAsiaTheme="minorEastAsia"/>
        </w:rPr>
        <w:t>类水域标准要求。</w:t>
      </w:r>
    </w:p>
    <w:p>
      <w:pPr>
        <w:pStyle w:val="19"/>
        <w:ind w:firstLine="464"/>
        <w:rPr>
          <w:spacing w:val="-4"/>
        </w:rPr>
      </w:pPr>
      <w:r>
        <w:rPr>
          <w:rFonts w:hint="eastAsia"/>
          <w:spacing w:val="-4"/>
        </w:rPr>
        <w:t>补充监测结果表明，各参与评价的监测因子均能满足《地表水环境质量标准》(GB3838-2002)中</w:t>
      </w:r>
      <w:r>
        <w:rPr>
          <w:rFonts w:asciiTheme="minorEastAsia" w:hAnsiTheme="minorEastAsia" w:eastAsiaTheme="minorEastAsia"/>
        </w:rPr>
        <w:t>Ⅲ</w:t>
      </w:r>
      <w:r>
        <w:rPr>
          <w:rFonts w:eastAsiaTheme="minorEastAsia"/>
        </w:rPr>
        <w:t>类水域标准要求。</w:t>
      </w:r>
    </w:p>
    <w:p>
      <w:pPr>
        <w:pStyle w:val="19"/>
        <w:ind w:firstLine="464"/>
        <w:rPr>
          <w:spacing w:val="-4"/>
        </w:rPr>
      </w:pPr>
      <w:r>
        <w:rPr>
          <w:rFonts w:hint="eastAsia"/>
          <w:spacing w:val="-4"/>
        </w:rPr>
        <w:t>（3）地下水环境质量</w:t>
      </w:r>
    </w:p>
    <w:p>
      <w:pPr>
        <w:pStyle w:val="19"/>
        <w:rPr>
          <w:spacing w:val="-4"/>
        </w:rPr>
      </w:pPr>
      <w:r>
        <w:rPr>
          <w:rFonts w:eastAsiaTheme="minorEastAsia"/>
          <w:iCs/>
        </w:rPr>
        <w:t>区域地下水部分监测点位</w:t>
      </w:r>
      <w:r>
        <w:rPr>
          <w:rFonts w:eastAsiaTheme="minorEastAsia"/>
        </w:rPr>
        <w:t>总硬度、细菌总数和总大肠菌群超标，其余监测因子满足《地下水质量标准》(GB/T14848-2017)中</w:t>
      </w:r>
      <w:r>
        <w:rPr>
          <w:rFonts w:asciiTheme="minorEastAsia" w:hAnsiTheme="minorEastAsia" w:eastAsiaTheme="minorEastAsia"/>
        </w:rPr>
        <w:t>Ⅲ</w:t>
      </w:r>
      <w:r>
        <w:rPr>
          <w:rFonts w:eastAsiaTheme="minorEastAsia"/>
        </w:rPr>
        <w:t>类标准要求。</w:t>
      </w:r>
    </w:p>
    <w:p>
      <w:pPr>
        <w:pStyle w:val="19"/>
        <w:ind w:firstLine="464"/>
        <w:rPr>
          <w:spacing w:val="-4"/>
        </w:rPr>
      </w:pPr>
      <w:r>
        <w:rPr>
          <w:rFonts w:hint="eastAsia"/>
          <w:spacing w:val="-4"/>
        </w:rPr>
        <w:t>（4）土壤环境质量</w:t>
      </w:r>
    </w:p>
    <w:p>
      <w:pPr>
        <w:pStyle w:val="19"/>
        <w:rPr>
          <w:spacing w:val="-4"/>
        </w:rPr>
      </w:pPr>
      <w:r>
        <w:rPr>
          <w:rFonts w:eastAsiaTheme="minorEastAsia"/>
          <w:bCs/>
        </w:rPr>
        <w:t>现状土壤监测均满足《土壤环境质量 建设用地土壤污染风险管控标准》(GB36600-2018)中相应标准要求</w:t>
      </w:r>
      <w:r>
        <w:rPr>
          <w:rFonts w:eastAsiaTheme="minorEastAsia"/>
        </w:rPr>
        <w:t>。</w:t>
      </w:r>
    </w:p>
    <w:p>
      <w:pPr>
        <w:pStyle w:val="19"/>
        <w:ind w:firstLine="464"/>
        <w:rPr>
          <w:spacing w:val="-4"/>
        </w:rPr>
      </w:pPr>
      <w:r>
        <w:rPr>
          <w:rFonts w:hint="eastAsia"/>
          <w:spacing w:val="-4"/>
        </w:rPr>
        <w:t>（5）声学环境质量</w:t>
      </w:r>
    </w:p>
    <w:p>
      <w:pPr>
        <w:pStyle w:val="19"/>
        <w:rPr>
          <w:spacing w:val="-4"/>
        </w:rPr>
      </w:pPr>
      <w:r>
        <w:rPr>
          <w:rFonts w:eastAsiaTheme="minorEastAsia"/>
        </w:rPr>
        <w:t>各监测点昼间、夜间噪声值均能达到《声环境质量标准》(GB3096-2008)中3类标准要求。</w:t>
      </w:r>
    </w:p>
    <w:p>
      <w:pPr>
        <w:pStyle w:val="19"/>
        <w:ind w:firstLine="482"/>
        <w:outlineLvl w:val="0"/>
        <w:rPr>
          <w:b/>
          <w:bCs/>
        </w:rPr>
      </w:pPr>
      <w:r>
        <w:rPr>
          <w:rFonts w:hint="eastAsia"/>
          <w:b/>
          <w:bCs/>
        </w:rPr>
        <w:t>四、</w:t>
      </w:r>
      <w:r>
        <w:rPr>
          <w:b/>
          <w:bCs/>
        </w:rPr>
        <w:t>规划实施的环境制约因素及</w:t>
      </w:r>
      <w:r>
        <w:rPr>
          <w:rFonts w:hint="eastAsia"/>
          <w:b/>
          <w:bCs/>
        </w:rPr>
        <w:t>对策措施</w:t>
      </w:r>
      <w:bookmarkEnd w:id="0"/>
    </w:p>
    <w:p>
      <w:pPr>
        <w:pStyle w:val="19"/>
        <w:rPr>
          <w:rFonts w:eastAsiaTheme="minorEastAsia"/>
        </w:rPr>
      </w:pPr>
      <w:r>
        <w:rPr>
          <w:rFonts w:hint="eastAsia" w:eastAsiaTheme="minorEastAsia"/>
        </w:rPr>
        <w:t>1、白水河(西河)地表水环境容量有限。</w:t>
      </w:r>
    </w:p>
    <w:p>
      <w:pPr>
        <w:pStyle w:val="19"/>
        <w:rPr>
          <w:rFonts w:eastAsiaTheme="minorEastAsia"/>
        </w:rPr>
      </w:pPr>
      <w:r>
        <w:rPr>
          <w:rFonts w:hint="eastAsia" w:eastAsiaTheme="minorEastAsia"/>
        </w:rPr>
        <w:t>解决对策：</w:t>
      </w:r>
    </w:p>
    <w:p>
      <w:pPr>
        <w:pStyle w:val="19"/>
        <w:rPr>
          <w:bCs/>
        </w:rPr>
      </w:pPr>
      <w:r>
        <w:rPr>
          <w:rFonts w:hint="eastAsia" w:ascii="宋体" w:hAnsi="宋体" w:cs="宋体"/>
          <w:bCs/>
        </w:rPr>
        <w:t>⑴</w:t>
      </w:r>
      <w:r>
        <w:rPr>
          <w:bCs/>
        </w:rPr>
        <w:t>、煤资源综合利用功能区(含旺苍嘉川化工园区)污水处理厂尾水满足《城镇污水处理厂污染物排放标准》(GB18918-2002)中一级A标准后，近期排入白水河(西河)，远期排入东河。</w:t>
      </w:r>
    </w:p>
    <w:p>
      <w:pPr>
        <w:pStyle w:val="19"/>
        <w:rPr>
          <w:bCs/>
        </w:rPr>
      </w:pPr>
      <w:r>
        <w:rPr>
          <w:rFonts w:hint="eastAsia" w:ascii="宋体" w:hAnsi="宋体" w:cs="宋体"/>
          <w:bCs/>
        </w:rPr>
        <w:t>⑵</w:t>
      </w:r>
      <w:r>
        <w:rPr>
          <w:bCs/>
        </w:rPr>
        <w:t>、煤资源综合利用功能区(含旺苍嘉川化工园区)、生物资源综合利用功能区A区入驻企业应加强水资源的重复利用，尽量做到能用尽用，以减少废水的排放量。</w:t>
      </w:r>
    </w:p>
    <w:p>
      <w:pPr>
        <w:pStyle w:val="19"/>
        <w:rPr>
          <w:bCs/>
        </w:rPr>
      </w:pPr>
      <w:r>
        <w:rPr>
          <w:rFonts w:hint="eastAsia" w:ascii="宋体" w:hAnsi="宋体" w:cs="宋体"/>
          <w:bCs/>
        </w:rPr>
        <w:t>⑶</w:t>
      </w:r>
      <w:r>
        <w:rPr>
          <w:bCs/>
        </w:rPr>
        <w:t>、规划园区发展过程中应特别注意水环境容量问题，以满足白水河(西河)水环境容量为限，结合园区发展情况，适时建设煤资源综合利用功能区(含旺苍嘉川化工园区)污水处理厂至东河的排水管道。</w:t>
      </w:r>
    </w:p>
    <w:p>
      <w:pPr>
        <w:pStyle w:val="19"/>
        <w:rPr>
          <w:rFonts w:eastAsiaTheme="minorEastAsia"/>
        </w:rPr>
      </w:pPr>
      <w:r>
        <w:rPr>
          <w:rFonts w:hint="eastAsia" w:eastAsiaTheme="minorEastAsia"/>
        </w:rPr>
        <w:t>2、</w:t>
      </w:r>
      <w:r>
        <w:rPr>
          <w:rFonts w:eastAsiaTheme="minorEastAsia"/>
        </w:rPr>
        <w:t>规划区现有配套基础设施不完善，区域截排污管网建设滞后。</w:t>
      </w:r>
    </w:p>
    <w:p>
      <w:pPr>
        <w:pStyle w:val="19"/>
        <w:spacing w:before="240" w:after="240"/>
        <w:rPr>
          <w:rFonts w:eastAsiaTheme="minorEastAsia"/>
        </w:rPr>
      </w:pPr>
      <w:r>
        <w:rPr>
          <w:rFonts w:hint="eastAsia" w:eastAsiaTheme="minorEastAsia"/>
        </w:rPr>
        <w:t>解决对策：</w:t>
      </w:r>
    </w:p>
    <w:p>
      <w:pPr>
        <w:pStyle w:val="19"/>
        <w:rPr>
          <w:bCs/>
        </w:rPr>
      </w:pPr>
      <w:r>
        <w:rPr>
          <w:bCs/>
        </w:rPr>
        <w:t>优先安排且加快煤资源综合利用功能区(含旺苍嘉川化工园区)污水处理厂和生物资源综合利用功能区A区污水处理厂及其配套污水管网建设，确保该两个功能区污水收集率、处理率达100%，同时保证污水处理达《城镇污水处理厂污染物排放标准》(GB18918-2002)中一级A标准排放。</w:t>
      </w:r>
    </w:p>
    <w:p>
      <w:pPr>
        <w:pStyle w:val="19"/>
        <w:rPr>
          <w:rFonts w:eastAsiaTheme="minorEastAsia"/>
        </w:rPr>
      </w:pPr>
      <w:r>
        <w:rPr>
          <w:rFonts w:hint="eastAsia" w:eastAsiaTheme="minorEastAsia"/>
        </w:rPr>
        <w:t>3、</w:t>
      </w:r>
      <w:r>
        <w:rPr>
          <w:rFonts w:eastAsiaTheme="minorEastAsia"/>
        </w:rPr>
        <w:t>旺苍县城靠近生物资源综合利用功能区；嘉川镇位于机械加工制造功能区和煤资源综合利用功能区之间。</w:t>
      </w:r>
    </w:p>
    <w:p>
      <w:pPr>
        <w:pStyle w:val="19"/>
        <w:spacing w:before="240" w:after="240"/>
        <w:rPr>
          <w:rFonts w:eastAsiaTheme="minorEastAsia"/>
        </w:rPr>
      </w:pPr>
      <w:r>
        <w:rPr>
          <w:rFonts w:hint="eastAsia" w:eastAsiaTheme="minorEastAsia"/>
        </w:rPr>
        <w:t>解决对策：</w:t>
      </w:r>
    </w:p>
    <w:p>
      <w:pPr>
        <w:pStyle w:val="19"/>
        <w:rPr>
          <w:bCs/>
        </w:rPr>
      </w:pPr>
      <w:r>
        <w:rPr>
          <w:rFonts w:hint="eastAsia" w:ascii="宋体" w:hAnsi="宋体" w:cs="宋体"/>
          <w:bCs/>
        </w:rPr>
        <w:t>⑴</w:t>
      </w:r>
      <w:r>
        <w:rPr>
          <w:bCs/>
        </w:rPr>
        <w:t>、生物资源综合利用功能区B区禁止扩大现状工业用地规模，后续发展仅通过招商引资、兼并重组、租赁合作等方式实现产业升级。</w:t>
      </w:r>
    </w:p>
    <w:p>
      <w:pPr>
        <w:pStyle w:val="19"/>
        <w:rPr>
          <w:rFonts w:hint="eastAsia"/>
          <w:bCs/>
        </w:rPr>
      </w:pPr>
      <w:r>
        <w:rPr>
          <w:rFonts w:hint="eastAsia" w:ascii="宋体" w:hAnsi="宋体" w:cs="宋体"/>
          <w:bCs/>
        </w:rPr>
        <w:t>⑵</w:t>
      </w:r>
      <w:r>
        <w:rPr>
          <w:bCs/>
        </w:rPr>
        <w:t>、控制嘉川镇城镇发展规模，同时限制嘉川镇东西向发展。</w:t>
      </w:r>
    </w:p>
    <w:p>
      <w:pPr>
        <w:pStyle w:val="19"/>
        <w:rPr>
          <w:rFonts w:hint="eastAsia"/>
          <w:bCs/>
        </w:rPr>
      </w:pPr>
    </w:p>
    <w:p>
      <w:pPr>
        <w:pStyle w:val="19"/>
        <w:rPr>
          <w:rFonts w:hint="eastAsia"/>
          <w:bCs/>
        </w:rPr>
      </w:pPr>
    </w:p>
    <w:p>
      <w:pPr>
        <w:pStyle w:val="19"/>
        <w:rPr>
          <w:bCs/>
        </w:rPr>
      </w:pPr>
    </w:p>
    <w:p>
      <w:pPr>
        <w:spacing w:line="540" w:lineRule="exact"/>
        <w:ind w:firstLine="466" w:firstLineChars="200"/>
        <w:outlineLvl w:val="0"/>
        <w:rPr>
          <w:rFonts w:ascii="Times New Roman" w:hAnsi="Times New Roman" w:cs="Times New Roman"/>
          <w:b/>
          <w:spacing w:val="-4"/>
          <w:sz w:val="24"/>
        </w:rPr>
      </w:pPr>
      <w:r>
        <w:rPr>
          <w:rFonts w:hint="eastAsia" w:ascii="Times New Roman" w:hAnsi="Times New Roman" w:cs="Times New Roman"/>
          <w:b/>
          <w:spacing w:val="-4"/>
          <w:sz w:val="24"/>
        </w:rPr>
        <w:t>五</w:t>
      </w:r>
      <w:r>
        <w:rPr>
          <w:rFonts w:ascii="Times New Roman" w:hAnsi="Times New Roman" w:cs="Times New Roman"/>
          <w:b/>
          <w:spacing w:val="-4"/>
          <w:sz w:val="24"/>
        </w:rPr>
        <w:t>、规划环评提出的调整建议</w:t>
      </w:r>
    </w:p>
    <w:p>
      <w:pPr>
        <w:pStyle w:val="33"/>
      </w:pPr>
      <w:r>
        <w:t xml:space="preserve">表1  </w:t>
      </w:r>
      <w:r>
        <w:rPr>
          <w:rFonts w:hint="eastAsia"/>
        </w:rPr>
        <w:t>规划环评优化调整建议</w:t>
      </w:r>
    </w:p>
    <w:tbl>
      <w:tblPr>
        <w:tblStyle w:val="11"/>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319"/>
        <w:gridCol w:w="356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373" w:type="pct"/>
            <w:shd w:val="clear" w:color="auto" w:fill="auto"/>
            <w:vAlign w:val="center"/>
          </w:tcPr>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项目</w:t>
            </w:r>
          </w:p>
        </w:tc>
        <w:tc>
          <w:tcPr>
            <w:tcW w:w="2534" w:type="pct"/>
            <w:shd w:val="clear" w:color="auto" w:fill="auto"/>
            <w:vAlign w:val="center"/>
          </w:tcPr>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规划方案</w:t>
            </w:r>
          </w:p>
        </w:tc>
        <w:tc>
          <w:tcPr>
            <w:tcW w:w="2093" w:type="pct"/>
            <w:shd w:val="clear" w:color="auto" w:fill="auto"/>
            <w:vAlign w:val="center"/>
          </w:tcPr>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优化调整建议及推荐方案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3" w:type="pct"/>
            <w:shd w:val="clear" w:color="auto" w:fill="auto"/>
            <w:vAlign w:val="center"/>
          </w:tcPr>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用地</w:t>
            </w:r>
          </w:p>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布局</w:t>
            </w:r>
          </w:p>
        </w:tc>
        <w:tc>
          <w:tcPr>
            <w:tcW w:w="2534" w:type="pct"/>
            <w:shd w:val="clear" w:color="auto" w:fill="auto"/>
            <w:vAlign w:val="center"/>
          </w:tcPr>
          <w:p>
            <w:pPr>
              <w:adjustRightInd w:val="0"/>
              <w:snapToGrid w:val="0"/>
              <w:rPr>
                <w:rFonts w:ascii="Times New Roman" w:hAnsi="Times New Roman" w:cs="Times New Roman"/>
                <w:snapToGrid w:val="0"/>
                <w:kern w:val="0"/>
                <w:szCs w:val="21"/>
              </w:rPr>
            </w:pPr>
            <w:r>
              <w:rPr>
                <w:rFonts w:ascii="Times New Roman" w:hAnsi="Times New Roman" w:cs="Times New Roman"/>
                <w:snapToGrid w:val="0"/>
                <w:kern w:val="0"/>
                <w:szCs w:val="21"/>
              </w:rPr>
              <w:t>生物资源综合利用功能区B区规划面积100.31hm</w:t>
            </w:r>
            <w:r>
              <w:rPr>
                <w:rFonts w:ascii="Times New Roman" w:hAnsi="Times New Roman" w:cs="Times New Roman"/>
                <w:snapToGrid w:val="0"/>
                <w:kern w:val="0"/>
                <w:szCs w:val="21"/>
                <w:vertAlign w:val="superscript"/>
              </w:rPr>
              <w:t>2</w:t>
            </w:r>
            <w:r>
              <w:rPr>
                <w:rFonts w:ascii="Times New Roman" w:hAnsi="Times New Roman" w:cs="Times New Roman"/>
                <w:snapToGrid w:val="0"/>
                <w:kern w:val="0"/>
                <w:szCs w:val="21"/>
              </w:rPr>
              <w:t>，其中工业用地35.43hm</w:t>
            </w:r>
            <w:r>
              <w:rPr>
                <w:rFonts w:ascii="Times New Roman" w:hAnsi="Times New Roman" w:cs="Times New Roman"/>
                <w:snapToGrid w:val="0"/>
                <w:kern w:val="0"/>
                <w:szCs w:val="21"/>
                <w:vertAlign w:val="superscript"/>
              </w:rPr>
              <w:t>2</w:t>
            </w:r>
          </w:p>
        </w:tc>
        <w:tc>
          <w:tcPr>
            <w:tcW w:w="2093" w:type="pct"/>
            <w:shd w:val="clear" w:color="auto" w:fill="auto"/>
            <w:vAlign w:val="center"/>
          </w:tcPr>
          <w:p>
            <w:pPr>
              <w:adjustRightInd w:val="0"/>
              <w:snapToGrid w:val="0"/>
              <w:rPr>
                <w:rFonts w:ascii="Times New Roman" w:hAnsi="Times New Roman" w:cs="Times New Roman"/>
                <w:snapToGrid w:val="0"/>
                <w:kern w:val="0"/>
                <w:szCs w:val="21"/>
              </w:rPr>
            </w:pPr>
            <w:r>
              <w:rPr>
                <w:rFonts w:ascii="Times New Roman" w:hAnsi="Times New Roman" w:cs="Times New Roman"/>
                <w:szCs w:val="21"/>
              </w:rPr>
              <w:t>生物资源综合利用功能区B区禁止扩大现状工业用地规模(18.73</w:t>
            </w:r>
            <w:r>
              <w:rPr>
                <w:rFonts w:ascii="Times New Roman" w:hAnsi="Times New Roman" w:cs="Times New Roman"/>
                <w:snapToGrid w:val="0"/>
                <w:kern w:val="0"/>
                <w:szCs w:val="21"/>
              </w:rPr>
              <w:t>hm</w:t>
            </w:r>
            <w:r>
              <w:rPr>
                <w:rFonts w:ascii="Times New Roman" w:hAnsi="Times New Roman" w:cs="Times New Roman"/>
                <w:snapToGrid w:val="0"/>
                <w:kern w:val="0"/>
                <w:szCs w:val="21"/>
                <w:vertAlign w:val="superscript"/>
              </w:rPr>
              <w:t>2</w:t>
            </w:r>
            <w:r>
              <w:rPr>
                <w:rFonts w:ascii="Times New Roman" w:hAnsi="Times New Roman" w:cs="Times New Roman"/>
                <w:szCs w:val="21"/>
              </w:rPr>
              <w:t>)，后续发展仅通过招商引资、兼并重组、租赁合作等方式实现产业升级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3" w:type="pct"/>
            <w:vMerge w:val="restart"/>
            <w:shd w:val="clear" w:color="auto" w:fill="auto"/>
            <w:vAlign w:val="center"/>
          </w:tcPr>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污水</w:t>
            </w:r>
          </w:p>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集中</w:t>
            </w:r>
          </w:p>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处理</w:t>
            </w:r>
          </w:p>
          <w:p>
            <w:pPr>
              <w:adjustRightInd w:val="0"/>
              <w:snapToGrid w:val="0"/>
              <w:jc w:val="center"/>
              <w:rPr>
                <w:rFonts w:ascii="Times New Roman" w:hAnsi="Times New Roman" w:cs="Times New Roman"/>
                <w:snapToGrid w:val="0"/>
                <w:kern w:val="0"/>
                <w:szCs w:val="21"/>
              </w:rPr>
            </w:pPr>
            <w:r>
              <w:rPr>
                <w:rFonts w:ascii="Times New Roman" w:hAnsi="Times New Roman" w:cs="Times New Roman"/>
                <w:snapToGrid w:val="0"/>
                <w:kern w:val="0"/>
                <w:szCs w:val="21"/>
              </w:rPr>
              <w:t>设施</w:t>
            </w:r>
          </w:p>
        </w:tc>
        <w:tc>
          <w:tcPr>
            <w:tcW w:w="2534" w:type="pct"/>
            <w:shd w:val="clear" w:color="auto" w:fill="auto"/>
            <w:vAlign w:val="center"/>
          </w:tcPr>
          <w:p>
            <w:pPr>
              <w:adjustRightInd w:val="0"/>
              <w:snapToGrid w:val="0"/>
              <w:rPr>
                <w:rFonts w:ascii="Times New Roman" w:hAnsi="Times New Roman" w:cs="Times New Roman"/>
                <w:snapToGrid w:val="0"/>
                <w:kern w:val="0"/>
                <w:szCs w:val="21"/>
              </w:rPr>
            </w:pPr>
            <w:r>
              <w:rPr>
                <w:rFonts w:ascii="Times New Roman" w:hAnsi="Times New Roman" w:cs="Times New Roman"/>
                <w:szCs w:val="21"/>
              </w:rPr>
              <w:t>煤资源综合利用功能区(含旺苍嘉川化工园区)污水排入</w:t>
            </w:r>
            <w:r>
              <w:rPr>
                <w:rFonts w:ascii="Times New Roman" w:hAnsi="Times New Roman" w:cs="Times New Roman"/>
                <w:kern w:val="0"/>
                <w:szCs w:val="21"/>
              </w:rPr>
              <w:t>新建园区污水处理厂，位于园区南部，设计规模4.5</w:t>
            </w:r>
            <w:r>
              <w:rPr>
                <w:rFonts w:ascii="Times New Roman" w:hAnsi="Times New Roman" w:cs="Times New Roman"/>
                <w:szCs w:val="21"/>
              </w:rPr>
              <w:t>万m</w:t>
            </w:r>
            <w:r>
              <w:rPr>
                <w:rFonts w:ascii="Times New Roman" w:hAnsi="Times New Roman" w:cs="Times New Roman"/>
                <w:szCs w:val="21"/>
                <w:vertAlign w:val="superscript"/>
              </w:rPr>
              <w:t>3</w:t>
            </w:r>
            <w:r>
              <w:rPr>
                <w:rFonts w:ascii="Times New Roman" w:hAnsi="Times New Roman" w:cs="Times New Roman"/>
                <w:szCs w:val="21"/>
              </w:rPr>
              <w:t>/d，</w:t>
            </w:r>
            <w:r>
              <w:rPr>
                <w:rFonts w:ascii="Times New Roman" w:hAnsi="Times New Roman" w:cs="Times New Roman"/>
                <w:kern w:val="0"/>
                <w:szCs w:val="21"/>
              </w:rPr>
              <w:t>近期建设规模</w:t>
            </w:r>
            <w:r>
              <w:rPr>
                <w:rFonts w:ascii="Times New Roman" w:hAnsi="Times New Roman" w:cs="Times New Roman"/>
                <w:szCs w:val="21"/>
              </w:rPr>
              <w:t>2万m</w:t>
            </w:r>
            <w:r>
              <w:rPr>
                <w:rFonts w:ascii="Times New Roman" w:hAnsi="Times New Roman" w:cs="Times New Roman"/>
                <w:szCs w:val="21"/>
                <w:vertAlign w:val="superscript"/>
              </w:rPr>
              <w:t>3</w:t>
            </w:r>
            <w:r>
              <w:rPr>
                <w:rFonts w:ascii="Times New Roman" w:hAnsi="Times New Roman" w:cs="Times New Roman"/>
                <w:szCs w:val="21"/>
              </w:rPr>
              <w:t>/d</w:t>
            </w:r>
          </w:p>
        </w:tc>
        <w:tc>
          <w:tcPr>
            <w:tcW w:w="2093" w:type="pct"/>
            <w:shd w:val="clear" w:color="auto" w:fill="auto"/>
            <w:vAlign w:val="center"/>
          </w:tcPr>
          <w:p>
            <w:pPr>
              <w:adjustRightInd w:val="0"/>
              <w:snapToGrid w:val="0"/>
              <w:rPr>
                <w:rFonts w:ascii="Times New Roman" w:hAnsi="Times New Roman" w:cs="Times New Roman"/>
                <w:szCs w:val="21"/>
              </w:rPr>
            </w:pPr>
            <w:r>
              <w:rPr>
                <w:rFonts w:ascii="Times New Roman" w:hAnsi="Times New Roman" w:cs="Times New Roman"/>
                <w:snapToGrid w:val="0"/>
                <w:szCs w:val="21"/>
              </w:rPr>
              <w:t>调整</w:t>
            </w:r>
            <w:r>
              <w:rPr>
                <w:rFonts w:ascii="Times New Roman" w:hAnsi="Times New Roman" w:cs="Times New Roman"/>
                <w:szCs w:val="21"/>
              </w:rPr>
              <w:t>煤资源综合利用功能区(含旺苍嘉川化工园区)新建</w:t>
            </w:r>
            <w:r>
              <w:rPr>
                <w:rFonts w:ascii="Times New Roman" w:hAnsi="Times New Roman" w:cs="Times New Roman"/>
                <w:kern w:val="0"/>
                <w:szCs w:val="21"/>
              </w:rPr>
              <w:t>园区污水处理厂规模为</w:t>
            </w:r>
            <w:r>
              <w:rPr>
                <w:rFonts w:ascii="Times New Roman" w:hAnsi="Times New Roman" w:cs="Times New Roman"/>
                <w:szCs w:val="21"/>
              </w:rPr>
              <w:t>3万m</w:t>
            </w:r>
            <w:r>
              <w:rPr>
                <w:rFonts w:ascii="Times New Roman" w:hAnsi="Times New Roman" w:cs="Times New Roman"/>
                <w:szCs w:val="21"/>
                <w:vertAlign w:val="superscript"/>
              </w:rPr>
              <w:t>3</w:t>
            </w:r>
            <w:r>
              <w:rPr>
                <w:rFonts w:ascii="Times New Roman" w:hAnsi="Times New Roman" w:cs="Times New Roman"/>
                <w:szCs w:val="21"/>
              </w:rPr>
              <w:t>/d，近期建设规模为5000m</w:t>
            </w:r>
            <w:r>
              <w:rPr>
                <w:rFonts w:ascii="Times New Roman" w:hAnsi="Times New Roman" w:cs="Times New Roman"/>
                <w:szCs w:val="21"/>
                <w:vertAlign w:val="superscript"/>
              </w:rPr>
              <w:t>3</w:t>
            </w:r>
            <w:r>
              <w:rPr>
                <w:rFonts w:ascii="Times New Roman" w:hAnsi="Times New Roman" w:cs="Times New Roman"/>
                <w:szCs w:val="21"/>
              </w:rPr>
              <w:t>/d；且该污水处理厂远期应增设再生水回用系统，再生水利用率应达20%以上</w:t>
            </w:r>
          </w:p>
          <w:p>
            <w:pPr>
              <w:adjustRightInd w:val="0"/>
              <w:snapToGrid w:val="0"/>
              <w:rPr>
                <w:rFonts w:ascii="Times New Roman" w:hAnsi="Times New Roman" w:cs="Times New Roman"/>
                <w:snapToGrid w:val="0"/>
                <w:kern w:val="0"/>
                <w:szCs w:val="21"/>
              </w:rPr>
            </w:pPr>
            <w:r>
              <w:rPr>
                <w:rFonts w:ascii="Times New Roman" w:hAnsi="Times New Roman" w:cs="Times New Roman"/>
                <w:szCs w:val="21"/>
              </w:rPr>
              <w:t>以满足白水河(西河)水环境容量为限，结合园区发展情况，适时建设煤资源综合利用功能区(含旺苍嘉川化工园区)污水处理厂至东河的排水管道</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73" w:type="pct"/>
            <w:vMerge w:val="continue"/>
            <w:shd w:val="clear" w:color="auto" w:fill="auto"/>
            <w:vAlign w:val="center"/>
          </w:tcPr>
          <w:p>
            <w:pPr>
              <w:adjustRightInd w:val="0"/>
              <w:snapToGrid w:val="0"/>
              <w:jc w:val="center"/>
              <w:rPr>
                <w:rFonts w:ascii="Times New Roman" w:hAnsi="Times New Roman" w:cs="Times New Roman"/>
                <w:snapToGrid w:val="0"/>
                <w:kern w:val="0"/>
                <w:szCs w:val="21"/>
              </w:rPr>
            </w:pPr>
          </w:p>
        </w:tc>
        <w:tc>
          <w:tcPr>
            <w:tcW w:w="2534" w:type="pct"/>
            <w:shd w:val="clear" w:color="auto" w:fill="auto"/>
            <w:vAlign w:val="center"/>
          </w:tcPr>
          <w:p>
            <w:pPr>
              <w:adjustRightInd w:val="0"/>
              <w:snapToGrid w:val="0"/>
              <w:rPr>
                <w:rFonts w:ascii="Times New Roman" w:hAnsi="Times New Roman" w:cs="Times New Roman"/>
                <w:snapToGrid w:val="0"/>
                <w:kern w:val="0"/>
                <w:szCs w:val="21"/>
              </w:rPr>
            </w:pPr>
            <w:r>
              <w:rPr>
                <w:rFonts w:ascii="Times New Roman" w:hAnsi="Times New Roman" w:cs="Times New Roman"/>
                <w:snapToGrid w:val="0"/>
                <w:kern w:val="0"/>
                <w:szCs w:val="21"/>
              </w:rPr>
              <w:t>生物资源综合利用功能区A区</w:t>
            </w:r>
            <w:r>
              <w:rPr>
                <w:rFonts w:ascii="Times New Roman" w:hAnsi="Times New Roman" w:cs="Times New Roman"/>
                <w:szCs w:val="21"/>
              </w:rPr>
              <w:t>北部污水排入</w:t>
            </w:r>
            <w:r>
              <w:rPr>
                <w:rFonts w:ascii="Times New Roman" w:hAnsi="Times New Roman" w:cs="Times New Roman"/>
                <w:kern w:val="0"/>
                <w:szCs w:val="21"/>
              </w:rPr>
              <w:t>新建园区污水处理厂，位于产城大道南侧，处理规模3000</w:t>
            </w:r>
            <w:r>
              <w:rPr>
                <w:rFonts w:ascii="Times New Roman" w:hAnsi="Times New Roman" w:cs="Times New Roman"/>
                <w:szCs w:val="21"/>
              </w:rPr>
              <w:t>m</w:t>
            </w:r>
            <w:r>
              <w:rPr>
                <w:rFonts w:ascii="Times New Roman" w:hAnsi="Times New Roman" w:cs="Times New Roman"/>
                <w:szCs w:val="21"/>
                <w:vertAlign w:val="superscript"/>
              </w:rPr>
              <w:t>3</w:t>
            </w:r>
            <w:r>
              <w:rPr>
                <w:rFonts w:ascii="Times New Roman" w:hAnsi="Times New Roman" w:cs="Times New Roman"/>
                <w:szCs w:val="21"/>
              </w:rPr>
              <w:t>/d；南部污水排入</w:t>
            </w:r>
            <w:r>
              <w:rPr>
                <w:rFonts w:ascii="Times New Roman" w:hAnsi="Times New Roman" w:cs="Times New Roman"/>
                <w:kern w:val="0"/>
                <w:szCs w:val="21"/>
              </w:rPr>
              <w:t>新建尚武污水处理厂，位于尚武镇东部河边，处理规模1</w:t>
            </w:r>
            <w:r>
              <w:rPr>
                <w:rFonts w:ascii="Times New Roman" w:hAnsi="Times New Roman" w:cs="Times New Roman"/>
                <w:szCs w:val="21"/>
              </w:rPr>
              <w:t>万m</w:t>
            </w:r>
            <w:r>
              <w:rPr>
                <w:rFonts w:ascii="Times New Roman" w:hAnsi="Times New Roman" w:cs="Times New Roman"/>
                <w:szCs w:val="21"/>
                <w:vertAlign w:val="superscript"/>
              </w:rPr>
              <w:t>3</w:t>
            </w:r>
            <w:r>
              <w:rPr>
                <w:rFonts w:ascii="Times New Roman" w:hAnsi="Times New Roman" w:cs="Times New Roman"/>
                <w:szCs w:val="21"/>
              </w:rPr>
              <w:t>/d</w:t>
            </w:r>
          </w:p>
        </w:tc>
        <w:tc>
          <w:tcPr>
            <w:tcW w:w="2093" w:type="pct"/>
            <w:shd w:val="clear" w:color="auto" w:fill="auto"/>
            <w:vAlign w:val="center"/>
          </w:tcPr>
          <w:p>
            <w:pPr>
              <w:adjustRightInd w:val="0"/>
              <w:snapToGrid w:val="0"/>
              <w:rPr>
                <w:rFonts w:ascii="Times New Roman" w:hAnsi="Times New Roman" w:cs="Times New Roman"/>
                <w:snapToGrid w:val="0"/>
                <w:kern w:val="0"/>
                <w:szCs w:val="21"/>
              </w:rPr>
            </w:pPr>
            <w:r>
              <w:rPr>
                <w:rFonts w:ascii="Times New Roman" w:hAnsi="Times New Roman" w:cs="Times New Roman"/>
                <w:snapToGrid w:val="0"/>
                <w:szCs w:val="21"/>
              </w:rPr>
              <w:t>取消</w:t>
            </w:r>
            <w:r>
              <w:rPr>
                <w:rFonts w:ascii="Times New Roman" w:hAnsi="Times New Roman" w:cs="Times New Roman"/>
                <w:kern w:val="0"/>
                <w:szCs w:val="21"/>
              </w:rPr>
              <w:t>新建尚武污水处理厂</w:t>
            </w:r>
          </w:p>
        </w:tc>
      </w:tr>
    </w:tbl>
    <w:p>
      <w:pPr>
        <w:pStyle w:val="16"/>
        <w:jc w:val="center"/>
      </w:pPr>
    </w:p>
    <w:p>
      <w:pPr>
        <w:spacing w:line="540" w:lineRule="exact"/>
        <w:ind w:firstLine="466" w:firstLineChars="200"/>
        <w:outlineLvl w:val="0"/>
        <w:rPr>
          <w:rFonts w:ascii="Times New Roman" w:hAnsi="Times New Roman" w:cs="Times New Roman"/>
          <w:b/>
          <w:spacing w:val="-4"/>
          <w:sz w:val="24"/>
          <w:szCs w:val="24"/>
        </w:rPr>
      </w:pPr>
      <w:r>
        <w:rPr>
          <w:rFonts w:ascii="Times New Roman" w:hAnsi="Times New Roman" w:cs="Times New Roman"/>
          <w:b/>
          <w:spacing w:val="-4"/>
          <w:sz w:val="24"/>
          <w:szCs w:val="24"/>
        </w:rPr>
        <w:t>六、</w:t>
      </w:r>
      <w:r>
        <w:rPr>
          <w:rFonts w:ascii="Times New Roman" w:hAnsi="Times New Roman" w:cs="Times New Roman"/>
          <w:b/>
          <w:sz w:val="24"/>
          <w:szCs w:val="24"/>
        </w:rPr>
        <w:t>生态环境准入清单</w:t>
      </w:r>
    </w:p>
    <w:p>
      <w:pPr>
        <w:pStyle w:val="19"/>
        <w:rPr>
          <w:rFonts w:eastAsiaTheme="minorEastAsia"/>
        </w:rPr>
      </w:pPr>
      <w:r>
        <w:rPr>
          <w:rFonts w:eastAsiaTheme="minorEastAsia"/>
        </w:rPr>
        <w:t>1、鼓励类</w:t>
      </w:r>
    </w:p>
    <w:p>
      <w:pPr>
        <w:pStyle w:val="19"/>
        <w:rPr>
          <w:rFonts w:ascii="宋体" w:hAnsi="宋体" w:cs="宋体"/>
          <w:bCs/>
        </w:rPr>
      </w:pPr>
      <w:r>
        <w:rPr>
          <w:rFonts w:hint="eastAsia" w:ascii="宋体" w:hAnsi="宋体" w:cs="宋体"/>
          <w:bCs/>
        </w:rPr>
        <w:t>⑴</w:t>
      </w:r>
      <w:r>
        <w:rPr>
          <w:rFonts w:ascii="宋体" w:hAnsi="宋体" w:cs="宋体"/>
          <w:bCs/>
        </w:rPr>
        <w:t>、生物资源综合利用功能区</w:t>
      </w:r>
      <w:r>
        <w:rPr>
          <w:rFonts w:hint="eastAsia" w:ascii="宋体" w:hAnsi="宋体" w:cs="宋体"/>
          <w:bCs/>
        </w:rPr>
        <w:t>A区</w:t>
      </w:r>
      <w:r>
        <w:rPr>
          <w:rFonts w:ascii="宋体" w:hAnsi="宋体" w:cs="宋体"/>
          <w:bCs/>
        </w:rPr>
        <w:t>：鼓励发展</w:t>
      </w:r>
      <w:r>
        <w:rPr>
          <w:rFonts w:hint="eastAsia" w:ascii="宋体" w:hAnsi="宋体" w:cs="宋体"/>
          <w:bCs/>
        </w:rPr>
        <w:t>以旺苍县特色生物资源</w:t>
      </w:r>
      <w:r>
        <w:rPr>
          <w:rFonts w:ascii="宋体" w:hAnsi="宋体" w:cs="宋体"/>
          <w:bCs/>
        </w:rPr>
        <w:t>(</w:t>
      </w:r>
      <w:r>
        <w:rPr>
          <w:rFonts w:hint="eastAsia" w:ascii="宋体" w:hAnsi="宋体" w:cs="宋体"/>
          <w:bCs/>
        </w:rPr>
        <w:t>如杜仲等</w:t>
      </w:r>
      <w:r>
        <w:rPr>
          <w:rFonts w:ascii="宋体" w:hAnsi="宋体" w:cs="宋体"/>
          <w:bCs/>
        </w:rPr>
        <w:t>)</w:t>
      </w:r>
      <w:r>
        <w:rPr>
          <w:rFonts w:hint="eastAsia" w:ascii="宋体" w:hAnsi="宋体" w:cs="宋体"/>
          <w:bCs/>
        </w:rPr>
        <w:t>综合利用加工项目为主的产业</w:t>
      </w:r>
      <w:r>
        <w:rPr>
          <w:rFonts w:ascii="宋体" w:hAnsi="宋体" w:cs="宋体"/>
          <w:bCs/>
        </w:rPr>
        <w:t>。</w:t>
      </w:r>
    </w:p>
    <w:p>
      <w:pPr>
        <w:pStyle w:val="19"/>
        <w:rPr>
          <w:rFonts w:ascii="宋体" w:hAnsi="宋体" w:cs="宋体"/>
          <w:bCs/>
        </w:rPr>
      </w:pPr>
      <w:r>
        <w:rPr>
          <w:rFonts w:hint="eastAsia" w:ascii="宋体" w:hAnsi="宋体" w:cs="宋体"/>
          <w:bCs/>
        </w:rPr>
        <w:t>⑵</w:t>
      </w:r>
      <w:r>
        <w:rPr>
          <w:rFonts w:ascii="宋体" w:hAnsi="宋体" w:cs="宋体"/>
          <w:bCs/>
        </w:rPr>
        <w:t>、煤资源综合利用功能区(含旺苍嘉川化工园区)：鼓励发展煤</w:t>
      </w:r>
      <w:r>
        <w:rPr>
          <w:rFonts w:hint="eastAsia" w:ascii="宋体" w:hAnsi="宋体" w:cs="宋体"/>
          <w:bCs/>
        </w:rPr>
        <w:t>资源</w:t>
      </w:r>
      <w:r>
        <w:rPr>
          <w:rFonts w:ascii="宋体" w:hAnsi="宋体" w:cs="宋体"/>
          <w:bCs/>
        </w:rPr>
        <w:t>综合利用、天然气综合利用和钒资源综合利用，适度发展矿产资源加工产业。</w:t>
      </w:r>
    </w:p>
    <w:p>
      <w:pPr>
        <w:pStyle w:val="19"/>
        <w:rPr>
          <w:rFonts w:ascii="宋体" w:hAnsi="宋体" w:cs="宋体"/>
          <w:bCs/>
        </w:rPr>
      </w:pPr>
      <w:r>
        <w:rPr>
          <w:rFonts w:hint="eastAsia" w:ascii="宋体" w:hAnsi="宋体" w:cs="宋体"/>
          <w:bCs/>
        </w:rPr>
        <w:t>⑶</w:t>
      </w:r>
      <w:r>
        <w:rPr>
          <w:rFonts w:ascii="宋体" w:hAnsi="宋体" w:cs="宋体"/>
          <w:bCs/>
        </w:rPr>
        <w:t>、机械加工制造功能区：鼓励发展机械加工、零部件制造。</w:t>
      </w:r>
    </w:p>
    <w:p>
      <w:pPr>
        <w:pStyle w:val="19"/>
        <w:rPr>
          <w:rFonts w:ascii="宋体" w:hAnsi="宋体" w:cs="宋体"/>
          <w:bCs/>
        </w:rPr>
      </w:pPr>
      <w:r>
        <w:rPr>
          <w:rFonts w:hint="eastAsia" w:ascii="宋体" w:hAnsi="宋体" w:cs="宋体"/>
          <w:bCs/>
        </w:rPr>
        <w:t>⑷</w:t>
      </w:r>
      <w:r>
        <w:rPr>
          <w:rFonts w:ascii="宋体" w:hAnsi="宋体" w:cs="宋体"/>
          <w:bCs/>
        </w:rPr>
        <w:t>、生物资源综合利用功能区</w:t>
      </w:r>
      <w:r>
        <w:rPr>
          <w:rFonts w:hint="eastAsia" w:ascii="宋体" w:hAnsi="宋体" w:cs="宋体"/>
          <w:bCs/>
        </w:rPr>
        <w:t>B区</w:t>
      </w:r>
      <w:r>
        <w:rPr>
          <w:rFonts w:ascii="宋体" w:hAnsi="宋体" w:cs="宋体"/>
          <w:bCs/>
        </w:rPr>
        <w:t>：鼓励发展农副产品加工、食品、饮料制造。</w:t>
      </w:r>
    </w:p>
    <w:p>
      <w:pPr>
        <w:pStyle w:val="19"/>
        <w:rPr>
          <w:rFonts w:eastAsiaTheme="minorEastAsia"/>
        </w:rPr>
      </w:pPr>
      <w:r>
        <w:rPr>
          <w:rFonts w:eastAsiaTheme="minorEastAsia"/>
        </w:rPr>
        <w:t>2、生态环境准入清单</w:t>
      </w:r>
    </w:p>
    <w:p>
      <w:pPr>
        <w:pStyle w:val="19"/>
        <w:rPr>
          <w:rFonts w:eastAsiaTheme="minorEastAsia"/>
        </w:rPr>
      </w:pPr>
      <w:r>
        <w:rPr>
          <w:rFonts w:eastAsiaTheme="minorEastAsia"/>
        </w:rPr>
        <w:t>根据四川旺苍经济开发区规划的主导产业和区域主要环境制约因素，为推进规划区经济发展和提高环保管理要求，指导项目环境合理落地，结合上位规划、环保政策要求制定如下生态环境准入清单：</w:t>
      </w:r>
    </w:p>
    <w:p>
      <w:pPr>
        <w:pStyle w:val="19"/>
        <w:rPr>
          <w:rFonts w:eastAsiaTheme="minorEastAsia"/>
        </w:rPr>
      </w:pPr>
      <w:r>
        <w:rPr>
          <w:rFonts w:hint="eastAsia" w:ascii="宋体" w:hAnsi="宋体" w:cs="宋体"/>
        </w:rPr>
        <w:t>⑴</w:t>
      </w:r>
      <w:r>
        <w:rPr>
          <w:rFonts w:eastAsiaTheme="minorEastAsia"/>
        </w:rPr>
        <w:t>、总体原则</w:t>
      </w:r>
    </w:p>
    <w:p>
      <w:pPr>
        <w:pStyle w:val="19"/>
        <w:rPr>
          <w:rFonts w:eastAsiaTheme="minorEastAsia"/>
        </w:rPr>
      </w:pPr>
      <w:r>
        <w:rPr>
          <w:rFonts w:hint="eastAsia" w:eastAsiaTheme="minorEastAsia"/>
        </w:rPr>
        <w:t>①</w:t>
      </w:r>
      <w:r>
        <w:rPr>
          <w:rFonts w:eastAsiaTheme="minorEastAsia"/>
        </w:rPr>
        <w:t>、禁止引入不符合国家法律法规、产业政策及相关环境管理要求的项目，列入国家严重产能过剩的项目(符合产能置换要求的除外)。</w:t>
      </w:r>
    </w:p>
    <w:p>
      <w:pPr>
        <w:pStyle w:val="19"/>
        <w:rPr>
          <w:rFonts w:eastAsiaTheme="minorEastAsia"/>
        </w:rPr>
      </w:pPr>
      <w:r>
        <w:rPr>
          <w:rFonts w:hint="eastAsia" w:eastAsiaTheme="minorEastAsia"/>
        </w:rPr>
        <w:t>②</w:t>
      </w:r>
      <w:r>
        <w:rPr>
          <w:rFonts w:eastAsiaTheme="minorEastAsia"/>
        </w:rPr>
        <w:t>、禁止引入清洁生产水平不能达到行业清洁生产二级标准要求或低于全国同类企业平均清洁生产水平的项目。</w:t>
      </w:r>
    </w:p>
    <w:p>
      <w:pPr>
        <w:pStyle w:val="19"/>
        <w:rPr>
          <w:rFonts w:eastAsiaTheme="minorEastAsia"/>
        </w:rPr>
      </w:pPr>
      <w:r>
        <w:rPr>
          <w:rFonts w:hint="eastAsia" w:eastAsiaTheme="minorEastAsia"/>
        </w:rPr>
        <w:t>③</w:t>
      </w:r>
      <w:r>
        <w:rPr>
          <w:rFonts w:eastAsiaTheme="minorEastAsia"/>
        </w:rPr>
        <w:t>、禁止引入专业电镀项目及其他不符合国家、省、市重金属污染防治规划要求的项目。</w:t>
      </w:r>
    </w:p>
    <w:p>
      <w:pPr>
        <w:pStyle w:val="19"/>
        <w:rPr>
          <w:rFonts w:eastAsiaTheme="minorEastAsia"/>
        </w:rPr>
      </w:pPr>
      <w:r>
        <w:rPr>
          <w:rFonts w:hint="eastAsia" w:ascii="宋体" w:hAnsi="宋体" w:cs="宋体"/>
        </w:rPr>
        <w:t>⑵</w:t>
      </w:r>
      <w:r>
        <w:rPr>
          <w:rFonts w:eastAsiaTheme="minorEastAsia"/>
        </w:rPr>
        <w:t>、</w:t>
      </w:r>
      <w:bookmarkStart w:id="1" w:name="_Hlk39742261"/>
      <w:r>
        <w:rPr>
          <w:rFonts w:eastAsiaTheme="minorEastAsia"/>
        </w:rPr>
        <w:t>生态环境准入清单</w:t>
      </w:r>
      <w:bookmarkEnd w:id="1"/>
    </w:p>
    <w:p>
      <w:pPr>
        <w:pStyle w:val="19"/>
        <w:rPr>
          <w:rFonts w:hint="eastAsia" w:ascii="宋体" w:hAnsi="宋体" w:cs="宋体"/>
        </w:rPr>
      </w:pPr>
      <w:r>
        <w:rPr>
          <w:rFonts w:ascii="宋体" w:hAnsi="宋体" w:cs="宋体"/>
        </w:rPr>
        <w:t>四川旺苍经济开发区生态环境准入清单见下表</w:t>
      </w:r>
      <w:r>
        <w:rPr>
          <w:rFonts w:hint="eastAsia" w:ascii="宋体" w:hAnsi="宋体" w:cs="宋体"/>
        </w:rPr>
        <w:t>。</w:t>
      </w:r>
    </w:p>
    <w:p>
      <w:pPr>
        <w:pStyle w:val="19"/>
        <w:rPr>
          <w:rFonts w:eastAsiaTheme="minorEastAsia"/>
        </w:rPr>
      </w:pPr>
      <w:r>
        <w:rPr>
          <w:rFonts w:eastAsiaTheme="minorEastAsia"/>
        </w:rPr>
        <w:t>3、允许类</w:t>
      </w:r>
    </w:p>
    <w:p>
      <w:pPr>
        <w:pStyle w:val="19"/>
        <w:rPr>
          <w:rFonts w:eastAsiaTheme="minorEastAsia"/>
        </w:rPr>
      </w:pPr>
      <w:r>
        <w:rPr>
          <w:rFonts w:eastAsiaTheme="minorEastAsia"/>
        </w:rPr>
        <w:t>原则上，未被列入鼓励类、负面清单的属允许发展类，但在具体实施过程中切不可盲目引进项目，应注意按如下原则要求：</w:t>
      </w:r>
    </w:p>
    <w:p>
      <w:pPr>
        <w:pStyle w:val="19"/>
        <w:rPr>
          <w:rFonts w:ascii="宋体" w:hAnsi="宋体" w:cs="宋体"/>
        </w:rPr>
      </w:pPr>
      <w:r>
        <w:rPr>
          <w:rFonts w:eastAsiaTheme="minorEastAsia"/>
        </w:rPr>
        <w:t>对于不属于规划园区主导产业和重点发展方向的建设项目，若与规划区产业定位有互补作用，或属于规划区重要项目的下游企业，或属于高品质、高附加值、低污染的企业，或有利于规划区实现循环经济理念和可持续发展，这一类企业若在建设项目环评中经论证分析与规划无明显冲突，不会影响规划实施的，建议允许此类建设项目入驻。</w:t>
      </w:r>
    </w:p>
    <w:p>
      <w:pPr>
        <w:pStyle w:val="19"/>
        <w:rPr>
          <w:rFonts w:ascii="宋体" w:hAnsi="宋体" w:cs="宋体"/>
        </w:rPr>
        <w:sectPr>
          <w:pgSz w:w="11906" w:h="16838"/>
          <w:pgMar w:top="1440" w:right="1800" w:bottom="1440" w:left="1800" w:header="851" w:footer="992" w:gutter="0"/>
          <w:cols w:space="425" w:num="1"/>
          <w:docGrid w:type="lines" w:linePitch="312" w:charSpace="0"/>
        </w:sectPr>
      </w:pPr>
    </w:p>
    <w:p>
      <w:pPr>
        <w:pStyle w:val="16"/>
        <w:jc w:val="center"/>
        <w:rPr>
          <w:rFonts w:ascii="Times New Roman" w:hAnsi="Times New Roman" w:eastAsia="黑体" w:cs="Times New Roman"/>
        </w:rPr>
      </w:pPr>
      <w:r>
        <w:rPr>
          <w:rFonts w:ascii="Times New Roman" w:hAnsi="Times New Roman" w:eastAsia="黑体" w:cs="Times New Roman"/>
        </w:rPr>
        <w:t>表2  四川旺苍经济开发区</w:t>
      </w:r>
      <w:r>
        <w:rPr>
          <w:rFonts w:hint="eastAsia" w:ascii="Times New Roman" w:hAnsi="Times New Roman" w:eastAsia="黑体" w:cs="Times New Roman"/>
        </w:rPr>
        <w:t>生态环境</w:t>
      </w:r>
      <w:r>
        <w:rPr>
          <w:rFonts w:ascii="Times New Roman" w:hAnsi="Times New Roman" w:eastAsia="黑体" w:cs="Times New Roman"/>
        </w:rPr>
        <w:t>准入清单</w:t>
      </w:r>
    </w:p>
    <w:tbl>
      <w:tblPr>
        <w:tblStyle w:val="11"/>
        <w:tblW w:w="5000" w:type="pct"/>
        <w:tblInd w:w="0" w:type="dxa"/>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Layout w:type="autofit"/>
        <w:tblCellMar>
          <w:top w:w="15" w:type="dxa"/>
          <w:left w:w="57" w:type="dxa"/>
          <w:bottom w:w="15" w:type="dxa"/>
          <w:right w:w="57" w:type="dxa"/>
        </w:tblCellMar>
      </w:tblPr>
      <w:tblGrid>
        <w:gridCol w:w="766"/>
        <w:gridCol w:w="1418"/>
        <w:gridCol w:w="4821"/>
        <w:gridCol w:w="4962"/>
        <w:gridCol w:w="2105"/>
      </w:tblGrid>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rPr>
          <w:tblHeader/>
        </w:trPr>
        <w:tc>
          <w:tcPr>
            <w:tcW w:w="272"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项目</w:t>
            </w: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清单编制要求</w:t>
            </w:r>
          </w:p>
        </w:tc>
        <w:tc>
          <w:tcPr>
            <w:tcW w:w="1713"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“三线一单”生态环境准入清单重要管控要求</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园区规划环评细化管控要求</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细化依据</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restar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空间</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布局</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约束</w:t>
            </w: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禁止开发建设</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活动的要求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机械加工制造功能区禁止引入化工、冶金等大气污染排放量大的企业；煤资源综合利用功能区禁止引入农副产品加工、食品加工等对环境空气质量要求相对高的企业；生物资源综合利用功能区(B区)禁止引入化工、冶金、农药及有毒有害专用化学品制造、金属熔炼等有重污染影响的企业和废水排放量大且难于处理的企业。</w:t>
            </w:r>
          </w:p>
        </w:tc>
        <w:tc>
          <w:tcPr>
            <w:tcW w:w="1763" w:type="pct"/>
            <w:tcBorders>
              <w:right w:val="single" w:color="auto" w:sz="4" w:space="0"/>
            </w:tcBorders>
            <w:shd w:val="clear" w:color="auto" w:fill="auto"/>
            <w:vAlign w:val="center"/>
          </w:tcPr>
          <w:p>
            <w:pPr>
              <w:adjustRightInd w:val="0"/>
              <w:snapToGrid w:val="0"/>
              <w:rPr>
                <w:rFonts w:hint="eastAsia"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r>
              <w:rPr>
                <w:rFonts w:ascii="Times New Roman" w:hAnsi="Times New Roman" w:eastAsia="宋体" w:cs="Times New Roman"/>
                <w:snapToGrid w:val="0"/>
                <w:kern w:val="0"/>
                <w:sz w:val="18"/>
                <w:szCs w:val="18"/>
              </w:rPr>
              <w:t>禁止引入专业电镀项目</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-机械加工制造功能区、生物资源综合利用功能区B区：禁止引入列入《环境保护综合名录(2021年版)》“高污染、高环境风险”产品名录的项目</w:t>
            </w:r>
          </w:p>
        </w:tc>
        <w:tc>
          <w:tcPr>
            <w:tcW w:w="749" w:type="pct"/>
            <w:tcBorders>
              <w:left w:val="single" w:color="auto" w:sz="4" w:space="0"/>
            </w:tcBorders>
            <w:shd w:val="clear" w:color="auto" w:fill="auto"/>
            <w:vAlign w:val="center"/>
          </w:tcPr>
          <w:p>
            <w:pPr>
              <w:adjustRightInd w:val="0"/>
              <w:snapToGrid w:val="0"/>
              <w:rPr>
                <w:rFonts w:hint="eastAsia"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-四川省人民政府办公厅《关于进一步规范电镀行业发展的意见》(川办发【2018】83号)</w:t>
            </w:r>
          </w:p>
          <w:p>
            <w:pPr>
              <w:adjustRightInd w:val="0"/>
              <w:snapToGrid w:val="0"/>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-该两个功能区紧邻，且邻近嘉川镇人口聚集区</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限制开发建设</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活动的要求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-生物资源综合利用功能区B区：限制屠宰类项目的引入。</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-限制工业园区靠近城镇空间发展；靠近城镇空间的区域禁止引入其它可能影响城区环境质量达标、危害人体健康的项目。</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允许开发建设</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活动的要求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-推动钢铁、石油、化工、有色金属、建材、船舶等产业升级改造，提升技术装备水平；推动造纸、制革、电镀、印染、有色金属、农药、氮肥、焦化、原料药制造等企业实施清洁化改造。</w:t>
            </w:r>
          </w:p>
        </w:tc>
        <w:tc>
          <w:tcPr>
            <w:tcW w:w="1763" w:type="pct"/>
            <w:tcBorders>
              <w:right w:val="single" w:color="auto" w:sz="4" w:space="0"/>
            </w:tcBorders>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w:t>
            </w:r>
            <w:r>
              <w:rPr>
                <w:rFonts w:ascii="Times New Roman" w:hAnsi="Times New Roman" w:eastAsia="宋体" w:cs="Times New Roman"/>
                <w:sz w:val="18"/>
                <w:szCs w:val="18"/>
              </w:rPr>
              <w:t>生物资源综合利用功能区</w:t>
            </w:r>
            <w:r>
              <w:rPr>
                <w:rFonts w:hint="eastAsia" w:ascii="Times New Roman" w:hAnsi="Times New Roman" w:eastAsia="宋体" w:cs="Times New Roman"/>
                <w:sz w:val="18"/>
                <w:szCs w:val="18"/>
              </w:rPr>
              <w:t>B区</w:t>
            </w:r>
            <w:r>
              <w:rPr>
                <w:rFonts w:ascii="Times New Roman" w:hAnsi="Times New Roman" w:eastAsia="宋体" w:cs="Times New Roman"/>
                <w:sz w:val="18"/>
                <w:szCs w:val="18"/>
              </w:rPr>
              <w:t>禁止扩大现状工业用地规模(18.73</w:t>
            </w:r>
            <w:r>
              <w:rPr>
                <w:rFonts w:ascii="Times New Roman" w:hAnsi="Times New Roman" w:eastAsia="宋体" w:cs="Times New Roman"/>
                <w:snapToGrid w:val="0"/>
                <w:kern w:val="0"/>
                <w:sz w:val="18"/>
                <w:szCs w:val="18"/>
              </w:rPr>
              <w:t>hm</w:t>
            </w:r>
            <w:r>
              <w:rPr>
                <w:rFonts w:ascii="Times New Roman" w:hAnsi="Times New Roman" w:eastAsia="宋体" w:cs="Times New Roman"/>
                <w:snapToGrid w:val="0"/>
                <w:kern w:val="0"/>
                <w:sz w:val="18"/>
                <w:szCs w:val="18"/>
                <w:vertAlign w:val="superscript"/>
              </w:rPr>
              <w:t>2</w:t>
            </w:r>
            <w:r>
              <w:rPr>
                <w:rFonts w:ascii="Times New Roman" w:hAnsi="Times New Roman" w:eastAsia="宋体" w:cs="Times New Roman"/>
                <w:sz w:val="18"/>
                <w:szCs w:val="18"/>
              </w:rPr>
              <w:t>)，后续发展仅通过招商引资、兼并重组、租赁合作等方式实现产业升级</w:t>
            </w:r>
          </w:p>
        </w:tc>
        <w:tc>
          <w:tcPr>
            <w:tcW w:w="749" w:type="pct"/>
            <w:tcBorders>
              <w:left w:val="single" w:color="auto" w:sz="4" w:space="0"/>
            </w:tcBorders>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-该功能区邻近嘉川镇人口聚集区，</w:t>
            </w:r>
            <w:r>
              <w:rPr>
                <w:rFonts w:ascii="Times New Roman" w:hAnsi="Times New Roman" w:eastAsia="宋体" w:cs="Times New Roman"/>
                <w:sz w:val="18"/>
                <w:szCs w:val="18"/>
              </w:rPr>
              <w:t>发展空间有限，不具备扩张功能</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不符合空间布局</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要求活动的</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退出要求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-属于园区禁止引入门类或与用地规划不符的现有企业，原则上维持现状不得扩产，逐步退出。</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restar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污染物</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排放</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管控</w:t>
            </w: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现有源提标</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升级改造</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推行砖瓦行业脱硝治理，保持燃煤电厂和水泥企业脱硫脱硝设施正常运行、稳定达标并逐步推行超低排放改造，综合脱硫脱硝效率不低于70%。深化炼焦行业二氧化硫治理。对不能稳定达标的硫磺回收尾气，提高硫磺回收率，确保硫磺尾气稳定达标；焦炉煤气硫化氢脱除效果达到99%以上，直接燃烧的应安装脱硫设施，确保稳定达标排放。</w:t>
            </w:r>
          </w:p>
        </w:tc>
        <w:tc>
          <w:tcPr>
            <w:tcW w:w="1763" w:type="pct"/>
            <w:tcBorders>
              <w:right w:val="single" w:color="auto" w:sz="4" w:space="0"/>
            </w:tcBorders>
            <w:shd w:val="clear" w:color="auto" w:fill="auto"/>
            <w:vAlign w:val="center"/>
          </w:tcPr>
          <w:p>
            <w:pPr>
              <w:adjustRightInd w:val="0"/>
              <w:snapToGrid w:val="0"/>
              <w:rPr>
                <w:rFonts w:hint="eastAsia"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-木质家具制造行业：加强废气分类收集与处理，有机废气收集效率不低于</w:t>
            </w:r>
            <w:r>
              <w:rPr>
                <w:rFonts w:ascii="Times New Roman" w:hAnsi="Times New Roman" w:eastAsia="宋体" w:cs="Times New Roman"/>
                <w:snapToGrid w:val="0"/>
                <w:kern w:val="0"/>
                <w:sz w:val="18"/>
                <w:szCs w:val="18"/>
              </w:rPr>
              <w:t>80%</w:t>
            </w:r>
            <w:r>
              <w:rPr>
                <w:rFonts w:hint="eastAsia" w:ascii="Times New Roman" w:hAnsi="Times New Roman" w:eastAsia="宋体" w:cs="Times New Roman"/>
                <w:snapToGrid w:val="0"/>
                <w:kern w:val="0"/>
                <w:sz w:val="18"/>
                <w:szCs w:val="18"/>
              </w:rPr>
              <w:t>，建设吸附燃烧等有效治理设施，实现达标排放；企业综合去除率达50%以上</w:t>
            </w:r>
          </w:p>
          <w:p>
            <w:pPr>
              <w:adjustRightInd w:val="0"/>
              <w:snapToGrid w:val="0"/>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-包装印刷行业：对油墨、胶粘剂等有机原辅材料调配和使用等环节，要采取车间环境负压改造、安装高效集气装置等措施，加强废气收集，有机废气收集率达到</w:t>
            </w:r>
            <w:r>
              <w:rPr>
                <w:rFonts w:ascii="Times New Roman" w:hAnsi="Times New Roman" w:eastAsia="宋体" w:cs="Times New Roman"/>
                <w:snapToGrid w:val="0"/>
                <w:kern w:val="0"/>
                <w:sz w:val="18"/>
                <w:szCs w:val="18"/>
              </w:rPr>
              <w:t>70%</w:t>
            </w:r>
            <w:r>
              <w:rPr>
                <w:rFonts w:hint="eastAsia" w:ascii="Times New Roman" w:hAnsi="Times New Roman" w:eastAsia="宋体" w:cs="Times New Roman"/>
                <w:snapToGrid w:val="0"/>
                <w:kern w:val="0"/>
                <w:sz w:val="18"/>
                <w:szCs w:val="18"/>
              </w:rPr>
              <w:t>以上；对转运、储存等环节，采取密闭措施，减少无组织排放。在烘干环节，采取循环风烘干技术，减少废气排放。采取回收、吸附燃烧等末端治理措施净化处理废气，确保稳定达标排放</w:t>
            </w:r>
          </w:p>
        </w:tc>
        <w:tc>
          <w:tcPr>
            <w:tcW w:w="749" w:type="pct"/>
            <w:tcBorders>
              <w:left w:val="single" w:color="auto" w:sz="4" w:space="0"/>
            </w:tcBorders>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《四川省挥发性有机物污染防治实施方案》</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新增源等量</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或倍量替代</w:t>
            </w:r>
          </w:p>
        </w:tc>
        <w:tc>
          <w:tcPr>
            <w:tcW w:w="1713" w:type="pct"/>
            <w:shd w:val="clear" w:color="auto" w:fill="auto"/>
            <w:vAlign w:val="center"/>
          </w:tcPr>
          <w:p>
            <w:pPr>
              <w:overflowPunct w:val="0"/>
              <w:topLinePunct/>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-上一年度空气质量、水环境质量达标区，新增污染物实行等量替代。</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-上一年度空气质量、水环境质量未达标区，新增污染物实行倍量替代。</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新增源排放</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标准限值</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推行砖瓦行业脱硝治理，保持燃煤电厂和水泥企业脱硫脱硝设施正常运行、稳定达标并逐步推行超低排放改造，综合脱硫脱硝效率不低于70%。深化炼焦行业二氧化硫治理。对不能稳定达标的硫磺回收尾气，提高硫磺回收率，确保硫磺尾气稳定达标；焦炉煤气硫化氢脱除效果达到99%以上，直接燃烧的应安装脱硫设施，确保稳定达标排放。</w:t>
            </w:r>
          </w:p>
        </w:tc>
        <w:tc>
          <w:tcPr>
            <w:tcW w:w="1763" w:type="pct"/>
            <w:tcBorders>
              <w:right w:val="single" w:color="auto" w:sz="4" w:space="0"/>
            </w:tcBorders>
            <w:shd w:val="clear" w:color="auto" w:fill="auto"/>
            <w:vAlign w:val="center"/>
          </w:tcPr>
          <w:p>
            <w:pPr>
              <w:adjustRightInd w:val="0"/>
              <w:snapToGrid w:val="0"/>
              <w:rPr>
                <w:rFonts w:hint="eastAsia"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r>
              <w:rPr>
                <w:rFonts w:ascii="Times New Roman" w:hAnsi="Times New Roman" w:eastAsia="宋体" w:cs="Times New Roman"/>
                <w:snapToGrid w:val="0"/>
                <w:kern w:val="0"/>
                <w:sz w:val="18"/>
                <w:szCs w:val="18"/>
              </w:rPr>
              <w:t>园区内企业废气排放应满足《大气污染物综合排放标准》(GB16297-1996)中二级标准或相应行业标准或《四川省固定污染源大气挥发性有机物排放标准》(DB51/2377-2017)</w:t>
            </w:r>
          </w:p>
          <w:p>
            <w:pPr>
              <w:adjustRightInd w:val="0"/>
              <w:snapToGrid w:val="0"/>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r>
              <w:rPr>
                <w:rFonts w:ascii="Times New Roman" w:hAnsi="Times New Roman" w:eastAsia="宋体" w:cs="Times New Roman"/>
                <w:snapToGrid w:val="0"/>
                <w:kern w:val="0"/>
                <w:sz w:val="18"/>
                <w:szCs w:val="18"/>
              </w:rPr>
              <w:t>园区内企业废水须自行处理达相关行业预处理标准或《污水综合排放标准》(GB8978-1996)中三级标准后，方可经污水管网排入相应功能区对应的污水处理厂</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达标排放要求</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允许排放量要求</w:t>
            </w:r>
          </w:p>
        </w:tc>
        <w:tc>
          <w:tcPr>
            <w:tcW w:w="1713" w:type="pct"/>
            <w:shd w:val="clear" w:color="auto" w:fill="auto"/>
            <w:vAlign w:val="center"/>
          </w:tcPr>
          <w:p>
            <w:pPr>
              <w:overflowPunct w:val="0"/>
              <w:topLinePunct/>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-大气污染物允许排放量：SO</w:t>
            </w:r>
            <w:r>
              <w:rPr>
                <w:rFonts w:ascii="Times New Roman" w:hAnsi="Times New Roman" w:eastAsia="宋体" w:cs="Times New Roman"/>
                <w:snapToGrid w:val="0"/>
                <w:kern w:val="0"/>
                <w:sz w:val="18"/>
                <w:szCs w:val="18"/>
                <w:vertAlign w:val="subscript"/>
              </w:rPr>
              <w:t>2</w:t>
            </w:r>
            <w:r>
              <w:rPr>
                <w:rFonts w:ascii="Times New Roman" w:hAnsi="Times New Roman" w:eastAsia="宋体" w:cs="Times New Roman"/>
                <w:snapToGrid w:val="0"/>
                <w:kern w:val="0"/>
                <w:sz w:val="18"/>
                <w:szCs w:val="18"/>
              </w:rPr>
              <w:t>1014.2t/a、NOx2107.2t/a、一次PM</w:t>
            </w:r>
            <w:r>
              <w:rPr>
                <w:rFonts w:ascii="Times New Roman" w:hAnsi="Times New Roman" w:eastAsia="宋体" w:cs="Times New Roman"/>
                <w:snapToGrid w:val="0"/>
                <w:kern w:val="0"/>
                <w:sz w:val="18"/>
                <w:szCs w:val="18"/>
                <w:vertAlign w:val="subscript"/>
              </w:rPr>
              <w:t>2.5</w:t>
            </w:r>
            <w:r>
              <w:rPr>
                <w:rFonts w:ascii="Times New Roman" w:hAnsi="Times New Roman" w:eastAsia="宋体" w:cs="Times New Roman"/>
                <w:snapToGrid w:val="0"/>
                <w:kern w:val="0"/>
                <w:sz w:val="18"/>
                <w:szCs w:val="18"/>
              </w:rPr>
              <w:t>761.8t/a、VOCs978.2t/a；</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-水污染物允许排放量：COD622.5t/a、氨氮85.5t/a、TP9.3t/a。</w:t>
            </w:r>
          </w:p>
        </w:tc>
        <w:tc>
          <w:tcPr>
            <w:tcW w:w="1763" w:type="pct"/>
            <w:tcBorders>
              <w:right w:val="single" w:color="auto" w:sz="4" w:space="0"/>
            </w:tcBorders>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-大气污染物</w:t>
            </w:r>
            <w:r>
              <w:rPr>
                <w:rFonts w:ascii="Times New Roman" w:hAnsi="Times New Roman" w:eastAsia="宋体" w:cs="Times New Roman"/>
                <w:kern w:val="0"/>
                <w:sz w:val="18"/>
                <w:szCs w:val="21"/>
              </w:rPr>
              <w:t>总量管控限值：</w:t>
            </w:r>
            <w:r>
              <w:rPr>
                <w:rFonts w:ascii="Times New Roman" w:hAnsi="Times New Roman" w:eastAsia="宋体" w:cs="Times New Roman"/>
                <w:snapToGrid w:val="0"/>
                <w:kern w:val="0"/>
                <w:sz w:val="18"/>
                <w:szCs w:val="18"/>
              </w:rPr>
              <w:t>SO</w:t>
            </w:r>
            <w:r>
              <w:rPr>
                <w:rFonts w:ascii="Times New Roman" w:hAnsi="Times New Roman" w:eastAsia="宋体" w:cs="Times New Roman"/>
                <w:snapToGrid w:val="0"/>
                <w:kern w:val="0"/>
                <w:sz w:val="18"/>
                <w:szCs w:val="18"/>
                <w:vertAlign w:val="subscript"/>
              </w:rPr>
              <w:t>2</w:t>
            </w:r>
            <w:r>
              <w:rPr>
                <w:rFonts w:hint="eastAsia" w:ascii="Times New Roman" w:hAnsi="Times New Roman" w:eastAsia="宋体" w:cs="Times New Roman"/>
                <w:snapToGrid w:val="0"/>
                <w:kern w:val="0"/>
                <w:sz w:val="18"/>
                <w:szCs w:val="18"/>
              </w:rPr>
              <w:t>334.26</w:t>
            </w:r>
            <w:r>
              <w:rPr>
                <w:rFonts w:ascii="Times New Roman" w:hAnsi="Times New Roman" w:eastAsia="宋体" w:cs="Times New Roman"/>
                <w:snapToGrid w:val="0"/>
                <w:kern w:val="0"/>
                <w:sz w:val="18"/>
                <w:szCs w:val="18"/>
              </w:rPr>
              <w:t>t/a、NOx</w:t>
            </w:r>
            <w:r>
              <w:rPr>
                <w:rFonts w:hint="eastAsia" w:ascii="Times New Roman" w:hAnsi="Times New Roman" w:eastAsia="宋体" w:cs="Times New Roman"/>
                <w:snapToGrid w:val="0"/>
                <w:kern w:val="0"/>
                <w:sz w:val="18"/>
                <w:szCs w:val="18"/>
              </w:rPr>
              <w:t>1162.83</w:t>
            </w:r>
            <w:r>
              <w:rPr>
                <w:rFonts w:ascii="Times New Roman" w:hAnsi="Times New Roman" w:eastAsia="宋体" w:cs="Times New Roman"/>
                <w:snapToGrid w:val="0"/>
                <w:kern w:val="0"/>
                <w:sz w:val="18"/>
                <w:szCs w:val="18"/>
              </w:rPr>
              <w:t>t/a、颗粒物</w:t>
            </w:r>
            <w:r>
              <w:rPr>
                <w:rFonts w:hint="eastAsia" w:ascii="Times New Roman" w:hAnsi="Times New Roman" w:eastAsia="宋体" w:cs="Times New Roman"/>
                <w:snapToGrid w:val="0"/>
                <w:kern w:val="0"/>
                <w:sz w:val="18"/>
                <w:szCs w:val="18"/>
              </w:rPr>
              <w:t>802.42</w:t>
            </w:r>
            <w:r>
              <w:rPr>
                <w:rFonts w:ascii="Times New Roman" w:hAnsi="Times New Roman" w:eastAsia="宋体" w:cs="Times New Roman"/>
                <w:snapToGrid w:val="0"/>
                <w:kern w:val="0"/>
                <w:sz w:val="18"/>
                <w:szCs w:val="18"/>
              </w:rPr>
              <w:t>t/a、VOCs</w:t>
            </w:r>
            <w:r>
              <w:rPr>
                <w:rFonts w:hint="eastAsia" w:ascii="Times New Roman" w:hAnsi="Times New Roman" w:eastAsia="宋体" w:cs="Times New Roman"/>
                <w:snapToGrid w:val="0"/>
                <w:kern w:val="0"/>
                <w:sz w:val="18"/>
                <w:szCs w:val="18"/>
              </w:rPr>
              <w:t>419.94</w:t>
            </w:r>
            <w:r>
              <w:rPr>
                <w:rFonts w:ascii="Times New Roman" w:hAnsi="Times New Roman" w:eastAsia="宋体" w:cs="Times New Roman"/>
                <w:snapToGrid w:val="0"/>
                <w:kern w:val="0"/>
                <w:sz w:val="18"/>
                <w:szCs w:val="18"/>
              </w:rPr>
              <w:t>t/a</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-水污染物</w:t>
            </w:r>
            <w:r>
              <w:rPr>
                <w:rFonts w:ascii="Times New Roman" w:hAnsi="Times New Roman" w:eastAsia="宋体" w:cs="Times New Roman"/>
                <w:kern w:val="0"/>
                <w:sz w:val="18"/>
                <w:szCs w:val="21"/>
              </w:rPr>
              <w:t>总量管控限值：</w:t>
            </w:r>
            <w:r>
              <w:rPr>
                <w:rFonts w:ascii="Times New Roman" w:hAnsi="Times New Roman" w:eastAsia="宋体" w:cs="Times New Roman"/>
                <w:snapToGrid w:val="0"/>
                <w:kern w:val="0"/>
                <w:sz w:val="18"/>
                <w:szCs w:val="18"/>
              </w:rPr>
              <w:t>CODcr</w:t>
            </w:r>
            <w:r>
              <w:rPr>
                <w:rFonts w:hint="eastAsia" w:ascii="Times New Roman" w:hAnsi="Times New Roman" w:eastAsia="宋体" w:cs="Times New Roman"/>
                <w:snapToGrid w:val="0"/>
                <w:kern w:val="0"/>
                <w:sz w:val="18"/>
                <w:szCs w:val="18"/>
              </w:rPr>
              <w:t>520.91</w:t>
            </w:r>
            <w:r>
              <w:rPr>
                <w:rFonts w:ascii="Times New Roman" w:hAnsi="Times New Roman" w:eastAsia="宋体" w:cs="Times New Roman"/>
                <w:snapToGrid w:val="0"/>
                <w:kern w:val="0"/>
                <w:sz w:val="18"/>
                <w:szCs w:val="18"/>
              </w:rPr>
              <w:t>t/a、</w:t>
            </w:r>
            <w:r>
              <w:rPr>
                <w:rFonts w:ascii="Times New Roman" w:hAnsi="Times New Roman" w:eastAsia="宋体" w:cs="Times New Roman"/>
                <w:kern w:val="0"/>
                <w:sz w:val="18"/>
                <w:szCs w:val="21"/>
              </w:rPr>
              <w:t>NH</w:t>
            </w:r>
            <w:r>
              <w:rPr>
                <w:rFonts w:ascii="Times New Roman" w:hAnsi="Times New Roman" w:eastAsia="宋体" w:cs="Times New Roman"/>
                <w:kern w:val="0"/>
                <w:sz w:val="18"/>
                <w:szCs w:val="21"/>
                <w:vertAlign w:val="subscript"/>
              </w:rPr>
              <w:t>3</w:t>
            </w:r>
            <w:r>
              <w:rPr>
                <w:rFonts w:ascii="Times New Roman" w:hAnsi="Times New Roman" w:eastAsia="宋体" w:cs="Times New Roman"/>
                <w:kern w:val="0"/>
                <w:sz w:val="18"/>
                <w:szCs w:val="21"/>
              </w:rPr>
              <w:t>-N</w:t>
            </w:r>
            <w:r>
              <w:rPr>
                <w:rFonts w:hint="eastAsia" w:ascii="Times New Roman" w:hAnsi="Times New Roman" w:eastAsia="宋体" w:cs="Times New Roman"/>
                <w:snapToGrid w:val="0"/>
                <w:kern w:val="0"/>
                <w:sz w:val="18"/>
                <w:szCs w:val="18"/>
              </w:rPr>
              <w:t>52.08</w:t>
            </w:r>
            <w:r>
              <w:rPr>
                <w:rFonts w:ascii="Times New Roman" w:hAnsi="Times New Roman" w:eastAsia="宋体" w:cs="Times New Roman"/>
                <w:snapToGrid w:val="0"/>
                <w:kern w:val="0"/>
                <w:sz w:val="18"/>
                <w:szCs w:val="18"/>
              </w:rPr>
              <w:t>t/a、TP</w:t>
            </w:r>
            <w:r>
              <w:rPr>
                <w:rFonts w:hint="eastAsia" w:ascii="Times New Roman" w:hAnsi="Times New Roman" w:eastAsia="宋体" w:cs="Times New Roman"/>
                <w:snapToGrid w:val="0"/>
                <w:kern w:val="0"/>
                <w:sz w:val="18"/>
                <w:szCs w:val="18"/>
              </w:rPr>
              <w:t>5.21</w:t>
            </w:r>
            <w:r>
              <w:rPr>
                <w:rFonts w:ascii="Times New Roman" w:hAnsi="Times New Roman" w:eastAsia="宋体" w:cs="Times New Roman"/>
                <w:snapToGrid w:val="0"/>
                <w:kern w:val="0"/>
                <w:sz w:val="18"/>
                <w:szCs w:val="18"/>
              </w:rPr>
              <w:t>t/a</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污染物排放预测结果</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污染物排放绩效</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水平准入要求</w:t>
            </w:r>
          </w:p>
        </w:tc>
        <w:tc>
          <w:tcPr>
            <w:tcW w:w="1713" w:type="pct"/>
            <w:shd w:val="clear" w:color="auto" w:fill="auto"/>
            <w:vAlign w:val="center"/>
          </w:tcPr>
          <w:p>
            <w:pPr>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家具制造业：大力推广使用水性、紫外光固化等低挥发性涂料，替代比例达到60%以上；全面使用水性胶黏剂，到替代比例达到100%。在平面板式木质家具制造领域，推广使用自动喷涂或辊涂等先进工艺技术。加强废气分类收集与处理，有机废气收集效率不低于80%，建设吸附、燃烧等有效治理设施，实现达标排放。木质家具制造企业综合去除率达60%以上。</w:t>
            </w:r>
          </w:p>
          <w:p>
            <w:pPr>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-涉及VOCs物料的生产企业按照《挥发性有机物无组织排放控制标准》控制VOCs无组织排放。</w:t>
            </w:r>
          </w:p>
        </w:tc>
        <w:tc>
          <w:tcPr>
            <w:tcW w:w="1763" w:type="pct"/>
            <w:tcBorders>
              <w:right w:val="single" w:color="auto" w:sz="4" w:space="0"/>
            </w:tcBorders>
            <w:shd w:val="clear" w:color="auto" w:fill="auto"/>
            <w:vAlign w:val="center"/>
          </w:tcPr>
          <w:p>
            <w:pPr>
              <w:adjustRightInd w:val="0"/>
              <w:snapToGrid w:val="0"/>
              <w:rPr>
                <w:rFonts w:hint="eastAsia"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-工业固体废物利用处置率：100%</w:t>
            </w:r>
          </w:p>
          <w:p>
            <w:pPr>
              <w:adjustRightInd w:val="0"/>
              <w:snapToGrid w:val="0"/>
              <w:rPr>
                <w:rFonts w:hint="eastAsia"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-生活垃圾无害化处理率：100%</w:t>
            </w:r>
          </w:p>
          <w:p>
            <w:pPr>
              <w:adjustRightInd w:val="0"/>
              <w:snapToGrid w:val="0"/>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-危险废物安全处置率：100%</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restar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环境</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风险</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防控</w:t>
            </w: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园区环境风险</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防控要求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-园区建立政府-园区-企业三级环境风险防控体系。</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企业环境风险</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防控要求</w:t>
            </w:r>
          </w:p>
        </w:tc>
        <w:tc>
          <w:tcPr>
            <w:tcW w:w="1713" w:type="pct"/>
            <w:shd w:val="clear" w:color="auto" w:fill="auto"/>
            <w:vAlign w:val="center"/>
          </w:tcPr>
          <w:p>
            <w:pPr>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-规划区应合理布局功能区，园区内拟设置的罐区、危化品储存区等场所应远离人群集中地带和远离地表水体。</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-严格实施园区三级风险防范措施，杜绝事故废水、液体罐等入河。</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用地环境风险</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防控要求</w:t>
            </w:r>
          </w:p>
        </w:tc>
        <w:tc>
          <w:tcPr>
            <w:tcW w:w="1713" w:type="pct"/>
            <w:shd w:val="clear" w:color="auto" w:fill="auto"/>
            <w:vAlign w:val="center"/>
          </w:tcPr>
          <w:p>
            <w:pPr>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有色金属冶炼、石油加工、化工、焦化、电镀、制革等行业企业拆除生产设施设备、构筑物和污染治理设施，要事先制定残留污染物清理和安全处置方案，要严格按照有关规定实施安全处理处置，防范拆除活动污染土壤。</w:t>
            </w:r>
          </w:p>
          <w:p>
            <w:pPr>
              <w:adjustRightInd w:val="0"/>
              <w:snapToGrid w:val="0"/>
              <w:jc w:val="left"/>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对拟收回土地使用权的有色金属矿采选、有色金属冶炼、石油加工、化工、焦化、电镀、制革、天然(页岩)气开采、铅蓄电池、汽车制造、农药、危废处置、电子拆解等行业企业用地，由土地使用权人按照国家发布的建设用地土壤环境调查评估技术规定，开展土壤环境状况调查评估。</w:t>
            </w:r>
          </w:p>
        </w:tc>
        <w:tc>
          <w:tcPr>
            <w:tcW w:w="1763" w:type="pct"/>
            <w:tcBorders>
              <w:right w:val="single" w:color="auto" w:sz="4" w:space="0"/>
            </w:tcBorders>
            <w:shd w:val="clear" w:color="auto" w:fill="auto"/>
            <w:vAlign w:val="center"/>
          </w:tcPr>
          <w:p>
            <w:pPr>
              <w:adjustRightInd w:val="0"/>
              <w:snapToGrid w:val="0"/>
              <w:rPr>
                <w:rFonts w:hint="eastAsia" w:ascii="Times New Roman" w:hAnsi="Times New Roman" w:eastAsia="宋体" w:cs="Times New Roman"/>
                <w:sz w:val="18"/>
                <w:szCs w:val="18"/>
              </w:rPr>
            </w:pPr>
            <w:r>
              <w:rPr>
                <w:rFonts w:hint="eastAsia" w:ascii="Times New Roman" w:hAnsi="Times New Roman" w:eastAsia="宋体" w:cs="Times New Roman"/>
                <w:snapToGrid w:val="0"/>
                <w:kern w:val="0"/>
                <w:sz w:val="18"/>
                <w:szCs w:val="18"/>
              </w:rPr>
              <w:t>-</w:t>
            </w:r>
            <w:r>
              <w:rPr>
                <w:rFonts w:ascii="Times New Roman" w:hAnsi="Times New Roman" w:eastAsia="宋体" w:cs="Times New Roman"/>
                <w:sz w:val="18"/>
                <w:szCs w:val="18"/>
              </w:rPr>
              <w:t>禁止在居民区、学校、医疗和养老机构等周边新建有色金属冶炼、焦化等行业企业</w:t>
            </w:r>
          </w:p>
          <w:p>
            <w:pPr>
              <w:adjustRightInd w:val="0"/>
              <w:snapToGrid w:val="0"/>
              <w:rPr>
                <w:rFonts w:ascii="Times New Roman" w:hAnsi="Times New Roman" w:eastAsia="宋体" w:cs="Times New Roman"/>
                <w:snapToGrid w:val="0"/>
                <w:kern w:val="0"/>
                <w:sz w:val="18"/>
                <w:szCs w:val="18"/>
              </w:rPr>
            </w:pPr>
            <w:r>
              <w:rPr>
                <w:rFonts w:hint="eastAsia" w:ascii="Times New Roman" w:hAnsi="Times New Roman" w:eastAsia="宋体" w:cs="Times New Roman"/>
                <w:sz w:val="18"/>
                <w:szCs w:val="18"/>
              </w:rPr>
              <w:t>-工业企业退出用地，须经评估、修复满足相应用地功能后，方可改变用途</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《土壤污染防治行动计划》</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restar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资源</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开发</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利用</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效率</w:t>
            </w: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水资源利用</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效率要求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lang w:bidi="ar"/>
              </w:rPr>
            </w:pPr>
            <w:r>
              <w:rPr>
                <w:rFonts w:ascii="Times New Roman" w:hAnsi="Times New Roman" w:eastAsia="宋体" w:cs="Times New Roman"/>
                <w:snapToGrid w:val="0"/>
                <w:kern w:val="0"/>
                <w:sz w:val="18"/>
                <w:szCs w:val="18"/>
              </w:rPr>
              <w:t>-新建、改建、扩建工业园区应当按照有关要求统筹建设工业废水集中处理和回用设施，推进企业间串联用水、分质用水、一水多用，实现水循环梯级优化利用和废水集中处理回用，创建节水型工业园区。</w:t>
            </w:r>
            <w:r>
              <w:rPr>
                <w:rFonts w:ascii="Times New Roman" w:hAnsi="Times New Roman" w:eastAsia="宋体" w:cs="Times New Roman"/>
                <w:snapToGrid w:val="0"/>
                <w:kern w:val="0"/>
                <w:sz w:val="18"/>
                <w:szCs w:val="18"/>
                <w:lang w:bidi="ar"/>
              </w:rPr>
              <w:t>鼓励火力发电、钢铁、纺织、造纸、石化和化工、食品和发酵等高耗水企业对废水</w:t>
            </w:r>
            <w:r>
              <w:rPr>
                <w:rFonts w:ascii="Times New Roman" w:hAnsi="Times New Roman" w:eastAsia="宋体" w:cs="Times New Roman"/>
                <w:snapToGrid w:val="0"/>
                <w:kern w:val="0"/>
                <w:sz w:val="18"/>
                <w:szCs w:val="18"/>
              </w:rPr>
              <w:t>进行</w:t>
            </w:r>
            <w:r>
              <w:rPr>
                <w:rFonts w:ascii="Times New Roman" w:hAnsi="Times New Roman" w:eastAsia="宋体" w:cs="Times New Roman"/>
                <w:snapToGrid w:val="0"/>
                <w:kern w:val="0"/>
                <w:sz w:val="18"/>
                <w:szCs w:val="18"/>
                <w:lang w:bidi="ar"/>
              </w:rPr>
              <w:t>深度处理回用，降低单位产品耗水量。</w:t>
            </w:r>
          </w:p>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shd w:val="clear" w:color="auto" w:fill="FFFFFF"/>
              </w:rPr>
              <w:t>-火电、石化、钢铁、有色、造纸、印染等高耗水行业项目具备使用再生水条件但未有效利用的，要严格控制新增取水许可。</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能源利用</w:t>
            </w:r>
          </w:p>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效率要求</w:t>
            </w:r>
          </w:p>
        </w:tc>
        <w:tc>
          <w:tcPr>
            <w:tcW w:w="1713"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r>
        <w:tblPrEx>
          <w:tblBorders>
            <w:top w:val="single" w:color="000000" w:sz="6" w:space="0"/>
            <w:left w:val="none" w:color="auto" w:sz="0" w:space="0"/>
            <w:bottom w:val="single" w:color="000000" w:sz="6" w:space="0"/>
            <w:right w:val="none" w:color="auto" w:sz="0" w:space="0"/>
            <w:insideH w:val="single" w:color="000000" w:sz="6" w:space="0"/>
            <w:insideV w:val="single" w:color="000000" w:sz="6" w:space="0"/>
          </w:tblBorders>
          <w:tblCellMar>
            <w:top w:w="15" w:type="dxa"/>
            <w:left w:w="57" w:type="dxa"/>
            <w:bottom w:w="15" w:type="dxa"/>
            <w:right w:w="57" w:type="dxa"/>
          </w:tblCellMar>
        </w:tblPrEx>
        <w:tc>
          <w:tcPr>
            <w:tcW w:w="272" w:type="pct"/>
            <w:vMerge w:val="continue"/>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p>
        </w:tc>
        <w:tc>
          <w:tcPr>
            <w:tcW w:w="504" w:type="pct"/>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禁燃区要求</w:t>
            </w:r>
          </w:p>
        </w:tc>
        <w:tc>
          <w:tcPr>
            <w:tcW w:w="1713" w:type="pct"/>
            <w:shd w:val="clear" w:color="auto" w:fill="auto"/>
            <w:vAlign w:val="center"/>
          </w:tcPr>
          <w:p>
            <w:pPr>
              <w:adjustRightInd w:val="0"/>
              <w:snapToGrid w:val="0"/>
              <w:rPr>
                <w:rFonts w:ascii="Times New Roman" w:hAnsi="Times New Roman" w:eastAsia="宋体" w:cs="Times New Roman"/>
                <w:snapToGrid w:val="0"/>
                <w:kern w:val="0"/>
                <w:sz w:val="18"/>
                <w:szCs w:val="18"/>
              </w:rPr>
            </w:pPr>
            <w:r>
              <w:rPr>
                <w:rFonts w:ascii="Times New Roman" w:hAnsi="Times New Roman" w:eastAsia="宋体" w:cs="Times New Roman"/>
                <w:snapToGrid w:val="0"/>
                <w:kern w:val="0"/>
                <w:sz w:val="18"/>
                <w:szCs w:val="18"/>
              </w:rPr>
              <w:t>-原则上不再新建每小时35蒸吨以下的燃煤锅炉。位于大气不达标区域的工业单元，除执行超低排放标准的集中供热设施外，禁止新建燃煤及其他高污染燃料设施。积极实施煤改电、有序推进煤改气。鼓励工业窑炉煤改电、煤改气或集中供热。</w:t>
            </w:r>
          </w:p>
        </w:tc>
        <w:tc>
          <w:tcPr>
            <w:tcW w:w="1763" w:type="pct"/>
            <w:tcBorders>
              <w:righ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c>
          <w:tcPr>
            <w:tcW w:w="749" w:type="pct"/>
            <w:tcBorders>
              <w:left w:val="single" w:color="auto" w:sz="4" w:space="0"/>
            </w:tcBorders>
            <w:shd w:val="clear" w:color="auto" w:fill="auto"/>
            <w:vAlign w:val="center"/>
          </w:tcPr>
          <w:p>
            <w:pPr>
              <w:adjustRightInd w:val="0"/>
              <w:snapToGrid w:val="0"/>
              <w:jc w:val="center"/>
              <w:rPr>
                <w:rFonts w:ascii="Times New Roman" w:hAnsi="Times New Roman" w:eastAsia="宋体" w:cs="Times New Roman"/>
                <w:snapToGrid w:val="0"/>
                <w:kern w:val="0"/>
                <w:sz w:val="18"/>
                <w:szCs w:val="18"/>
              </w:rPr>
            </w:pPr>
            <w:r>
              <w:rPr>
                <w:rFonts w:hint="eastAsia" w:ascii="Times New Roman" w:hAnsi="Times New Roman" w:eastAsia="宋体" w:cs="Times New Roman"/>
                <w:snapToGrid w:val="0"/>
                <w:kern w:val="0"/>
                <w:sz w:val="18"/>
                <w:szCs w:val="18"/>
              </w:rPr>
              <w:t>/</w:t>
            </w:r>
          </w:p>
        </w:tc>
      </w:tr>
    </w:tbl>
    <w:p>
      <w:pPr>
        <w:pStyle w:val="16"/>
        <w:jc w:val="center"/>
        <w:rPr>
          <w:rFonts w:ascii="Times New Roman" w:hAnsi="Times New Roman" w:eastAsia="黑体" w:cs="Times New Roman"/>
        </w:rPr>
      </w:pPr>
    </w:p>
    <w:p>
      <w:pPr>
        <w:spacing w:line="540" w:lineRule="exact"/>
        <w:outlineLvl w:val="0"/>
        <w:rPr>
          <w:rFonts w:ascii="Times New Roman" w:hAnsi="Times New Roman" w:cs="Times New Roman"/>
          <w:b/>
          <w:spacing w:val="-4"/>
          <w:sz w:val="24"/>
        </w:rPr>
        <w:sectPr>
          <w:pgSz w:w="16838" w:h="11906" w:orient="landscape"/>
          <w:pgMar w:top="1797" w:right="1440" w:bottom="1797" w:left="1440" w:header="851" w:footer="992" w:gutter="0"/>
          <w:cols w:space="425" w:num="1"/>
          <w:docGrid w:type="lines" w:linePitch="312" w:charSpace="0"/>
        </w:sectPr>
      </w:pPr>
    </w:p>
    <w:p>
      <w:pPr>
        <w:spacing w:line="540" w:lineRule="exact"/>
        <w:ind w:firstLine="466" w:firstLineChars="200"/>
        <w:outlineLvl w:val="0"/>
        <w:rPr>
          <w:rFonts w:ascii="Times New Roman" w:hAnsi="Times New Roman" w:cs="Times New Roman"/>
          <w:b/>
          <w:spacing w:val="-4"/>
          <w:sz w:val="24"/>
        </w:rPr>
      </w:pPr>
      <w:r>
        <w:rPr>
          <w:rFonts w:hint="eastAsia" w:ascii="Times New Roman" w:hAnsi="Times New Roman" w:cs="Times New Roman"/>
          <w:b/>
          <w:spacing w:val="-4"/>
          <w:sz w:val="24"/>
        </w:rPr>
        <w:t>七</w:t>
      </w:r>
      <w:r>
        <w:rPr>
          <w:rFonts w:ascii="Times New Roman" w:hAnsi="Times New Roman" w:cs="Times New Roman"/>
          <w:b/>
          <w:spacing w:val="-4"/>
          <w:sz w:val="24"/>
        </w:rPr>
        <w:t>、规划环评总体结论</w:t>
      </w:r>
    </w:p>
    <w:p>
      <w:pPr>
        <w:pStyle w:val="19"/>
        <w:rPr>
          <w:rFonts w:eastAsiaTheme="minorEastAsia"/>
        </w:rPr>
      </w:pPr>
      <w:r>
        <w:rPr>
          <w:rFonts w:eastAsiaTheme="minorEastAsia"/>
        </w:rPr>
        <w:t>四川旺苍经济开发区规划符合四川省、广元市和旺苍县的工业发展思路。规划实施后，将充分利用政策优势、交通优势，有利于推动产业升级和社会经济的发展，同时还将带动相关产业及周边地区的经济社会发展。经规划环评优化调整后，规划区规模、产业定位、功能布局总体可行，区域资源及环境条件可支撑规划的实施，只要认真落实风险防范措施，规划区的环境风险是可以接受的。规划环评提出的环境影响减缓对策措施可有效缓解因规划区建设造成的不良环境影响，有效的节约资源、能源，有利于“三废”的集中治理。从环保角度来看，规划方案是可行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k3MDU4NmJjMTgxNDQ4MThmYzNiM2YzOTZjMDkzMmYifQ=="/>
  </w:docVars>
  <w:rsids>
    <w:rsidRoot w:val="00C3178D"/>
    <w:rsid w:val="00040CC2"/>
    <w:rsid w:val="000728FE"/>
    <w:rsid w:val="00072E2C"/>
    <w:rsid w:val="000A3AB5"/>
    <w:rsid w:val="000C2E3E"/>
    <w:rsid w:val="000E7E45"/>
    <w:rsid w:val="000F6526"/>
    <w:rsid w:val="00123FA7"/>
    <w:rsid w:val="00135E15"/>
    <w:rsid w:val="00142DFA"/>
    <w:rsid w:val="0016749B"/>
    <w:rsid w:val="001724F7"/>
    <w:rsid w:val="00185CEE"/>
    <w:rsid w:val="001C620B"/>
    <w:rsid w:val="00204E50"/>
    <w:rsid w:val="002410A8"/>
    <w:rsid w:val="00243E31"/>
    <w:rsid w:val="00253003"/>
    <w:rsid w:val="002A4B0A"/>
    <w:rsid w:val="002B49BB"/>
    <w:rsid w:val="002E478B"/>
    <w:rsid w:val="00305942"/>
    <w:rsid w:val="00307887"/>
    <w:rsid w:val="00312989"/>
    <w:rsid w:val="00350932"/>
    <w:rsid w:val="003728F8"/>
    <w:rsid w:val="003A38EB"/>
    <w:rsid w:val="003A5FA5"/>
    <w:rsid w:val="003C01AA"/>
    <w:rsid w:val="003C130C"/>
    <w:rsid w:val="003E4E2E"/>
    <w:rsid w:val="003F165C"/>
    <w:rsid w:val="00486DE8"/>
    <w:rsid w:val="004A23E2"/>
    <w:rsid w:val="004E57ED"/>
    <w:rsid w:val="0056302C"/>
    <w:rsid w:val="00564059"/>
    <w:rsid w:val="00570A45"/>
    <w:rsid w:val="00584877"/>
    <w:rsid w:val="005849EE"/>
    <w:rsid w:val="005B700E"/>
    <w:rsid w:val="005F76AC"/>
    <w:rsid w:val="00601CD1"/>
    <w:rsid w:val="006179C4"/>
    <w:rsid w:val="00622C69"/>
    <w:rsid w:val="00631DBB"/>
    <w:rsid w:val="00635B90"/>
    <w:rsid w:val="00663F46"/>
    <w:rsid w:val="00671C91"/>
    <w:rsid w:val="00674589"/>
    <w:rsid w:val="00684608"/>
    <w:rsid w:val="00690DC2"/>
    <w:rsid w:val="00696D5C"/>
    <w:rsid w:val="006A246B"/>
    <w:rsid w:val="006C34BE"/>
    <w:rsid w:val="006F3650"/>
    <w:rsid w:val="00710615"/>
    <w:rsid w:val="00720306"/>
    <w:rsid w:val="007428C0"/>
    <w:rsid w:val="00765655"/>
    <w:rsid w:val="007703F9"/>
    <w:rsid w:val="00796906"/>
    <w:rsid w:val="007A0A9D"/>
    <w:rsid w:val="007C5775"/>
    <w:rsid w:val="007E712B"/>
    <w:rsid w:val="00847695"/>
    <w:rsid w:val="00850619"/>
    <w:rsid w:val="00865E07"/>
    <w:rsid w:val="00887055"/>
    <w:rsid w:val="008879AB"/>
    <w:rsid w:val="008B7106"/>
    <w:rsid w:val="008B7AD7"/>
    <w:rsid w:val="008D3F45"/>
    <w:rsid w:val="008F73B1"/>
    <w:rsid w:val="00917870"/>
    <w:rsid w:val="00950FD5"/>
    <w:rsid w:val="00953B20"/>
    <w:rsid w:val="0097121A"/>
    <w:rsid w:val="00994B9B"/>
    <w:rsid w:val="009A0BA4"/>
    <w:rsid w:val="009C3F4E"/>
    <w:rsid w:val="009D1A07"/>
    <w:rsid w:val="009D1B1B"/>
    <w:rsid w:val="009D592D"/>
    <w:rsid w:val="00A20281"/>
    <w:rsid w:val="00A22673"/>
    <w:rsid w:val="00A2445B"/>
    <w:rsid w:val="00A24908"/>
    <w:rsid w:val="00A24A53"/>
    <w:rsid w:val="00A34BBD"/>
    <w:rsid w:val="00A432E0"/>
    <w:rsid w:val="00A609C1"/>
    <w:rsid w:val="00A659E7"/>
    <w:rsid w:val="00A713E3"/>
    <w:rsid w:val="00A82981"/>
    <w:rsid w:val="00A874B8"/>
    <w:rsid w:val="00AC2A02"/>
    <w:rsid w:val="00AD2066"/>
    <w:rsid w:val="00AE1A94"/>
    <w:rsid w:val="00AF7A3B"/>
    <w:rsid w:val="00B41EC8"/>
    <w:rsid w:val="00B43F4A"/>
    <w:rsid w:val="00B509FE"/>
    <w:rsid w:val="00B5252E"/>
    <w:rsid w:val="00B81081"/>
    <w:rsid w:val="00BA648F"/>
    <w:rsid w:val="00BC3C86"/>
    <w:rsid w:val="00BE7172"/>
    <w:rsid w:val="00C05616"/>
    <w:rsid w:val="00C10ABE"/>
    <w:rsid w:val="00C21F15"/>
    <w:rsid w:val="00C3178D"/>
    <w:rsid w:val="00C41D85"/>
    <w:rsid w:val="00C55E99"/>
    <w:rsid w:val="00C569BC"/>
    <w:rsid w:val="00C60D29"/>
    <w:rsid w:val="00C850E8"/>
    <w:rsid w:val="00C9228A"/>
    <w:rsid w:val="00CF2BB5"/>
    <w:rsid w:val="00CF48A7"/>
    <w:rsid w:val="00CF727C"/>
    <w:rsid w:val="00D24627"/>
    <w:rsid w:val="00D2601D"/>
    <w:rsid w:val="00D54C84"/>
    <w:rsid w:val="00D67CAC"/>
    <w:rsid w:val="00D82E68"/>
    <w:rsid w:val="00DB55C6"/>
    <w:rsid w:val="00DB7A9C"/>
    <w:rsid w:val="00DC3271"/>
    <w:rsid w:val="00DD4454"/>
    <w:rsid w:val="00DE103B"/>
    <w:rsid w:val="00DF7547"/>
    <w:rsid w:val="00E16CE6"/>
    <w:rsid w:val="00E232E5"/>
    <w:rsid w:val="00E42C2D"/>
    <w:rsid w:val="00EA410E"/>
    <w:rsid w:val="00EA517D"/>
    <w:rsid w:val="00EB1F72"/>
    <w:rsid w:val="00EB75B3"/>
    <w:rsid w:val="00F05C14"/>
    <w:rsid w:val="00F1130C"/>
    <w:rsid w:val="00F42C81"/>
    <w:rsid w:val="00F52EE2"/>
    <w:rsid w:val="00F755D4"/>
    <w:rsid w:val="00FD72F2"/>
    <w:rsid w:val="00FE07BE"/>
    <w:rsid w:val="00FE7545"/>
    <w:rsid w:val="1FE16F5D"/>
    <w:rsid w:val="3D322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8"/>
    <w:basedOn w:val="1"/>
    <w:next w:val="1"/>
    <w:link w:val="24"/>
    <w:qFormat/>
    <w:uiPriority w:val="0"/>
    <w:pPr>
      <w:ind w:right="238"/>
      <w:jc w:val="center"/>
      <w:outlineLvl w:val="7"/>
    </w:pPr>
    <w:rPr>
      <w:rFonts w:ascii="Times New Roman" w:hAnsi="Times New Roman" w:eastAsia="黑体" w:cs="Times New Roman"/>
      <w:kern w:val="0"/>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semiHidden/>
    <w:unhideWhenUsed/>
    <w:qFormat/>
    <w:uiPriority w:val="0"/>
    <w:pPr>
      <w:spacing w:line="560" w:lineRule="exact"/>
      <w:ind w:firstLine="480" w:firstLineChars="200"/>
    </w:pPr>
    <w:rPr>
      <w:rFonts w:ascii="Times New Roman" w:hAnsi="Times New Roman" w:eastAsia="宋体" w:cs="Times New Roman"/>
      <w:color w:val="000000"/>
      <w:kern w:val="0"/>
      <w:sz w:val="24"/>
    </w:rPr>
  </w:style>
  <w:style w:type="paragraph" w:styleId="4">
    <w:name w:val="Document Map"/>
    <w:basedOn w:val="1"/>
    <w:link w:val="27"/>
    <w:semiHidden/>
    <w:unhideWhenUsed/>
    <w:uiPriority w:val="99"/>
    <w:rPr>
      <w:rFonts w:ascii="宋体" w:eastAsia="宋体"/>
      <w:sz w:val="18"/>
      <w:szCs w:val="18"/>
    </w:rPr>
  </w:style>
  <w:style w:type="paragraph" w:styleId="5">
    <w:name w:val="annotation text"/>
    <w:basedOn w:val="1"/>
    <w:link w:val="22"/>
    <w:uiPriority w:val="0"/>
    <w:pPr>
      <w:jc w:val="left"/>
    </w:pPr>
    <w:rPr>
      <w:rFonts w:ascii="Times New Roman" w:hAnsi="Times New Roman" w:eastAsia="宋体" w:cs="Times New Roman"/>
      <w:szCs w:val="24"/>
    </w:rPr>
  </w:style>
  <w:style w:type="paragraph" w:styleId="6">
    <w:name w:val="Body Text"/>
    <w:basedOn w:val="1"/>
    <w:link w:val="29"/>
    <w:unhideWhenUsed/>
    <w:qFormat/>
    <w:uiPriority w:val="0"/>
    <w:pPr>
      <w:spacing w:after="120" w:line="560" w:lineRule="exact"/>
      <w:ind w:firstLine="200" w:firstLineChars="200"/>
    </w:pPr>
    <w:rPr>
      <w:rFonts w:ascii="Times New Roman" w:hAnsi="Times New Roman" w:eastAsia="宋体" w:cs="Times New Roman"/>
      <w:sz w:val="24"/>
    </w:rPr>
  </w:style>
  <w:style w:type="paragraph" w:styleId="7">
    <w:name w:val="Balloon Text"/>
    <w:basedOn w:val="1"/>
    <w:link w:val="23"/>
    <w:unhideWhenUsed/>
    <w:uiPriority w:val="0"/>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8"/>
    <w:qFormat/>
    <w:uiPriority w:val="0"/>
    <w:pPr>
      <w:jc w:val="center"/>
    </w:pPr>
    <w:rPr>
      <w:rFonts w:ascii="Times New Roman" w:hAnsi="Times New Roman"/>
      <w:bCs/>
      <w:kern w:val="28"/>
      <w:szCs w:val="32"/>
    </w:rPr>
  </w:style>
  <w:style w:type="table" w:styleId="12">
    <w:name w:val="Table Grid"/>
    <w:basedOn w:val="11"/>
    <w:qFormat/>
    <w:uiPriority w:val="59"/>
    <w:pPr>
      <w:adjustRightInd w:val="0"/>
      <w:snapToGrid w:val="0"/>
      <w:jc w:val="center"/>
    </w:pPr>
    <w:rPr>
      <w:color w:val="000000" w:themeColor="text1"/>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pPr>
        <w:wordWrap/>
        <w:adjustRightInd w:val="0"/>
        <w:snapToGrid w:val="0"/>
        <w:spacing w:line="240" w:lineRule="auto"/>
        <w:ind w:firstLine="0" w:firstLineChars="0"/>
        <w:contextualSpacing w:val="0"/>
        <w:jc w:val="center"/>
        <w:outlineLvl w:val="9"/>
      </w:pPr>
      <w:rPr>
        <w:rFonts w:ascii="Times New Roman" w:hAnsi="Times New Roman" w:eastAsia="宋体"/>
        <w:b w:val="0"/>
        <w:color w:val="000000" w:themeColor="text1"/>
        <w:sz w:val="21"/>
      </w:rPr>
      <w:tcPr>
        <w:shd w:val="clear" w:color="auto" w:fill="FFFFFF" w:themeFill="background1"/>
      </w:tcPr>
    </w:tblStylePr>
  </w:style>
  <w:style w:type="character" w:styleId="14">
    <w:name w:val="Hyperlink"/>
    <w:basedOn w:val="13"/>
    <w:semiHidden/>
    <w:unhideWhenUsed/>
    <w:uiPriority w:val="99"/>
    <w:rPr>
      <w:color w:val="0000FF"/>
      <w:u w:val="single"/>
    </w:rPr>
  </w:style>
  <w:style w:type="character" w:styleId="15">
    <w:name w:val="annotation reference"/>
    <w:uiPriority w:val="0"/>
    <w:rPr>
      <w:sz w:val="21"/>
      <w:szCs w:val="21"/>
    </w:rPr>
  </w:style>
  <w:style w:type="paragraph" w:styleId="16">
    <w:name w:val="List Paragraph"/>
    <w:basedOn w:val="1"/>
    <w:qFormat/>
    <w:uiPriority w:val="34"/>
    <w:pPr>
      <w:ind w:firstLine="420" w:firstLineChars="200"/>
    </w:pPr>
  </w:style>
  <w:style w:type="character" w:customStyle="1" w:styleId="17">
    <w:name w:val="页眉 Char"/>
    <w:basedOn w:val="13"/>
    <w:link w:val="9"/>
    <w:uiPriority w:val="99"/>
    <w:rPr>
      <w:sz w:val="18"/>
      <w:szCs w:val="18"/>
    </w:rPr>
  </w:style>
  <w:style w:type="character" w:customStyle="1" w:styleId="18">
    <w:name w:val="页脚 Char"/>
    <w:basedOn w:val="13"/>
    <w:link w:val="8"/>
    <w:uiPriority w:val="99"/>
    <w:rPr>
      <w:sz w:val="18"/>
      <w:szCs w:val="18"/>
    </w:rPr>
  </w:style>
  <w:style w:type="paragraph" w:customStyle="1" w:styleId="19">
    <w:name w:val="正文格式"/>
    <w:basedOn w:val="1"/>
    <w:link w:val="20"/>
    <w:qFormat/>
    <w:uiPriority w:val="0"/>
    <w:pPr>
      <w:widowControl/>
      <w:spacing w:line="560" w:lineRule="exact"/>
      <w:ind w:firstLine="480" w:firstLineChars="200"/>
      <w:contextualSpacing/>
    </w:pPr>
    <w:rPr>
      <w:rFonts w:ascii="Times New Roman" w:hAnsi="Times New Roman" w:eastAsia="宋体" w:cs="Times New Roman"/>
      <w:kern w:val="0"/>
      <w:sz w:val="24"/>
      <w:szCs w:val="24"/>
      <w:lang w:bidi="en-US"/>
    </w:rPr>
  </w:style>
  <w:style w:type="character" w:customStyle="1" w:styleId="20">
    <w:name w:val="正文格式 字符"/>
    <w:basedOn w:val="13"/>
    <w:link w:val="19"/>
    <w:uiPriority w:val="0"/>
    <w:rPr>
      <w:rFonts w:ascii="Times New Roman" w:hAnsi="Times New Roman" w:eastAsia="宋体" w:cs="Times New Roman"/>
      <w:kern w:val="0"/>
      <w:sz w:val="24"/>
      <w:szCs w:val="24"/>
      <w:lang w:bidi="en-US"/>
    </w:rPr>
  </w:style>
  <w:style w:type="character" w:customStyle="1" w:styleId="21">
    <w:name w:val="批注文字 Char"/>
    <w:basedOn w:val="13"/>
    <w:semiHidden/>
    <w:uiPriority w:val="99"/>
  </w:style>
  <w:style w:type="character" w:customStyle="1" w:styleId="22">
    <w:name w:val="批注文字 Char1"/>
    <w:link w:val="5"/>
    <w:uiPriority w:val="0"/>
    <w:rPr>
      <w:rFonts w:ascii="Times New Roman" w:hAnsi="Times New Roman" w:eastAsia="宋体" w:cs="Times New Roman"/>
      <w:szCs w:val="24"/>
    </w:rPr>
  </w:style>
  <w:style w:type="character" w:customStyle="1" w:styleId="23">
    <w:name w:val="批注框文本 Char"/>
    <w:basedOn w:val="13"/>
    <w:link w:val="7"/>
    <w:uiPriority w:val="0"/>
    <w:rPr>
      <w:sz w:val="18"/>
      <w:szCs w:val="18"/>
    </w:rPr>
  </w:style>
  <w:style w:type="character" w:customStyle="1" w:styleId="24">
    <w:name w:val="标题 8 Char"/>
    <w:basedOn w:val="13"/>
    <w:link w:val="2"/>
    <w:uiPriority w:val="0"/>
    <w:rPr>
      <w:rFonts w:ascii="Times New Roman" w:hAnsi="Times New Roman" w:eastAsia="黑体" w:cs="Times New Roman"/>
      <w:kern w:val="0"/>
      <w:szCs w:val="24"/>
    </w:rPr>
  </w:style>
  <w:style w:type="paragraph" w:customStyle="1" w:styleId="25">
    <w:name w:val="Defaul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styleId="26">
    <w:name w:val="Placeholder Text"/>
    <w:basedOn w:val="13"/>
    <w:semiHidden/>
    <w:uiPriority w:val="99"/>
    <w:rPr>
      <w:color w:val="808080"/>
    </w:rPr>
  </w:style>
  <w:style w:type="character" w:customStyle="1" w:styleId="27">
    <w:name w:val="文档结构图 Char"/>
    <w:basedOn w:val="13"/>
    <w:link w:val="4"/>
    <w:semiHidden/>
    <w:uiPriority w:val="99"/>
    <w:rPr>
      <w:rFonts w:ascii="宋体" w:eastAsia="宋体"/>
      <w:sz w:val="18"/>
      <w:szCs w:val="18"/>
    </w:rPr>
  </w:style>
  <w:style w:type="character" w:customStyle="1" w:styleId="28">
    <w:name w:val="副标题 Char"/>
    <w:basedOn w:val="13"/>
    <w:link w:val="10"/>
    <w:qFormat/>
    <w:uiPriority w:val="0"/>
    <w:rPr>
      <w:rFonts w:ascii="Times New Roman" w:hAnsi="Times New Roman"/>
      <w:bCs/>
      <w:kern w:val="28"/>
      <w:szCs w:val="32"/>
    </w:rPr>
  </w:style>
  <w:style w:type="character" w:customStyle="1" w:styleId="29">
    <w:name w:val="正文文本 Char"/>
    <w:basedOn w:val="13"/>
    <w:link w:val="6"/>
    <w:qFormat/>
    <w:uiPriority w:val="0"/>
    <w:rPr>
      <w:kern w:val="2"/>
      <w:sz w:val="24"/>
      <w:szCs w:val="22"/>
    </w:rPr>
  </w:style>
  <w:style w:type="character" w:customStyle="1" w:styleId="30">
    <w:name w:val="表格字体 字符"/>
    <w:link w:val="31"/>
    <w:qFormat/>
    <w:locked/>
    <w:uiPriority w:val="0"/>
    <w:rPr>
      <w:kern w:val="2"/>
      <w:sz w:val="18"/>
      <w:szCs w:val="22"/>
    </w:rPr>
  </w:style>
  <w:style w:type="paragraph" w:customStyle="1" w:styleId="31">
    <w:name w:val="表格字体"/>
    <w:basedOn w:val="1"/>
    <w:next w:val="1"/>
    <w:link w:val="30"/>
    <w:qFormat/>
    <w:uiPriority w:val="0"/>
    <w:pPr>
      <w:spacing w:line="300" w:lineRule="exact"/>
      <w:jc w:val="center"/>
    </w:pPr>
    <w:rPr>
      <w:rFonts w:ascii="Times New Roman" w:hAnsi="Times New Roman" w:eastAsia="宋体" w:cs="Times New Roman"/>
      <w:sz w:val="18"/>
    </w:rPr>
  </w:style>
  <w:style w:type="character" w:customStyle="1" w:styleId="32">
    <w:name w:val="图表标题 字符"/>
    <w:link w:val="33"/>
    <w:qFormat/>
    <w:locked/>
    <w:uiPriority w:val="0"/>
    <w:rPr>
      <w:rFonts w:ascii="黑体" w:hAnsi="黑体" w:eastAsia="黑体"/>
      <w:bCs/>
      <w:kern w:val="2"/>
      <w:sz w:val="21"/>
      <w:szCs w:val="22"/>
    </w:rPr>
  </w:style>
  <w:style w:type="paragraph" w:customStyle="1" w:styleId="33">
    <w:name w:val="图表标题"/>
    <w:basedOn w:val="1"/>
    <w:next w:val="1"/>
    <w:link w:val="32"/>
    <w:qFormat/>
    <w:uiPriority w:val="0"/>
    <w:pPr>
      <w:spacing w:line="360" w:lineRule="atLeast"/>
      <w:jc w:val="center"/>
    </w:pPr>
    <w:rPr>
      <w:rFonts w:ascii="黑体" w:hAnsi="黑体" w:eastAsia="黑体" w:cs="Times New Roman"/>
      <w:bCs/>
    </w:rPr>
  </w:style>
  <w:style w:type="character" w:customStyle="1" w:styleId="34">
    <w:name w:val="表格文字样式 字符"/>
    <w:link w:val="35"/>
    <w:qFormat/>
    <w:locked/>
    <w:uiPriority w:val="0"/>
    <w:rPr>
      <w:kern w:val="2"/>
      <w:sz w:val="18"/>
      <w:szCs w:val="18"/>
      <w:lang w:val="zh-CN"/>
    </w:rPr>
  </w:style>
  <w:style w:type="paragraph" w:customStyle="1" w:styleId="35">
    <w:name w:val="表格文字样式"/>
    <w:basedOn w:val="1"/>
    <w:link w:val="34"/>
    <w:qFormat/>
    <w:uiPriority w:val="0"/>
    <w:pPr>
      <w:spacing w:line="300" w:lineRule="exact"/>
      <w:jc w:val="center"/>
    </w:pPr>
    <w:rPr>
      <w:rFonts w:ascii="Times New Roman" w:hAnsi="Times New Roman" w:eastAsia="宋体" w:cs="Times New Roman"/>
      <w:sz w:val="18"/>
      <w:szCs w:val="18"/>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8E978-208D-45B9-9BB3-15E861A5BA5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948</Words>
  <Characters>5405</Characters>
  <Lines>45</Lines>
  <Paragraphs>12</Paragraphs>
  <TotalTime>0</TotalTime>
  <ScaleCrop>false</ScaleCrop>
  <LinksUpToDate>false</LinksUpToDate>
  <CharactersWithSpaces>6341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2019-10-08T03:09:00Z</dcterms:created>
  <dc:creator>lenovo</dc:creator>
  <cp:lastModifiedBy>向红桔</cp:lastModifiedBy>
  <cp:lastPrinted>2019-07-10T07:43:00Z</cp:lastPrinted>
  <dcterms:modified xsi:type="dcterms:W3CDTF">2023-02-08T03:39:56Z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5D40BB8BF37B4A768EF3FFB18B084F70</vt:lpwstr>
  </property>
</Properties>
</file>