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仿宋_GB2312" w:hAnsi="方正仿宋_GB2312" w:eastAsia="仿宋_GB2312" w:cs="方正仿宋_GB2312"/>
          <w:b/>
          <w:bCs/>
          <w:sz w:val="44"/>
          <w:szCs w:val="44"/>
        </w:rPr>
      </w:pPr>
      <w:bookmarkStart w:id="0" w:name="_Toc8152"/>
      <w:bookmarkStart w:id="5" w:name="_GoBack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旺苍县征地地上附着物和青苗补偿标准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修订成果</w:t>
      </w:r>
      <w:bookmarkEnd w:id="5"/>
      <w:r>
        <w:rPr>
          <w:rFonts w:hint="eastAsia" w:ascii="仿宋_GB2312" w:hAnsi="方正仿宋_GB2312" w:eastAsia="仿宋_GB2312" w:cs="方正仿宋_GB2312"/>
          <w:b/>
          <w:bCs/>
          <w:sz w:val="44"/>
          <w:szCs w:val="44"/>
        </w:rPr>
        <w:t>（2023）</w:t>
      </w:r>
    </w:p>
    <w:p>
      <w:pPr>
        <w:jc w:val="left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 xml:space="preserve">附表1 </w:t>
      </w:r>
    </w:p>
    <w:p>
      <w:pPr>
        <w:jc w:val="center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旺苍县房屋重置价标准</w:t>
      </w:r>
      <w:bookmarkEnd w:id="0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8053"/>
        <w:gridCol w:w="10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补偿项目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补偿标准（元/平方米）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钢混结构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砖混（现浇）结构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砖混（预制）结构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砖木结构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土木、木结构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其他结构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</w:tbl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br w:type="page"/>
      </w:r>
    </w:p>
    <w:p>
      <w:pPr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bookmarkStart w:id="1" w:name="_Toc2168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附表2</w:t>
      </w:r>
    </w:p>
    <w:p>
      <w:pPr>
        <w:jc w:val="center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旺苍县地上构筑物及其他附属设施补偿标准</w:t>
      </w:r>
      <w:bookmarkEnd w:id="1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169"/>
        <w:gridCol w:w="8184"/>
        <w:gridCol w:w="1929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30" w:type="pct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补偿项目</w:t>
            </w:r>
          </w:p>
        </w:tc>
        <w:tc>
          <w:tcPr>
            <w:tcW w:w="456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0" w:type="pct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围墙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乱石垒、土围墙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块石、片石围墙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水泥砖砌、砼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院（晒）坝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三合土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砖、石、水泥砂浆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土坝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石板坝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堡坎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石堡坎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砼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3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水缸（砖、石、混凝土）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地窖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土窖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石砌、砖砌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粪池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土粪池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水泥、三合土粪池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条石粪池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水窖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土水窖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三合土水窖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条石及砼水窖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水池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砣石、条石池、石砌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砖砌、混凝土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造型水池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水井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土水井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条石水井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压水井（含机械取水）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机井(含抗旱井)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灶台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红砖砌灶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瓷砖灶、水泥灶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节能灶（含设施）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坟墓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普通土堆坟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独板碑普通土堆坟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砖、石、水泥修砌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砖、石、水泥修砌加有花岗石、其它材料刻成的墓碑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水管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PE管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胶管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PP-R塑料管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沼气池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产气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未产气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63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粮仓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63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砖、石、混凝土柜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排灌沟渠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衬砌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元/平方米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未衬砌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元/平方米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围墙大门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铁大门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木大门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钢、铝合金大门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大棚(花棚、蔬菜大棚、蘑菇棚等)</w:t>
            </w: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竹架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塑钢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水泥柱架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其他棚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63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水塔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7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彩钢房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彩钢结构（四面夹芯板）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彩钢结构（一面砖墙三面夹芯板）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彩钢结构（两面砖墙两面夹芯板）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彩钢结构（三面砖墙一面夹芯板）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7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彩钢结构（四面砖墙）</w:t>
            </w:r>
          </w:p>
        </w:tc>
        <w:tc>
          <w:tcPr>
            <w:tcW w:w="45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彩钢棚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单层材料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双层材料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入户防盗门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空心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实心厚度8厘米(含)以下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实心厚度8厘米以上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鱼池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土鱼池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浆砌鱼池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堰塘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室外洗衣台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无清洗缸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有清洗缸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花台（含花台内土方）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砖、石砌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道路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三合土路面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泥结石路面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混凝土路面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果园架桩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木桩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水泥桩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防盗栏、护栏、围栏、栅栏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木制、竹制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塑料、玻纤材质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铁制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钢筋、铝合金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雨棚、遮阳棚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铁皮、帆布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不锈钢、铝合金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塑料、玻纤材质（耐力板、阳光板）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钢化玻璃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房屋基础以外的开挖、回填及道路等其他基础</w:t>
            </w: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虚方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实方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63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卷帘门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</w:tr>
    </w:tbl>
    <w:p>
      <w:pPr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bookmarkStart w:id="2" w:name="_Toc19117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附表3</w:t>
      </w:r>
    </w:p>
    <w:p>
      <w:pPr>
        <w:jc w:val="center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旺苍县零星林木补偿标准</w:t>
      </w:r>
      <w:bookmarkEnd w:id="2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124"/>
        <w:gridCol w:w="981"/>
        <w:gridCol w:w="2855"/>
        <w:gridCol w:w="7761"/>
        <w:gridCol w:w="753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补偿项目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龄组（生长发育阶段）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锦橙、血橙、脐橙、夏橙、碰柑、柑桔等柑橘类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香柚等柚类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桃子、樱桃、李子、梨子、苹果、杏子、柿子、青枣等类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挂果3—11年（含3年）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挂果11年以上（含11年）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离地面高度1米及以上未产果（含1米）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荔枝、桂圆、枇杷等类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板栗、核桃等坚果类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葡萄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地径在5厘米及以上（含5厘米）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地径在2—5厘米（含2厘米）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地径在1—2厘米（含1厘米）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香（芭）蕉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桑树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产叶（果）桑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油茶、油桐、乌桕、梅子等类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未产果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初产果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中产期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盛产期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5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竹类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25根以上（含25根）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10—25根（含10根）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10根以下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松、杉、柏等针叶类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干胸径2-6厘米（含2厘米）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干胸径6-15厘米（含6厘米）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干胸径15厘米以上（含15厘米）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杂树等阔叶类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离地高度0.5—1米（含0.5米）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离地面高度1米以上（含1米），主干胸径5厘米以下（含5厘米）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离地面高度2米以上（含2米），主干胸径5—16厘米（含5厘米）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离地面高度3米及以上（含3米），主干胸径16厘米以上（含16厘米）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银杏、桂花、其他园林等类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胸径5厘米以下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胸径5—10厘米（含5厘米）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胸径10厘米以上（含10厘米）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石榴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挂果3—11年（含3年）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挂果11年以上（含11年）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离地面高度1米及以上未产果（含1米）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花椒、藤椒、油橄榄等类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椿芽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干胸径2-6厘米（含2厘米）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干胸径6-15厘米（含6厘米）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干胸径15厘米以上（含15厘米）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定植2年以下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定植2-5年（含2年）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产叶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定植5年以上（含5年）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初产叶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盛产叶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猕猴桃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地径2-5厘米（含2厘米）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地径5-10厘米（含5厘米）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地径10厘米以上（含10厘米）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地径1-2厘米（含1厘米）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</w:tbl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br w:type="page"/>
      </w:r>
    </w:p>
    <w:p>
      <w:pPr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bookmarkStart w:id="3" w:name="_Toc17857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附表4</w:t>
      </w:r>
    </w:p>
    <w:p>
      <w:pPr>
        <w:jc w:val="center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旺苍县成片林木补偿标准</w:t>
      </w:r>
      <w:bookmarkEnd w:id="3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124"/>
        <w:gridCol w:w="981"/>
        <w:gridCol w:w="2855"/>
        <w:gridCol w:w="7761"/>
        <w:gridCol w:w="753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补偿项目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龄组（生长发育阶段）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锦橙、血橙、脐橙、夏橙、碰柑、柑桔等柑橘类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香柚等柚类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桃子、樱桃、李子、梨子、苹果、杏子、柿子、青枣等类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挂果3—11年（含3年）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挂果11年以上（含11年）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离地面高度1米及以上未产果（含1米）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荔枝、桂圆、枇杷等类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板栗、核桃等坚果类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葡萄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地径在5厘米及以上（含5厘米）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地径在2—5厘米（含2厘米）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地径在1—2厘米（含1厘米）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地径在1厘米以下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香（芭）蕉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桑树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产叶（果）桑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盛产叶（果）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油茶、油桐、乌桕、梅子等类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未产果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初产果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中产期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盛产期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笋用竹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5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竹类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25根以上（含25根）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10—25根（含10根）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10根及以下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松、杉、柏等针叶类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干胸径2-6厘米（含2厘米）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干胸径6-15厘米（含6厘米）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干胸径15厘米以上（含15厘米）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杂树等阔叶类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离地高度0.5—1米（含0.5米）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离地面高度1米以上（含1米），主干胸径5厘米以下（含5厘米）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离地面高度2米以上（含2米），主干胸径5—16厘米（含5厘米）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离地面高度3米及以上（含3米），主干胸径16厘米以上（含16厘米）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银杏、桂花、其他园林等类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胸径5厘米以下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胸径5—10厘米（含5厘米）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胸径10厘米以上（含10厘米）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石榴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挂果3—11年（含3年）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挂果11年以上（含11年）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离地面高度1米及以上未产果（含1米）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花椒、藤椒、油橄榄等类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挂果3—9年（含3年）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挂果9年以上（含9年）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定植未挂果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定植3年及以上（含3年）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定植嫁接幼树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定植3年内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椿芽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干胸径2-6厘米（含2厘米）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干胸径6-15厘米（含6厘米）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干胸径15厘米以上（含15厘米）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定植2年以下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定植2-5年（含2年）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产叶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定植5年以上（含5年）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初产叶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盛产叶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老化树</w:t>
            </w:r>
          </w:p>
        </w:tc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猕猴桃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产果期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地径2-5厘米（含2厘米）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地径5-10厘米（含5厘米）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地径10厘米以上（含10厘米）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衰果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幼树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地径1-2厘米（含1厘米）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育苗</w:t>
            </w: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实生苗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地径1厘米以上（含1厘米）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嫁接苗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地径1厘米以下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地径1厘米以上（含1厘米）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灌木、荆棘林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</w:tr>
    </w:tbl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br w:type="page"/>
      </w:r>
    </w:p>
    <w:p>
      <w:pPr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bookmarkStart w:id="4" w:name="_Toc11677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附表5</w:t>
      </w:r>
    </w:p>
    <w:p>
      <w:pPr>
        <w:jc w:val="center"/>
        <w:outlineLvl w:val="1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旺苍县征收土地青苗补偿费标准</w:t>
      </w:r>
      <w:bookmarkEnd w:id="4"/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0"/>
        <w:gridCol w:w="7050"/>
        <w:gridCol w:w="7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补偿项目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补偿标准（元/亩/年）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大、小春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2380</w:t>
            </w:r>
          </w:p>
        </w:tc>
      </w:tr>
    </w:tbl>
    <w:p/>
    <w:sectPr>
      <w:foot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132C78-22A8-4373-8CB2-920A1348C4BD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4D5E7A21-20A4-47AF-AED4-C597633A46C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56D2871-AAE1-44C7-9B31-876681429E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04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jMWQ5YTU1YmE2YTg0NDgxMzMwOWFlZmM2ZDQyMmEifQ=="/>
    <w:docVar w:name="KSO_WPS_MARK_KEY" w:val="07ce51e5-f97a-43fe-ab5e-f3240a5e0875"/>
  </w:docVars>
  <w:rsids>
    <w:rsidRoot w:val="039B45AE"/>
    <w:rsid w:val="00001957"/>
    <w:rsid w:val="000030BC"/>
    <w:rsid w:val="0000615A"/>
    <w:rsid w:val="0001068A"/>
    <w:rsid w:val="000541E9"/>
    <w:rsid w:val="000C1D41"/>
    <w:rsid w:val="00160762"/>
    <w:rsid w:val="00166B02"/>
    <w:rsid w:val="001E1AC7"/>
    <w:rsid w:val="002402A0"/>
    <w:rsid w:val="00251D20"/>
    <w:rsid w:val="002E7952"/>
    <w:rsid w:val="00311B47"/>
    <w:rsid w:val="003C3B15"/>
    <w:rsid w:val="004349B1"/>
    <w:rsid w:val="004D6AA7"/>
    <w:rsid w:val="004E1422"/>
    <w:rsid w:val="005409B5"/>
    <w:rsid w:val="005623AA"/>
    <w:rsid w:val="00591352"/>
    <w:rsid w:val="005E2F4E"/>
    <w:rsid w:val="00605F0A"/>
    <w:rsid w:val="0065320C"/>
    <w:rsid w:val="00662D12"/>
    <w:rsid w:val="006B2F25"/>
    <w:rsid w:val="007205F0"/>
    <w:rsid w:val="00737728"/>
    <w:rsid w:val="00813A74"/>
    <w:rsid w:val="00853C2C"/>
    <w:rsid w:val="0089466F"/>
    <w:rsid w:val="008A257A"/>
    <w:rsid w:val="008A75BA"/>
    <w:rsid w:val="00926798"/>
    <w:rsid w:val="009626B4"/>
    <w:rsid w:val="0099356C"/>
    <w:rsid w:val="009B76F6"/>
    <w:rsid w:val="009E37C5"/>
    <w:rsid w:val="00A3188B"/>
    <w:rsid w:val="00AE50CB"/>
    <w:rsid w:val="00AF10DF"/>
    <w:rsid w:val="00B94B8E"/>
    <w:rsid w:val="00CE33C4"/>
    <w:rsid w:val="00D3238E"/>
    <w:rsid w:val="00D42D93"/>
    <w:rsid w:val="00D92250"/>
    <w:rsid w:val="00F30EC5"/>
    <w:rsid w:val="02685253"/>
    <w:rsid w:val="039B45AE"/>
    <w:rsid w:val="0B384974"/>
    <w:rsid w:val="18F4545E"/>
    <w:rsid w:val="2C4D0EE1"/>
    <w:rsid w:val="2FD37000"/>
    <w:rsid w:val="42842CBF"/>
    <w:rsid w:val="4706705D"/>
    <w:rsid w:val="66942AF8"/>
    <w:rsid w:val="74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3738</Words>
  <Characters>4424</Characters>
  <Lines>44</Lines>
  <Paragraphs>12</Paragraphs>
  <TotalTime>119</TotalTime>
  <ScaleCrop>false</ScaleCrop>
  <LinksUpToDate>false</LinksUpToDate>
  <CharactersWithSpaces>4428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2023-02-13T06:47:00Z</dcterms:created>
  <dc:creator>lanlan</dc:creator>
  <cp:lastModifiedBy>Administrator</cp:lastModifiedBy>
  <cp:lastPrinted>2023-12-19T08:24:00Z</cp:lastPrinted>
  <dcterms:modified xsi:type="dcterms:W3CDTF">2023-12-27T08:10:08Z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297B128CC5DD4305A6EC736FE53FD91C</vt:lpwstr>
  </property>
</Properties>
</file>