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color w:val="000000"/>
          <w:sz w:val="72"/>
          <w:szCs w:val="72"/>
        </w:rPr>
      </w:pPr>
      <w:bookmarkStart w:id="0" w:name="_Toc15306267"/>
    </w:p>
    <w:p>
      <w:pPr>
        <w:spacing w:line="600" w:lineRule="exact"/>
        <w:jc w:val="both"/>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1" w:name="_Toc15396597"/>
      <w:bookmarkStart w:id="2" w:name="_Toc15377193"/>
      <w:bookmarkStart w:id="3" w:name="_Toc15377425"/>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0"/>
      <w:bookmarkEnd w:id="1"/>
      <w:bookmarkEnd w:id="2"/>
      <w:bookmarkEnd w:id="3"/>
      <w:bookmarkEnd w:id="4"/>
      <w:bookmarkEnd w:id="5"/>
      <w:bookmarkStart w:id="6" w:name="_Toc15306268"/>
      <w:bookmarkStart w:id="7" w:name="_Toc15396476"/>
      <w:bookmarkStart w:id="8" w:name="_Toc15396598"/>
      <w:bookmarkStart w:id="9" w:name="_Toc15377194"/>
      <w:bookmarkStart w:id="10" w:name="_Toc15378442"/>
      <w:bookmarkStart w:id="11" w:name="_Toc15377426"/>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旺苍县地方志编纂委员会办公室</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10</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24</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3</w:t>
      </w:r>
      <w:r>
        <w:rPr>
          <w:rFonts w:hint="eastAsia"/>
          <w:lang w:val="en-US" w:eastAsia="zh-CN"/>
        </w:rPr>
        <w:t>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"_Toc15396628" </w:instrText>
      </w:r>
      <w:r>
        <w:rPr>
          <w:rFonts w:hint="eastAsia" w:ascii="仿宋" w:hAnsi="仿宋" w:eastAsia="仿宋"/>
          <w:sz w:val="28"/>
          <w:szCs w:val="28"/>
        </w:rPr>
        <w:fldChar w:fldCharType="separate"/>
      </w:r>
      <w:r>
        <w:rPr>
          <w:rFonts w:hint="eastAsia" w:ascii="仿宋" w:hAnsi="仿宋" w:eastAsia="仿宋"/>
          <w:sz w:val="28"/>
          <w:szCs w:val="28"/>
        </w:rPr>
        <w:t>一般公共预算财政拨款“三公”经费支出决算表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_Toc15396628 \h </w:instrText>
      </w:r>
      <w:r>
        <w:rPr>
          <w:rFonts w:hint="eastAsia" w:ascii="仿宋" w:hAnsi="仿宋" w:eastAsia="仿宋"/>
          <w:sz w:val="28"/>
          <w:szCs w:val="28"/>
        </w:rPr>
        <w:fldChar w:fldCharType="separate"/>
      </w:r>
      <w:r>
        <w:rPr>
          <w:rFonts w:hint="eastAsia" w:ascii="仿宋" w:hAnsi="仿宋" w:eastAsia="仿宋"/>
          <w:sz w:val="28"/>
          <w:szCs w:val="28"/>
        </w:rPr>
        <w:t>36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1"/>
        <w:rPr>
          <w:rFonts w:hint="eastAsia" w:ascii="仿宋" w:hAnsi="仿宋" w:eastAsia="仿宋"/>
          <w:sz w:val="28"/>
          <w:szCs w:val="28"/>
        </w:rPr>
      </w:pPr>
      <w:r>
        <w:rPr>
          <w:rFonts w:hint="eastAsia" w:ascii="仿宋" w:hAnsi="仿宋" w:eastAsia="仿宋"/>
          <w:sz w:val="28"/>
          <w:szCs w:val="28"/>
        </w:rPr>
        <w:t>十一、</w:t>
      </w:r>
      <w:r>
        <w:rPr>
          <w:rFonts w:hint="eastAsia" w:ascii="仿宋" w:hAnsi="仿宋" w:eastAsia="仿宋"/>
          <w:sz w:val="28"/>
          <w:szCs w:val="28"/>
        </w:rPr>
        <w:fldChar w:fldCharType="begin"/>
      </w:r>
      <w:r>
        <w:rPr>
          <w:rFonts w:hint="eastAsia" w:ascii="仿宋" w:hAnsi="仿宋" w:eastAsia="仿宋"/>
          <w:sz w:val="28"/>
          <w:szCs w:val="28"/>
        </w:rPr>
        <w:instrText xml:space="preserve"> HYPERLINK \l "_Toc15396629" </w:instrText>
      </w:r>
      <w:r>
        <w:rPr>
          <w:rFonts w:hint="eastAsia" w:ascii="仿宋" w:hAnsi="仿宋" w:eastAsia="仿宋"/>
          <w:sz w:val="28"/>
          <w:szCs w:val="28"/>
        </w:rPr>
        <w:fldChar w:fldCharType="separate"/>
      </w:r>
      <w:r>
        <w:rPr>
          <w:rFonts w:hint="eastAsia" w:ascii="仿宋" w:hAnsi="仿宋" w:eastAsia="仿宋"/>
          <w:sz w:val="28"/>
          <w:szCs w:val="28"/>
        </w:rPr>
        <w:t>政府性基金预算财政拨款收入支出决算表</w:t>
      </w:r>
      <w:r>
        <w:rPr>
          <w:rFonts w:hint="eastAsia" w:ascii="仿宋" w:hAnsi="仿宋" w:eastAsia="仿宋"/>
          <w:sz w:val="28"/>
          <w:szCs w:val="28"/>
        </w:rPr>
        <w:tab/>
      </w:r>
      <w:r>
        <w:rPr>
          <w:rFonts w:hint="eastAsia" w:ascii="仿宋" w:hAnsi="仿宋" w:eastAsia="仿宋"/>
          <w:sz w:val="28"/>
          <w:szCs w:val="28"/>
        </w:rPr>
        <w:fldChar w:fldCharType="begin"/>
      </w:r>
      <w:r>
        <w:rPr>
          <w:rFonts w:hint="eastAsia" w:ascii="仿宋" w:hAnsi="仿宋" w:eastAsia="仿宋"/>
          <w:sz w:val="28"/>
          <w:szCs w:val="28"/>
        </w:rPr>
        <w:instrText xml:space="preserve"> PAGEREF _Toc15396629 \h </w:instrText>
      </w:r>
      <w:r>
        <w:rPr>
          <w:rFonts w:hint="eastAsia" w:ascii="仿宋" w:hAnsi="仿宋" w:eastAsia="仿宋"/>
          <w:sz w:val="28"/>
          <w:szCs w:val="28"/>
        </w:rPr>
        <w:fldChar w:fldCharType="separate"/>
      </w:r>
      <w:r>
        <w:rPr>
          <w:rFonts w:hint="eastAsia" w:ascii="仿宋" w:hAnsi="仿宋" w:eastAsia="仿宋"/>
          <w:sz w:val="28"/>
          <w:szCs w:val="28"/>
        </w:rPr>
        <w:t>36</w:t>
      </w:r>
      <w:r>
        <w:rPr>
          <w:rFonts w:hint="eastAsia" w:ascii="仿宋" w:hAnsi="仿宋" w:eastAsia="仿宋"/>
          <w:sz w:val="28"/>
          <w:szCs w:val="28"/>
        </w:rPr>
        <w:fldChar w:fldCharType="end"/>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bidi w:val="0"/>
        <w:rPr>
          <w:rFonts w:hint="eastAsia" w:ascii="仿宋" w:hAnsi="仿宋" w:eastAsia="仿宋" w:cstheme="minorBidi"/>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6</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w:t>
      </w:r>
      <w:r>
        <w:rPr>
          <w:rFonts w:hint="eastAsia" w:ascii="仿宋" w:hAnsi="仿宋" w:eastAsia="仿宋" w:cs="Times New Roman"/>
          <w:b w:val="0"/>
          <w:bCs/>
          <w:color w:val="000000"/>
          <w:kern w:val="0"/>
          <w:sz w:val="32"/>
          <w:szCs w:val="32"/>
          <w:lang w:val="en-US" w:eastAsia="zh-CN" w:bidi="ar-SA"/>
        </w:rPr>
        <w:t>职能及主要工作</w:t>
      </w:r>
      <w:bookmarkEnd w:id="14"/>
      <w:bookmarkEnd w:id="15"/>
    </w:p>
    <w:p>
      <w:pPr>
        <w:spacing w:line="600" w:lineRule="exact"/>
        <w:ind w:firstLine="640" w:firstLineChars="200"/>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pPr>
        <w:spacing w:line="600"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1、负责制定全县地方志编纂方案及规划，组织、指导全县各级各类志书编纂工作。 </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2、指导乡镇及县级各部门的编修业务工作。 </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3、负责组织全县各级各类志书的评审验收工作。 </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4、负责收藏、整理、开发地方文献及全县志、鉴、史等地方文献的归口管理工作。 </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5、负责全县地情资料收集、储存、管理、开发、利用工作，建立旺苍县情信息数据库，为各级党政机关及社会各界提供科学、优质、高效的地情信息服务。 </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 xml:space="preserve">6、负责《旺苍年鉴》的组稿、编纂、出版发行工作，承担《旺苍县志》的组稿、总纂、审定、出版等业务工作。 </w:t>
      </w:r>
    </w:p>
    <w:p>
      <w:pPr>
        <w:snapToGrid w:val="0"/>
        <w:spacing w:line="588" w:lineRule="exact"/>
        <w:ind w:firstLine="840" w:firstLineChars="300"/>
        <w:rPr>
          <w:rFonts w:hint="eastAsia" w:ascii="仿宋" w:hAnsi="仿宋" w:eastAsia="仿宋"/>
          <w:b/>
          <w:bCs/>
          <w:color w:val="000000"/>
          <w:sz w:val="28"/>
          <w:szCs w:val="28"/>
          <w:lang w:val="en-US" w:eastAsia="zh-CN"/>
        </w:rPr>
      </w:pPr>
      <w:r>
        <w:rPr>
          <w:rFonts w:hint="eastAsia" w:ascii="仿宋" w:hAnsi="仿宋" w:eastAsia="仿宋"/>
          <w:color w:val="000000"/>
          <w:sz w:val="28"/>
          <w:szCs w:val="28"/>
          <w:lang w:val="en-US" w:eastAsia="zh-CN"/>
        </w:rPr>
        <w:t xml:space="preserve">7、协调全县各级各类志书及地情资料的出版发行工作。 </w:t>
      </w:r>
    </w:p>
    <w:p>
      <w:pPr>
        <w:snapToGrid w:val="0"/>
        <w:spacing w:line="588" w:lineRule="exact"/>
        <w:ind w:firstLine="840" w:firstLineChars="300"/>
        <w:rPr>
          <w:rFonts w:hint="eastAsia" w:ascii="仿宋" w:hAnsi="仿宋" w:eastAsia="仿宋"/>
          <w:color w:val="000000"/>
          <w:sz w:val="28"/>
          <w:szCs w:val="28"/>
        </w:rPr>
      </w:pPr>
      <w:r>
        <w:rPr>
          <w:rFonts w:hint="eastAsia" w:ascii="仿宋" w:hAnsi="仿宋" w:eastAsia="仿宋"/>
          <w:color w:val="000000"/>
          <w:sz w:val="28"/>
          <w:szCs w:val="28"/>
          <w:lang w:val="en-US" w:eastAsia="zh-CN"/>
        </w:rPr>
        <w:t xml:space="preserve">8、组织全县地方志理论研讨和学术交流，培训修志人员。 </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napToGrid w:val="0"/>
        <w:spacing w:line="588" w:lineRule="exact"/>
        <w:ind w:firstLine="840" w:firstLineChars="300"/>
        <w:rPr>
          <w:rFonts w:hint="eastAsia" w:ascii="仿宋" w:hAnsi="仿宋" w:eastAsia="仿宋"/>
          <w:color w:val="000000"/>
          <w:sz w:val="28"/>
          <w:szCs w:val="28"/>
          <w:lang w:val="en-US" w:eastAsia="zh-CN"/>
        </w:rPr>
      </w:pPr>
      <w:bookmarkStart w:id="20" w:name="_Toc15377200"/>
      <w:bookmarkStart w:id="21" w:name="_Toc15396601"/>
      <w:r>
        <w:rPr>
          <w:rFonts w:hint="eastAsia" w:ascii="仿宋" w:hAnsi="仿宋" w:eastAsia="仿宋"/>
          <w:color w:val="000000"/>
          <w:sz w:val="28"/>
          <w:szCs w:val="28"/>
          <w:lang w:val="en-US" w:eastAsia="zh-CN"/>
        </w:rPr>
        <w:t>1、</w:t>
      </w:r>
      <w:r>
        <w:rPr>
          <w:rFonts w:hint="eastAsia" w:ascii="仿宋" w:hAnsi="仿宋" w:eastAsia="仿宋"/>
          <w:b/>
          <w:bCs/>
          <w:color w:val="000000"/>
          <w:sz w:val="28"/>
          <w:szCs w:val="28"/>
          <w:lang w:val="en-US" w:eastAsia="zh-CN"/>
        </w:rPr>
        <w:t>地情服务</w:t>
      </w:r>
      <w:r>
        <w:rPr>
          <w:rFonts w:hint="eastAsia" w:ascii="仿宋" w:hAnsi="仿宋" w:eastAsia="仿宋"/>
          <w:color w:val="000000"/>
          <w:sz w:val="28"/>
          <w:szCs w:val="28"/>
          <w:lang w:val="en-US" w:eastAsia="zh-CN"/>
        </w:rPr>
        <w:t xml:space="preserve"> 组织召开传统文化村落资料挖掘培训会议，完成东河镇东郊村、福庆乡农经村、化龙乡石川村和亭子村4个传统村落历史文化资料挖掘整理，收集口头、文字、实物资料，报送文稿5万字，图片70多幅；挖掘红色历史文化资源，收集整理《红军在旺苍》地情资料；完成地方文化服务乡村振兴典型村案例采集，撰写文字材料2 000多字，摄制图片30多幅；为昭化500千伏线路工程设计、县老促会《旺苍革命老区发展史》编纂、县法律援助中心、中江县志办、南江博物馆等提供地情资料查阅，发挥地方志资政、存史、教化作用，为县域内经济社会发展提供服务。</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r>
        <w:rPr>
          <w:rFonts w:hint="eastAsia" w:ascii="仿宋" w:hAnsi="仿宋" w:eastAsia="仿宋"/>
          <w:b/>
          <w:bCs/>
          <w:color w:val="000000"/>
          <w:sz w:val="28"/>
          <w:szCs w:val="28"/>
          <w:lang w:val="en-US" w:eastAsia="zh-CN"/>
        </w:rPr>
        <w:t xml:space="preserve">年鉴编纂 </w:t>
      </w:r>
      <w:r>
        <w:rPr>
          <w:rFonts w:hint="eastAsia" w:ascii="仿宋" w:hAnsi="仿宋" w:eastAsia="仿宋"/>
          <w:color w:val="000000"/>
          <w:sz w:val="28"/>
          <w:szCs w:val="28"/>
          <w:lang w:val="en-US" w:eastAsia="zh-CN"/>
        </w:rPr>
        <w:t>制作《旺苍年鉴》（2018卷）编纂纲目200多份，发至全县各乡镇、街道、县级部门和企事业单位。指导年鉴文稿撰写100多万字，摄制图片1 000多幅。完成《旺苍年鉴》（2018卷）文字校阅及图片编辑。总纂稿90多万字，图片编辑入书150多幅。指导印务公司完成全书排版、印刷、出版工作。</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w:t>
      </w:r>
      <w:r>
        <w:rPr>
          <w:rFonts w:hint="eastAsia" w:ascii="仿宋" w:hAnsi="仿宋" w:eastAsia="仿宋"/>
          <w:b/>
          <w:bCs/>
          <w:color w:val="000000"/>
          <w:sz w:val="28"/>
          <w:szCs w:val="28"/>
          <w:lang w:val="en-US" w:eastAsia="zh-CN"/>
        </w:rPr>
        <w:t>编纂指导</w:t>
      </w:r>
      <w:r>
        <w:rPr>
          <w:rFonts w:hint="eastAsia" w:ascii="仿宋" w:hAnsi="仿宋" w:eastAsia="仿宋"/>
          <w:color w:val="000000"/>
          <w:sz w:val="28"/>
          <w:szCs w:val="28"/>
          <w:lang w:val="en-US" w:eastAsia="zh-CN"/>
        </w:rPr>
        <w:t xml:space="preserve"> 对全县38个乡镇、街道志书编纂意愿开展调查，发放问卷800多份，答题8 800多道，撰写调查报告1篇。指导志书编纂，为《图书馆志》定做印刷方案，该志已出版发行。《三合村志》完成总纂。《木门镇志》《枣林乡志》继续推进。</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w:t>
      </w:r>
      <w:r>
        <w:rPr>
          <w:rFonts w:hint="eastAsia" w:ascii="仿宋" w:hAnsi="仿宋" w:eastAsia="仿宋"/>
          <w:b/>
          <w:bCs/>
          <w:color w:val="000000"/>
          <w:sz w:val="28"/>
          <w:szCs w:val="28"/>
          <w:lang w:val="en-US" w:eastAsia="zh-CN"/>
        </w:rPr>
        <w:t>省市组稿</w:t>
      </w:r>
      <w:r>
        <w:rPr>
          <w:rFonts w:hint="eastAsia" w:ascii="仿宋" w:hAnsi="仿宋" w:eastAsia="仿宋"/>
          <w:color w:val="000000"/>
          <w:sz w:val="28"/>
          <w:szCs w:val="28"/>
          <w:lang w:val="en-US" w:eastAsia="zh-CN"/>
        </w:rPr>
        <w:t xml:space="preserve"> 完成《中国地方志年鉴》（2018卷）旺苍部分组稿1 000多字，《四川年鉴》（2018卷）旺苍部分组稿0.38万字，图片2幅。《广元年鉴》（2018卷）旺苍部分组稿5万字，图片50幅。县老促会《旺苍革命老区发展史》组稿3章8节3万字；向省、市志办报送《年鉴编纂及创新研究》课题1个。</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w:t>
      </w:r>
      <w:r>
        <w:rPr>
          <w:rFonts w:hint="eastAsia" w:ascii="仿宋" w:hAnsi="仿宋" w:eastAsia="仿宋"/>
          <w:b/>
          <w:bCs/>
          <w:color w:val="000000"/>
          <w:sz w:val="28"/>
          <w:szCs w:val="28"/>
          <w:lang w:val="en-US" w:eastAsia="zh-CN"/>
        </w:rPr>
        <w:t xml:space="preserve">资料管理 </w:t>
      </w:r>
      <w:r>
        <w:rPr>
          <w:rFonts w:hint="eastAsia" w:ascii="仿宋" w:hAnsi="仿宋" w:eastAsia="仿宋"/>
          <w:color w:val="000000"/>
          <w:sz w:val="28"/>
          <w:szCs w:val="28"/>
          <w:lang w:val="en-US" w:eastAsia="zh-CN"/>
        </w:rPr>
        <w:t>对库藏图书实行动态管理。完成资料库地情资料分类上架、打码造册、微机录人等工作;设置县志原始资料、年鉴和抗震救灾志原始资料、历史典籍、文史资料等专柜16个，存放县志、乡镇(部门)志、年鉴、抗震救灾志及各类地情资料2万余册。</w:t>
      </w:r>
    </w:p>
    <w:p>
      <w:pPr>
        <w:snapToGrid w:val="0"/>
        <w:spacing w:line="588" w:lineRule="exact"/>
        <w:ind w:firstLine="840" w:firstLineChars="3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6、</w:t>
      </w:r>
      <w:r>
        <w:rPr>
          <w:rFonts w:hint="eastAsia" w:ascii="仿宋" w:hAnsi="仿宋" w:eastAsia="仿宋"/>
          <w:b/>
          <w:bCs/>
          <w:color w:val="000000"/>
          <w:sz w:val="28"/>
          <w:szCs w:val="28"/>
          <w:lang w:val="en-US" w:eastAsia="zh-CN"/>
        </w:rPr>
        <w:t>脱贫攻坚</w:t>
      </w:r>
      <w:r>
        <w:rPr>
          <w:rFonts w:hint="eastAsia" w:ascii="仿宋" w:hAnsi="仿宋" w:eastAsia="仿宋"/>
          <w:color w:val="000000"/>
          <w:sz w:val="28"/>
          <w:szCs w:val="28"/>
          <w:lang w:val="en-US" w:eastAsia="zh-CN"/>
        </w:rPr>
        <w:t xml:space="preserve"> 成立脱贫攻坚领导小组，负责脱贫攻坚抓总工作。发展村集体产业，以种、养产业发展带动贫困户致富，投资16.6万元，发展中药材瓜篓30亩。投入3万元,发展榨菜产业50亩。建设仙居鸡大型养鸡场1个700平方米，养鸡6 000只，带动贫困户32户104人；对贫困户进行技术培训，帮助发展产业，养殖肉牛，种植猕猴桃、核桃、楠竹等，实现稳定增收；促进村两委工作思路和方法转变。组织村两委班子，先后到三台县、南江县正直镇龙潭村学习集体经济发展壮大及党建工作经验，到国华镇学习中药材产业发展经验，为村集体经济发展和带动贫困户产业发展出点子，找路子。</w:t>
      </w:r>
    </w:p>
    <w:p>
      <w:pPr>
        <w:pStyle w:val="3"/>
        <w:rPr>
          <w:rFonts w:hint="eastAsia" w:ascii="仿宋" w:hAnsi="仿宋" w:eastAsia="仿宋" w:cs="Times New Roman"/>
          <w:b w:val="0"/>
          <w:bCs/>
          <w:color w:val="000000"/>
          <w:kern w:val="0"/>
          <w:sz w:val="32"/>
          <w:szCs w:val="32"/>
          <w:lang w:val="en-US" w:eastAsia="zh-CN" w:bidi="ar-SA"/>
        </w:rPr>
      </w:pPr>
      <w:r>
        <w:rPr>
          <w:rFonts w:hint="eastAsia" w:ascii="仿宋" w:hAnsi="仿宋" w:eastAsia="仿宋" w:cs="Times New Roman"/>
          <w:b w:val="0"/>
          <w:bCs/>
          <w:color w:val="000000"/>
          <w:kern w:val="0"/>
          <w:sz w:val="32"/>
          <w:szCs w:val="32"/>
          <w:lang w:val="en-US" w:eastAsia="zh-CN" w:bidi="ar-SA"/>
        </w:rPr>
        <w:t>二、机构设置</w:t>
      </w:r>
      <w:bookmarkEnd w:id="20"/>
      <w:bookmarkEnd w:id="21"/>
      <w:bookmarkStart w:id="22" w:name="_Toc15396602"/>
      <w:bookmarkStart w:id="23" w:name="_Toc15377204"/>
    </w:p>
    <w:p>
      <w:pPr>
        <w:pStyle w:val="3"/>
        <w:ind w:firstLine="560" w:firstLineChars="200"/>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旺苍县地方志编纂委员会办公室无下属二级预算单位。总编制5名，事业编制5名（其中：参照公务员法管理的事业编制5名）。在职人员总数5人，退休人员7人。</w:t>
      </w:r>
    </w:p>
    <w:p>
      <w:pPr>
        <w:pStyle w:val="2"/>
        <w:ind w:right="440"/>
        <w:jc w:val="both"/>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rPr>
          <w:rFonts w:hint="eastAsia" w:ascii="黑体" w:hAnsi="黑体" w:eastAsia="黑体"/>
          <w:b w:val="0"/>
          <w:color w:val="000000"/>
        </w:rPr>
      </w:pPr>
    </w:p>
    <w:p>
      <w:pPr>
        <w:pStyle w:val="2"/>
        <w:numPr>
          <w:ilvl w:val="0"/>
          <w:numId w:val="1"/>
        </w:numPr>
        <w:ind w:right="440" w:firstLine="440" w:firstLineChars="100"/>
        <w:jc w:val="both"/>
        <w:rPr>
          <w:rFonts w:hint="eastAsia"/>
          <w:lang w:val="en-US" w:eastAsia="zh-CN"/>
        </w:rPr>
      </w:pPr>
      <w:r>
        <w:rPr>
          <w:rStyle w:val="24"/>
          <w:rFonts w:hint="eastAsia" w:ascii="黑体" w:hAnsi="黑体" w:eastAsia="黑体"/>
          <w:b w:val="0"/>
          <w:bCs w:val="0"/>
        </w:rPr>
        <w:t>2018年度部门决算情况说明</w:t>
      </w:r>
      <w:bookmarkEnd w:id="22"/>
      <w:bookmarkEnd w:id="23"/>
    </w:p>
    <w:p>
      <w:pPr>
        <w:rPr>
          <w:rFonts w:hint="eastAsia"/>
          <w:lang w:val="en-US" w:eastAsia="zh-CN"/>
        </w:rPr>
      </w:pPr>
    </w:p>
    <w:p>
      <w:pPr>
        <w:pStyle w:val="23"/>
        <w:numPr>
          <w:ilvl w:val="0"/>
          <w:numId w:val="2"/>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960" w:firstLineChars="3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度收、支总计91.54万元，与2017年相比，收、支总计各增加19.44万元，增长27%。主要变动原因是：（一）2017年11月新招录公务员1名，2018年预算时应付职工薪酬及人员经费增加；（二）2018年填报决算报表时，将存量资金15万元纳入本年决算。15万元存量资金为追加【旺苍年鉴】2017卷印刷出版经费。</w:t>
      </w:r>
    </w:p>
    <w:p>
      <w:pPr>
        <w:spacing w:line="600" w:lineRule="exact"/>
        <w:ind w:firstLine="1260" w:firstLineChars="6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70528" behindDoc="0" locked="0" layoutInCell="1" allowOverlap="1">
            <wp:simplePos x="0" y="0"/>
            <wp:positionH relativeFrom="column">
              <wp:posOffset>181610</wp:posOffset>
            </wp:positionH>
            <wp:positionV relativeFrom="paragraph">
              <wp:posOffset>76835</wp:posOffset>
            </wp:positionV>
            <wp:extent cx="5067300" cy="2665730"/>
            <wp:effectExtent l="0" t="0" r="0" b="127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w:t>
      </w:r>
    </w:p>
    <w:p>
      <w:pPr>
        <w:spacing w:line="600" w:lineRule="exact"/>
        <w:ind w:firstLine="1920" w:firstLineChars="600"/>
        <w:rPr>
          <w:rFonts w:hint="eastAsia" w:ascii="仿宋" w:hAnsi="仿宋" w:eastAsia="仿宋"/>
          <w:color w:val="000000" w:themeColor="text1"/>
          <w:sz w:val="32"/>
          <w:szCs w:val="32"/>
          <w14:textFill>
            <w14:solidFill>
              <w14:schemeClr w14:val="tx1"/>
            </w14:solidFill>
          </w14:textFill>
        </w:rPr>
      </w:pPr>
    </w:p>
    <w:p>
      <w:pPr>
        <w:pStyle w:val="23"/>
        <w:numPr>
          <w:ilvl w:val="0"/>
          <w:numId w:val="2"/>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960" w:firstLineChars="3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本年收入合计76.54万元，其中：一般公共预算财政拨款收入76.54万元，占100%；政府性基金预算财政拨款收入0万元，占0%；国有资本经营预算财政拨款收入0万元，占0%；事业收入0万元，占0%；经营收入0万元，占0%；附属单位上缴收入0万元，占0%；其他收入0万元，占0%。</w:t>
      </w:r>
    </w:p>
    <w:p>
      <w:pPr>
        <w:spacing w:line="600" w:lineRule="exact"/>
        <w:ind w:firstLine="840" w:firstLineChars="300"/>
        <w:rPr>
          <w:rFonts w:hint="eastAsia" w:ascii="仿宋" w:hAnsi="仿宋" w:eastAsia="仿宋"/>
          <w:color w:val="000000"/>
          <w:sz w:val="32"/>
          <w:szCs w:val="32"/>
          <w:lang w:val="en-US" w:eastAsia="zh-CN"/>
        </w:rPr>
      </w:pPr>
      <w:r>
        <w:rPr>
          <w:rFonts w:hint="eastAsia" w:ascii="仿宋" w:hAnsi="仿宋" w:eastAsia="仿宋"/>
          <w:color w:val="000000"/>
          <w:sz w:val="28"/>
          <w:szCs w:val="28"/>
          <w:lang w:val="en-US" w:eastAsia="zh-CN"/>
        </w:rPr>
        <w:drawing>
          <wp:anchor distT="0" distB="0" distL="114300" distR="114300" simplePos="0" relativeHeight="251688960" behindDoc="0" locked="0" layoutInCell="1" allowOverlap="1">
            <wp:simplePos x="0" y="0"/>
            <wp:positionH relativeFrom="column">
              <wp:posOffset>46355</wp:posOffset>
            </wp:positionH>
            <wp:positionV relativeFrom="paragraph">
              <wp:posOffset>162560</wp:posOffset>
            </wp:positionV>
            <wp:extent cx="4954905" cy="2362200"/>
            <wp:effectExtent l="0" t="0" r="17145" b="0"/>
            <wp:wrapSquare wrapText="bothSides"/>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sz w:val="28"/>
          <w:szCs w:val="28"/>
          <w:lang w:val="en-US" w:eastAsia="zh-CN"/>
        </w:rPr>
        <w:t xml:space="preserve">     </w:t>
      </w:r>
      <w:r>
        <w:rPr>
          <w:rFonts w:hint="eastAsia" w:ascii="仿宋" w:hAnsi="仿宋" w:eastAsia="仿宋"/>
          <w:color w:val="000000"/>
          <w:sz w:val="32"/>
          <w:szCs w:val="32"/>
          <w:lang w:val="en-US" w:eastAsia="zh-CN"/>
        </w:rPr>
        <w:t>（图2：收入决算结构图）</w:t>
      </w:r>
    </w:p>
    <w:p>
      <w:pPr>
        <w:spacing w:line="600" w:lineRule="exact"/>
        <w:ind w:firstLine="960" w:firstLineChars="300"/>
        <w:rPr>
          <w:rFonts w:hint="eastAsia" w:ascii="仿宋" w:hAnsi="仿宋" w:eastAsia="仿宋"/>
          <w:color w:val="000000"/>
          <w:sz w:val="32"/>
          <w:szCs w:val="32"/>
          <w:lang w:val="en-US" w:eastAsia="zh-CN"/>
        </w:rPr>
      </w:pPr>
    </w:p>
    <w:p>
      <w:pPr>
        <w:pStyle w:val="23"/>
        <w:numPr>
          <w:ilvl w:val="0"/>
          <w:numId w:val="2"/>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960" w:firstLineChars="3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2018年本年支出合计83.58万元，其中：基本支出77.83万元，占93%；项目支出5.75万元，占7%；上缴上级支出0万元，占0%；经营支出0万元，占0%；对附属单位补助支出0万元，占0%。</w:t>
      </w:r>
    </w:p>
    <w:p>
      <w:pPr>
        <w:spacing w:line="600" w:lineRule="exact"/>
        <w:ind w:firstLine="640"/>
        <w:rPr>
          <w:rFonts w:hint="eastAsia" w:ascii="仿宋" w:hAnsi="仿宋" w:eastAsia="仿宋"/>
          <w:color w:val="000000"/>
          <w:sz w:val="32"/>
          <w:szCs w:val="32"/>
        </w:rPr>
      </w:pPr>
      <w:r>
        <w:drawing>
          <wp:anchor distT="0" distB="0" distL="114300" distR="114300" simplePos="0" relativeHeight="251671552" behindDoc="0" locked="0" layoutInCell="1" allowOverlap="1">
            <wp:simplePos x="0" y="0"/>
            <wp:positionH relativeFrom="column">
              <wp:posOffset>76200</wp:posOffset>
            </wp:positionH>
            <wp:positionV relativeFrom="paragraph">
              <wp:posOffset>35560</wp:posOffset>
            </wp:positionV>
            <wp:extent cx="4798060" cy="2233295"/>
            <wp:effectExtent l="0" t="0" r="2540"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14:textFill>
            <w14:solidFill>
              <w14:schemeClr w14:val="tx1"/>
            </w14:solidFill>
          </w14:textFill>
        </w:rPr>
      </w:pPr>
    </w:p>
    <w:p>
      <w:pPr>
        <w:spacing w:line="600" w:lineRule="exact"/>
        <w:ind w:firstLine="1600" w:firstLineChars="5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w:t>
      </w:r>
    </w:p>
    <w:p>
      <w:pPr>
        <w:spacing w:line="600" w:lineRule="exact"/>
        <w:ind w:firstLine="1600" w:firstLineChars="5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420" w:firstLineChars="200"/>
        <w:rPr>
          <w:rFonts w:ascii="仿宋" w:hAnsi="仿宋" w:eastAsia="仿宋"/>
          <w:color w:val="000000"/>
          <w:sz w:val="32"/>
          <w:szCs w:val="32"/>
        </w:rPr>
      </w:pPr>
      <w:r>
        <w:drawing>
          <wp:anchor distT="0" distB="0" distL="114300" distR="114300" simplePos="0" relativeHeight="258075648" behindDoc="0" locked="0" layoutInCell="1" allowOverlap="1">
            <wp:simplePos x="0" y="0"/>
            <wp:positionH relativeFrom="column">
              <wp:posOffset>-78105</wp:posOffset>
            </wp:positionH>
            <wp:positionV relativeFrom="paragraph">
              <wp:posOffset>2488565</wp:posOffset>
            </wp:positionV>
            <wp:extent cx="5067300" cy="2665730"/>
            <wp:effectExtent l="0" t="0" r="0" b="1270"/>
            <wp:wrapSquare wrapText="bothSides"/>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000000"/>
          <w:sz w:val="32"/>
          <w:szCs w:val="32"/>
          <w:lang w:val="en-US" w:eastAsia="zh-CN"/>
        </w:rPr>
        <w:t>2018年财政拨款收、支总计91.54万元，与2017年相比，收、支总计各增加19.44万元，增长27%。主要变动原因是：（一）2017年11月新招录公务员1名，2018年预算时应付职工薪酬及人员经费增加；（二）2018年填报决算报表时，将存量资金15万元纳入本年预算。15万元存量资金为追加【旺苍年鉴】2017卷印刷出版经费。</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图4：财政拨款收、支决算总计变动情况）</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960" w:firstLineChars="3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2018年一般公共预算财政拨款支出83.58万元，占本年支出合计的100%。与2017年相比，一般公共预算财政拨款增加11.48万元，增长16%。主要变动原因是：（一）2017年11月新招录公务员1名，2018年预算时应付职工薪酬及人员经费增加；（二）2018年填报决算报表时，将存量资金15万元纳入本年预算。15万元存量资金为追加【旺苍年鉴】2017卷印刷出版经费。</w:t>
      </w:r>
    </w:p>
    <w:p>
      <w:pPr>
        <w:spacing w:line="600" w:lineRule="exact"/>
        <w:ind w:firstLine="420" w:firstLineChars="200"/>
        <w:rPr>
          <w:rFonts w:hint="eastAsia" w:ascii="仿宋_GB2312" w:hAnsi="仿宋_GB2312" w:eastAsia="仿宋_GB2312" w:cs="仿宋_GB2312"/>
          <w:sz w:val="32"/>
          <w:szCs w:val="32"/>
          <w:lang w:val="en-US" w:eastAsia="zh-CN"/>
        </w:rPr>
      </w:pPr>
      <w:r>
        <w:drawing>
          <wp:anchor distT="0" distB="0" distL="114300" distR="114300" simplePos="0" relativeHeight="251685888" behindDoc="0" locked="0" layoutInCell="1" allowOverlap="1">
            <wp:simplePos x="0" y="0"/>
            <wp:positionH relativeFrom="column">
              <wp:posOffset>457200</wp:posOffset>
            </wp:positionH>
            <wp:positionV relativeFrom="paragraph">
              <wp:posOffset>82550</wp:posOffset>
            </wp:positionV>
            <wp:extent cx="4572000" cy="2743200"/>
            <wp:effectExtent l="0" t="0" r="0" b="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left="638" w:leftChars="304" w:firstLine="0" w:firstLineChars="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（（图5：一般公共预算财政拨款支出决算变动情况）</w:t>
      </w:r>
    </w:p>
    <w:p>
      <w:pPr>
        <w:spacing w:line="600" w:lineRule="exact"/>
        <w:ind w:firstLine="640" w:firstLineChars="200"/>
        <w:outlineLvl w:val="2"/>
        <w:rPr>
          <w:rFonts w:hint="eastAsia" w:ascii="仿宋" w:hAnsi="仿宋" w:eastAsia="仿宋"/>
          <w:b/>
          <w:color w:val="000000"/>
          <w:sz w:val="32"/>
          <w:szCs w:val="32"/>
          <w:lang w:val="en-US" w:eastAsia="zh-CN"/>
        </w:rPr>
      </w:pPr>
      <w:bookmarkStart w:id="35" w:name="_Toc15377211"/>
      <w:r>
        <w:rPr>
          <w:rFonts w:hint="eastAsia" w:ascii="仿宋" w:hAnsi="仿宋" w:eastAsia="仿宋"/>
          <w:b/>
          <w:color w:val="000000"/>
          <w:sz w:val="32"/>
          <w:szCs w:val="32"/>
          <w:lang w:val="en-US" w:eastAsia="zh-CN"/>
        </w:rPr>
        <w:t>（二）一般公共预算财政拨款支出决算结构情况</w:t>
      </w:r>
      <w:bookmarkEnd w:id="35"/>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83.58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78.09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1.70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0.67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3.11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p>
    <w:p>
      <w:pPr>
        <w:spacing w:line="600" w:lineRule="exact"/>
        <w:rPr>
          <w:rFonts w:hint="eastAsia" w:ascii="仿宋" w:hAnsi="仿宋" w:eastAsia="仿宋"/>
          <w:b/>
          <w:color w:val="000000" w:themeColor="text1"/>
          <w:sz w:val="32"/>
          <w:szCs w:val="32"/>
          <w14:textFill>
            <w14:solidFill>
              <w14:schemeClr w14:val="tx1"/>
            </w14:solidFill>
          </w14:textFill>
        </w:rPr>
      </w:pPr>
    </w:p>
    <w:p>
      <w:pPr>
        <w:spacing w:line="600" w:lineRule="exact"/>
        <w:rPr>
          <w:rFonts w:hint="eastAsia" w:ascii="仿宋" w:hAnsi="仿宋" w:eastAsia="仿宋"/>
          <w:b/>
          <w:color w:val="000000" w:themeColor="text1"/>
          <w:sz w:val="32"/>
          <w:szCs w:val="32"/>
          <w14:textFill>
            <w14:solidFill>
              <w14:schemeClr w14:val="tx1"/>
            </w14:solidFill>
          </w14:textFill>
        </w:rPr>
      </w:pPr>
      <w:r>
        <w:drawing>
          <wp:anchor distT="0" distB="0" distL="114300" distR="114300" simplePos="0" relativeHeight="251841536" behindDoc="0" locked="0" layoutInCell="1" allowOverlap="1">
            <wp:simplePos x="0" y="0"/>
            <wp:positionH relativeFrom="column">
              <wp:posOffset>227330</wp:posOffset>
            </wp:positionH>
            <wp:positionV relativeFrom="paragraph">
              <wp:posOffset>-72390</wp:posOffset>
            </wp:positionV>
            <wp:extent cx="4572000" cy="2259330"/>
            <wp:effectExtent l="0" t="0" r="0" b="762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hint="eastAsia" w:ascii="仿宋" w:hAnsi="仿宋" w:eastAsia="仿宋"/>
          <w:b/>
          <w:color w:val="000000" w:themeColor="text1"/>
          <w:sz w:val="32"/>
          <w:szCs w:val="32"/>
          <w14:textFill>
            <w14:solidFill>
              <w14:schemeClr w14:val="tx1"/>
            </w14:solidFill>
          </w14:textFill>
        </w:rPr>
      </w:pPr>
    </w:p>
    <w:p>
      <w:pPr>
        <w:spacing w:line="600" w:lineRule="exact"/>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444"/>
      <w:bookmarkStart w:id="38" w:name="_Toc15378460"/>
      <w:bookmarkStart w:id="39" w:name="_Toc15377213"/>
      <w:r>
        <w:rPr>
          <w:rFonts w:hint="eastAsia" w:ascii="仿宋" w:hAnsi="仿宋" w:eastAsia="仿宋"/>
          <w:b/>
          <w:color w:val="000000" w:themeColor="text1"/>
          <w:sz w:val="32"/>
          <w:szCs w:val="32"/>
          <w14:textFill>
            <w14:solidFill>
              <w14:schemeClr w14:val="tx1"/>
            </w14:solidFill>
          </w14:textFill>
        </w:rPr>
        <w:t>2018年般公共预算支出决算数为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83.58万元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91</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一般公共服务（类）政府办公厅（室）及相关机构事务（款）  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72.33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一般公共服务（类）政府办公厅（室）及相关机构事务（款）一般行政管理事务（项）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5.75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42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年末计划未审批，年末结转和结余</w:t>
      </w:r>
      <w:r>
        <w:rPr>
          <w:rStyle w:val="14"/>
          <w:rFonts w:hint="eastAsia" w:ascii="仿宋" w:hAnsi="仿宋" w:eastAsia="仿宋"/>
          <w:b w:val="0"/>
          <w:bCs/>
          <w:color w:val="000000"/>
          <w:sz w:val="32"/>
          <w:szCs w:val="32"/>
          <w:lang w:val="en-US" w:eastAsia="zh-CN"/>
        </w:rPr>
        <w:t>7.96万元</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社会保障和就业（类）行政事业单位离退休（款）机关事业单位基本养老保险缴费支出（项）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医疗卫生与计划生育支出</w:t>
      </w:r>
      <w:r>
        <w:rPr>
          <w:rStyle w:val="14"/>
          <w:rFonts w:hint="eastAsia" w:ascii="仿宋" w:hAnsi="仿宋" w:eastAsia="仿宋"/>
          <w:bCs/>
          <w:color w:val="000000"/>
          <w:sz w:val="32"/>
          <w:szCs w:val="32"/>
          <w:lang w:val="en-US" w:eastAsia="zh-CN"/>
        </w:rPr>
        <w:t xml:space="preserve"> </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 xml:space="preserve"> </w:t>
      </w:r>
      <w:r>
        <w:rPr>
          <w:rStyle w:val="14"/>
          <w:rFonts w:hint="eastAsia" w:ascii="仿宋" w:hAnsi="仿宋" w:eastAsia="仿宋"/>
          <w:bCs/>
          <w:color w:val="000000"/>
          <w:sz w:val="32"/>
          <w:szCs w:val="32"/>
        </w:rPr>
        <w:t>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0.67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Fonts w:hint="eastAsia" w:ascii="仿宋" w:hAnsi="仿宋" w:eastAsia="仿宋"/>
          <w:b/>
          <w:color w:val="000000"/>
          <w:sz w:val="32"/>
          <w:szCs w:val="32"/>
          <w:lang w:val="en-US" w:eastAsia="zh-CN"/>
        </w:rPr>
        <w:t>5.</w:t>
      </w:r>
      <w:r>
        <w:rPr>
          <w:rStyle w:val="14"/>
          <w:rFonts w:hint="eastAsia" w:ascii="仿宋" w:hAnsi="仿宋" w:eastAsia="仿宋"/>
          <w:bCs/>
          <w:color w:val="000000"/>
          <w:sz w:val="32"/>
          <w:szCs w:val="32"/>
          <w:lang w:eastAsia="zh-CN"/>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77.82</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45.45</w:t>
      </w:r>
      <w:r>
        <w:rPr>
          <w:rFonts w:hint="eastAsia" w:ascii="仿宋" w:hAnsi="仿宋" w:eastAsia="仿宋"/>
          <w:color w:val="000000"/>
          <w:sz w:val="32"/>
          <w:szCs w:val="32"/>
        </w:rPr>
        <w:t>万元，主要包括：基本工资、津贴补贴、奖金、绩效工资、机关事业单位基本养老保险缴费、职业年金缴费、其他社会保障缴费、其他工资福利支出、医疗费、住房公积金、其他对个人和家庭的补助支出等。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32.37</w:t>
      </w:r>
      <w:r>
        <w:rPr>
          <w:rFonts w:hint="eastAsia" w:ascii="仿宋" w:hAnsi="仿宋" w:eastAsia="仿宋"/>
          <w:color w:val="000000"/>
          <w:sz w:val="32"/>
          <w:szCs w:val="32"/>
        </w:rPr>
        <w:t>万元，主要包括：办公费、印刷费、手续费、水费、电费、邮电费、物业管理费、差旅费、维修（护）费、租赁费、培训费、公务接待费、劳务费、委托业务费、工会经费、其他交通费、税金及附加费用、其他商品和服务支出等。</w:t>
      </w:r>
    </w:p>
    <w:p>
      <w:pPr>
        <w:spacing w:line="600" w:lineRule="exact"/>
        <w:ind w:firstLine="645"/>
        <w:rPr>
          <w:rFonts w:hint="eastAsia" w:ascii="仿宋" w:hAnsi="仿宋" w:eastAsia="仿宋"/>
          <w:color w:val="000000"/>
          <w:sz w:val="32"/>
          <w:szCs w:val="32"/>
        </w:rPr>
      </w:pP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79</w:t>
      </w:r>
      <w:r>
        <w:rPr>
          <w:rFonts w:ascii="仿宋" w:hAnsi="仿宋" w:eastAsia="仿宋"/>
          <w:color w:val="000000"/>
          <w:sz w:val="32"/>
          <w:szCs w:val="32"/>
        </w:rPr>
        <w:t>%</w:t>
      </w:r>
      <w:r>
        <w:rPr>
          <w:rFonts w:hint="eastAsia" w:ascii="仿宋" w:hAnsi="仿宋" w:eastAsia="仿宋"/>
          <w:color w:val="000000"/>
          <w:sz w:val="32"/>
          <w:szCs w:val="32"/>
        </w:rPr>
        <w:t>，决算数小于预算数（或与预算数持平）的主要原因是</w:t>
      </w:r>
      <w:r>
        <w:rPr>
          <w:rFonts w:hint="eastAsia" w:ascii="仿宋" w:hAnsi="仿宋" w:eastAsia="仿宋"/>
          <w:color w:val="000000"/>
          <w:sz w:val="32"/>
          <w:szCs w:val="32"/>
          <w:lang w:eastAsia="zh-CN"/>
        </w:rPr>
        <w:t>：</w:t>
      </w:r>
      <w:r>
        <w:rPr>
          <w:rFonts w:hint="eastAsia" w:ascii="仿宋" w:hAnsi="仿宋" w:eastAsia="仿宋"/>
          <w:color w:val="000000"/>
          <w:sz w:val="32"/>
          <w:szCs w:val="32"/>
        </w:rPr>
        <w:t>认真贯彻落实“八项规定”，全面压缩“三公经费”</w:t>
      </w:r>
      <w:r>
        <w:rPr>
          <w:rFonts w:hint="eastAsia" w:ascii="仿宋" w:hAnsi="仿宋" w:eastAsia="仿宋"/>
          <w:color w:val="000000"/>
          <w:sz w:val="32"/>
          <w:szCs w:val="32"/>
          <w:lang w:eastAsia="zh-CN"/>
        </w:rPr>
        <w:t>开支。</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drawing>
          <wp:anchor distT="0" distB="0" distL="114300" distR="114300" simplePos="0" relativeHeight="252056576" behindDoc="0" locked="0" layoutInCell="1" allowOverlap="1">
            <wp:simplePos x="0" y="0"/>
            <wp:positionH relativeFrom="column">
              <wp:posOffset>264795</wp:posOffset>
            </wp:positionH>
            <wp:positionV relativeFrom="paragraph">
              <wp:posOffset>-903605</wp:posOffset>
            </wp:positionV>
            <wp:extent cx="4572000" cy="2743200"/>
            <wp:effectExtent l="0" t="0" r="0" b="0"/>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1292" w:firstLineChars="404"/>
        <w:rPr>
          <w:rFonts w:hint="eastAsia" w:ascii="仿宋" w:hAnsi="仿宋" w:eastAsia="仿宋"/>
          <w:color w:val="000000"/>
          <w:sz w:val="32"/>
          <w:szCs w:val="32"/>
        </w:rPr>
      </w:pP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w:t>
      </w:r>
    </w:p>
    <w:p>
      <w:pPr>
        <w:numPr>
          <w:ilvl w:val="0"/>
          <w:numId w:val="0"/>
        </w:numPr>
        <w:spacing w:line="600" w:lineRule="exact"/>
        <w:ind w:firstLine="643" w:firstLineChars="200"/>
        <w:rPr>
          <w:rFonts w:hint="eastAsia" w:ascii="仿宋_GB2312" w:eastAsia="仿宋_GB2312"/>
          <w:color w:val="000000"/>
          <w:sz w:val="32"/>
          <w:szCs w:val="32"/>
          <w:lang w:eastAsia="zh-CN"/>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numPr>
          <w:ilvl w:val="0"/>
          <w:numId w:val="0"/>
        </w:num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79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rPr>
        <w:t>。主要原因是认真贯彻落实“八项规定”，全面压缩“三公经费”</w:t>
      </w:r>
      <w:r>
        <w:rPr>
          <w:rFonts w:hint="eastAsia" w:ascii="仿宋_GB2312" w:eastAsia="仿宋_GB2312"/>
          <w:color w:val="000000"/>
          <w:sz w:val="32"/>
          <w:szCs w:val="32"/>
          <w:lang w:eastAsia="zh-CN"/>
        </w:rPr>
        <w:t>开支。</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主要用于执行公务、开展业务活动开支的用餐费。国内公务接待</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211</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w:t>
      </w:r>
      <w:r>
        <w:rPr>
          <w:rFonts w:hint="eastAsia" w:ascii="仿宋_GB2312" w:eastAsia="仿宋_GB2312"/>
          <w:color w:val="000000"/>
          <w:sz w:val="32"/>
          <w:szCs w:val="32"/>
          <w:lang w:val="en-US" w:eastAsia="zh-CN"/>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bookmarkStart w:id="76" w:name="_GoBack"/>
      <w:bookmarkEnd w:id="76"/>
      <w:r>
        <w:rPr>
          <w:rFonts w:hint="eastAsia" w:ascii="仿宋_GB2312" w:eastAsia="仿宋_GB2312"/>
          <w:color w:val="000000"/>
          <w:sz w:val="32"/>
          <w:szCs w:val="32"/>
          <w:lang w:eastAsia="zh-CN"/>
        </w:rPr>
        <w:t>办公室退休干部公务接待费</w:t>
      </w:r>
      <w:r>
        <w:rPr>
          <w:rFonts w:hint="eastAsia" w:ascii="仿宋_GB2312" w:eastAsia="仿宋_GB2312"/>
          <w:color w:val="000000"/>
          <w:sz w:val="32"/>
          <w:szCs w:val="32"/>
          <w:lang w:val="en-US" w:eastAsia="zh-CN"/>
        </w:rPr>
        <w:t>225元，指导“三书”编纂业务公务接待680元，主持召开广巴地方志工作研讨会公务接待费2400元，研究安河村产业项目计划公务接待费510元，到南江县正直镇学习公务接待400元，到三台考察公务接待费158元，省、市志办到旺调研公务接待费1490元，调查资料库建设公务接待费268元，指导革命老区发展史编纂公务接待费316元，脱贫攻坚联席会议790元，到南江县进行廉政教育，学习龙潭村此案集体经济发展经验一行公务接待费848元，调研安河村脱贫攻坚会议公务接待费645元，挖掘整理传统村落资料培训会公务接待费724元，考察温江区《温江纵横》编辑工作、青羊区地情资料开发公务接待费833元，米仓古道调查公务接待费420元。接待省文联一行公务接待费243元。</w:t>
      </w:r>
      <w:r>
        <w:rPr>
          <w:rFonts w:hint="eastAsia" w:ascii="仿宋_GB2312" w:eastAsia="仿宋_GB2312"/>
          <w:color w:val="000000"/>
          <w:sz w:val="32"/>
          <w:szCs w:val="32"/>
        </w:rPr>
        <w:t>其中：</w:t>
      </w:r>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仿宋_GB2312" w:eastAsia="仿宋_GB2312"/>
          <w:color w:val="000000"/>
          <w:sz w:val="32"/>
          <w:szCs w:val="32"/>
          <w:lang w:eastAsia="zh-CN"/>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6" w:name="_Toc15377218"/>
      <w:bookmarkStart w:id="47" w:name="_Toc15396610"/>
    </w:p>
    <w:p>
      <w:pPr>
        <w:spacing w:line="600" w:lineRule="exact"/>
        <w:ind w:firstLine="640"/>
        <w:rPr>
          <w:rFonts w:hint="eastAsia" w:ascii="仿宋_GB2312" w:eastAsia="仿宋_GB2312"/>
          <w:color w:val="000000"/>
          <w:sz w:val="32"/>
          <w:szCs w:val="32"/>
          <w:lang w:eastAsia="zh-CN"/>
        </w:rPr>
      </w:pP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p>
    <w:p>
      <w:pPr>
        <w:numPr>
          <w:ilvl w:val="0"/>
          <w:numId w:val="3"/>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hint="eastAsia" w:ascii="仿宋_GB2312" w:eastAsia="仿宋_GB2312"/>
          <w:color w:val="000000"/>
          <w:sz w:val="32"/>
          <w:szCs w:val="32"/>
        </w:rPr>
      </w:pPr>
    </w:p>
    <w:p>
      <w:pPr>
        <w:pStyle w:val="23"/>
        <w:numPr>
          <w:ilvl w:val="0"/>
          <w:numId w:val="4"/>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5"/>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旺苍县续修和送鉴经费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“党组织活动经费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年鉴志书专项经费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“地方志资料库和网站运行维护费”</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pPr>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年度部门支出绩效评价自评得分8</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因本单位无收费权，二级指标（非税收入征收管理）项4分自评为0分；本单位无上年结转结余，本单位无下级预算单位，三级指标（评价层次）2分自评为0分。剔除本单位以上不存在的评价内容及评价指标分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分，计算本次评价实际得分【8</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）*100】为94.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整体得分情况良好。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：项目评价得分整体完成较好，项目决策、资金分配、项目管理、目标完成、目标效果均达到了预期值。</w:t>
      </w:r>
      <w:r>
        <w:rPr>
          <w:rFonts w:hint="eastAsia" w:ascii="仿宋_GB2312" w:hAnsi="仿宋_GB2312" w:eastAsia="仿宋_GB2312" w:cs="仿宋_GB2312"/>
          <w:sz w:val="32"/>
          <w:szCs w:val="32"/>
          <w:lang w:val="en-US" w:eastAsia="zh-CN"/>
        </w:rPr>
        <w:t>绩效目标和自评结果均如期公开，发现问题及时整改，并将整改结果实时应用</w:t>
      </w:r>
      <w:r>
        <w:rPr>
          <w:rFonts w:hint="eastAsia" w:ascii="仿宋_GB2312" w:hAnsi="仿宋_GB2312" w:eastAsia="仿宋_GB2312" w:cs="仿宋_GB2312"/>
          <w:sz w:val="32"/>
          <w:szCs w:val="32"/>
        </w:rPr>
        <w:t>。</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旺苍县续修和送鉴经费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“党组织活动经费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年鉴志书专项经费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“地方志资料库和网站运行维护费”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旺苍县续修和送鉴经费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地方志志书发行、邮寄、交换，地方志法规宣传，地方志成果参评，审查乡镇部门志费用，购买巴蜀史志及地方志编纂指导书籍，中指组、省、市组稿任务。</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无</w:t>
      </w:r>
    </w:p>
    <w:p>
      <w:pPr>
        <w:numPr>
          <w:ilvl w:val="0"/>
          <w:numId w:val="6"/>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党组织活动经费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%。通过项目实施，保障了2018年党报党刊的订阅，开展党组织活动以及纪检监察工作经费支出。发现的主要问题：</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无</w:t>
      </w:r>
    </w:p>
    <w:p>
      <w:pPr>
        <w:numPr>
          <w:ilvl w:val="0"/>
          <w:numId w:val="6"/>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年鉴志书专项经费项目绩效目标完成情况综述。项目全年预算数</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6.88</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%。通过项目实施，保障了编纂过程中发生的打印费、差旅费、制作年鉴纲目、指导乡镇部门志编纂、收集资料、校阅书稿等费用。发现的主要问题：（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）编辑人员业务能力提升培训不够。（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）书籍印刷装帧质量有待提高。下一步改进措施：</w:t>
      </w:r>
      <w:r>
        <w:rPr>
          <w:rFonts w:hint="eastAsia" w:ascii="仿宋_GB2312" w:hAnsi="仿宋_GB2312" w:eastAsia="仿宋_GB2312" w:cs="仿宋_GB2312"/>
          <w:sz w:val="32"/>
          <w:szCs w:val="32"/>
          <w:lang w:val="en-US" w:eastAsia="zh-CN"/>
        </w:rPr>
        <w:t>组织修志人员参加相关学习培训，提高业务能力水平；加大人力、物力、财力投入，提高年鉴志书印刷质量。</w:t>
      </w:r>
    </w:p>
    <w:p>
      <w:pPr>
        <w:numPr>
          <w:ilvl w:val="0"/>
          <w:numId w:val="6"/>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地方志资料库运行维护费项目绩效目标完成情况综述。项目全年预算数</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保障了地方志资料购买，资料分类整理、登记造册、录入微机、制作标识，书架维修，资料查阅、复印，保管（防蛀、防潮、防虫）等费用。发现的主要问题：地方志信息化工作推进不够。下一步改进措施：</w:t>
      </w:r>
      <w:r>
        <w:rPr>
          <w:rFonts w:hint="eastAsia" w:ascii="仿宋_GB2312" w:hAnsi="仿宋_GB2312" w:eastAsia="仿宋_GB2312" w:cs="仿宋_GB2312"/>
          <w:sz w:val="32"/>
          <w:szCs w:val="32"/>
          <w:lang w:val="en-US" w:eastAsia="zh-CN"/>
        </w:rPr>
        <w:t>加大地方志工作数字化处理，加快地方志工作现代化建设。</w:t>
      </w:r>
    </w:p>
    <w:p>
      <w:pPr>
        <w:numPr>
          <w:ilvl w:val="0"/>
          <w:numId w:val="0"/>
        </w:numPr>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地方志资料库运行维护</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旺苍县地方志编纂委员会办公室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3.2万元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3.2万元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3.2万元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 xml:space="preserve">完成资料库资料的整理归类上架。 </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2.对资料库书架设备进行维修。</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3.对古籍图书进行防尘处理。</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完成全县地情资料的收集、整理、开发、利用工作。完成购买地方志资料，整理资料，书架维修，资料查阅、复印，保管（防蛀、防潮、防虫）等工作。</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1、完成资料分类</w:t>
            </w:r>
            <w:r>
              <w:rPr>
                <w:rFonts w:hint="eastAsia" w:ascii="宋体" w:hAnsi="宋体" w:cs="宋体"/>
                <w:color w:val="000000"/>
                <w:kern w:val="0"/>
                <w:sz w:val="24"/>
                <w:lang w:eastAsia="zh-CN" w:bidi="ar"/>
              </w:rPr>
              <w:t>整</w:t>
            </w:r>
            <w:r>
              <w:rPr>
                <w:rFonts w:hint="eastAsia" w:ascii="宋体" w:hAnsi="宋体" w:cs="宋体"/>
                <w:color w:val="000000"/>
                <w:kern w:val="0"/>
                <w:sz w:val="24"/>
                <w:lang w:bidi="ar"/>
              </w:rPr>
              <w:t>理。</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2、完成登记造册。</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完成制作标识。</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4、完成录入微机。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10000册</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10000册</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10000册</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10000册</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10000册</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10000册</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20件</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≥95%</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2018年12月份前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2018年12月份完成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w:t>
            </w:r>
            <w:r>
              <w:rPr>
                <w:rFonts w:hint="eastAsia" w:ascii="宋体" w:hAnsi="宋体" w:cs="宋体"/>
                <w:color w:val="000000"/>
                <w:kern w:val="0"/>
                <w:sz w:val="24"/>
                <w:lang w:bidi="ar"/>
              </w:rPr>
              <w:t>完成资料分类整理。</w:t>
            </w:r>
          </w:p>
          <w:p>
            <w:pPr>
              <w:widowControl/>
              <w:jc w:val="center"/>
              <w:textAlignment w:val="center"/>
              <w:rPr>
                <w:rFonts w:hint="eastAsia" w:ascii="宋体" w:hAnsi="宋体" w:cs="宋体"/>
                <w:color w:val="000000"/>
                <w:kern w:val="0"/>
                <w:sz w:val="24"/>
                <w:lang w:bidi="ar"/>
              </w:rPr>
            </w:pPr>
          </w:p>
          <w:p>
            <w:pPr>
              <w:widowControl/>
              <w:jc w:val="both"/>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2、完成登记造册。</w:t>
            </w:r>
          </w:p>
          <w:p>
            <w:pPr>
              <w:widowControl/>
              <w:jc w:val="center"/>
              <w:textAlignment w:val="center"/>
              <w:rPr>
                <w:rFonts w:hint="eastAsia" w:ascii="宋体" w:hAnsi="宋体" w:cs="宋体"/>
                <w:color w:val="000000"/>
                <w:kern w:val="0"/>
                <w:sz w:val="24"/>
                <w:lang w:bidi="ar"/>
              </w:rPr>
            </w:pPr>
          </w:p>
          <w:p>
            <w:pPr>
              <w:widowControl/>
              <w:jc w:val="both"/>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3、完成制作标识。</w:t>
            </w:r>
          </w:p>
          <w:p>
            <w:pPr>
              <w:widowControl/>
              <w:jc w:val="center"/>
              <w:textAlignment w:val="center"/>
              <w:rPr>
                <w:rFonts w:hint="eastAsia" w:ascii="宋体" w:hAnsi="宋体" w:cs="宋体"/>
                <w:color w:val="000000"/>
                <w:kern w:val="0"/>
                <w:sz w:val="24"/>
                <w:lang w:bidi="ar"/>
              </w:rPr>
            </w:pPr>
          </w:p>
          <w:p>
            <w:pPr>
              <w:widowControl/>
              <w:jc w:val="both"/>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4、完成录入微机。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1元/册</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1元/册</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1元/册</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100元/件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1元/册</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1元/册</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1元/册</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100元/件</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对工作的促进作用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规范整理资料，有效储存资料，方便查阅</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收集、存储，提供</w:t>
            </w:r>
            <w:r>
              <w:rPr>
                <w:rFonts w:hint="eastAsia" w:ascii="宋体" w:hAnsi="宋体" w:cs="宋体"/>
                <w:color w:val="000000"/>
                <w:kern w:val="0"/>
                <w:sz w:val="24"/>
                <w:lang w:eastAsia="zh-CN" w:bidi="ar"/>
              </w:rPr>
              <w:t>便捷</w:t>
            </w:r>
            <w:r>
              <w:rPr>
                <w:rFonts w:hint="eastAsia" w:ascii="宋体" w:hAnsi="宋体" w:cs="宋体"/>
                <w:color w:val="000000"/>
                <w:kern w:val="0"/>
                <w:sz w:val="24"/>
                <w:lang w:bidi="ar"/>
              </w:rPr>
              <w:t>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资料存储规范</w:t>
            </w:r>
            <w:r>
              <w:rPr>
                <w:rFonts w:hint="eastAsia" w:ascii="宋体" w:hAnsi="宋体" w:cs="宋体"/>
                <w:color w:val="000000"/>
                <w:kern w:val="0"/>
                <w:sz w:val="24"/>
                <w:lang w:bidi="ar"/>
              </w:rPr>
              <w:t>，</w:t>
            </w:r>
            <w:r>
              <w:rPr>
                <w:rFonts w:hint="eastAsia" w:ascii="宋体" w:hAnsi="宋体" w:cs="宋体"/>
                <w:color w:val="000000"/>
                <w:kern w:val="0"/>
                <w:sz w:val="24"/>
                <w:lang w:eastAsia="zh-CN" w:bidi="ar"/>
              </w:rPr>
              <w:t>查阅方便。</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可持续效益指标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资料使用年限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永久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永久</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地方志满意度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记载地方文化满意度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≥96%</w:t>
            </w:r>
          </w:p>
        </w:tc>
      </w:tr>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年鉴志书编纂</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旺苍县地方志编纂委员会办公室</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6.88万元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6.88万元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6.88万元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6.88万元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1、制作年鉴纲目；</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2、发送纲目；</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3、指导乡镇部门志编纂；</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4、收集资料；</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5、总纂；</w:t>
            </w:r>
          </w:p>
          <w:p>
            <w:pPr>
              <w:widowControl/>
              <w:jc w:val="left"/>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6、校阅（一校、二校、三校）</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7、到印务公司校阅书稿。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制发《旺苍年鉴》（201</w:t>
            </w:r>
            <w:r>
              <w:rPr>
                <w:rFonts w:hint="eastAsia" w:ascii="宋体" w:hAnsi="宋体" w:cs="宋体"/>
                <w:color w:val="000000"/>
                <w:kern w:val="0"/>
                <w:sz w:val="24"/>
                <w:lang w:val="en-US" w:eastAsia="zh-CN" w:bidi="ar"/>
              </w:rPr>
              <w:t>8</w:t>
            </w:r>
            <w:r>
              <w:rPr>
                <w:rFonts w:hint="eastAsia" w:ascii="宋体" w:hAnsi="宋体" w:cs="宋体"/>
                <w:color w:val="000000"/>
                <w:kern w:val="0"/>
                <w:sz w:val="24"/>
                <w:lang w:bidi="ar"/>
              </w:rPr>
              <w:t>）编纂纲目，做好编纂组稿。完成资料编审。全面完成《旺苍年鉴》编纂工作。</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1、完成纲目制作。</w:t>
            </w:r>
          </w:p>
          <w:p>
            <w:pPr>
              <w:widowControl/>
              <w:jc w:val="left"/>
              <w:textAlignment w:val="center"/>
              <w:rPr>
                <w:rFonts w:hint="eastAsia" w:ascii="宋体" w:hAnsi="宋体" w:cs="宋体"/>
                <w:color w:val="000000"/>
                <w:kern w:val="0"/>
                <w:sz w:val="24"/>
                <w:lang w:bidi="ar"/>
              </w:rPr>
            </w:pP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2、完成乡镇部门志指导。</w:t>
            </w:r>
          </w:p>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3完成到印务公司校阅审定书稿。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150份</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2部</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400多万字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150份</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2部</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400多万字</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≥95%</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2018年12月份前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2018年12月份完成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1、完成纲目制作。</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2、完成乡镇部门志指导。</w:t>
            </w: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3完成到印务公司校阅审定书稿。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150份</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2部</w:t>
            </w:r>
          </w:p>
          <w:p>
            <w:pPr>
              <w:widowControl/>
              <w:jc w:val="center"/>
              <w:textAlignment w:val="center"/>
              <w:rPr>
                <w:rFonts w:hint="eastAsia" w:ascii="宋体" w:hAnsi="宋体" w:cs="宋体"/>
                <w:color w:val="000000"/>
                <w:kern w:val="0"/>
                <w:sz w:val="24"/>
                <w:lang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bidi="ar"/>
              </w:rPr>
              <w:t>400多万字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72元/份</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1万元/部</w:t>
            </w:r>
          </w:p>
          <w:p>
            <w:pPr>
              <w:widowControl/>
              <w:jc w:val="center"/>
              <w:textAlignment w:val="center"/>
              <w:rPr>
                <w:rFonts w:hint="eastAsia" w:ascii="宋体" w:hAnsi="宋体" w:cs="宋体"/>
                <w:color w:val="000000"/>
                <w:kern w:val="0"/>
                <w:sz w:val="24"/>
                <w:lang w:eastAsia="zh-CN" w:bidi="ar"/>
              </w:rPr>
            </w:pPr>
          </w:p>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3.</w:t>
            </w:r>
            <w:r>
              <w:rPr>
                <w:rFonts w:hint="eastAsia" w:ascii="宋体" w:hAnsi="宋体" w:cs="宋体"/>
                <w:color w:val="000000"/>
                <w:kern w:val="0"/>
                <w:sz w:val="24"/>
                <w:lang w:val="en-US" w:eastAsia="zh-CN" w:bidi="ar"/>
              </w:rPr>
              <w:t>8</w:t>
            </w:r>
            <w:r>
              <w:rPr>
                <w:rFonts w:hint="eastAsia" w:ascii="宋体" w:hAnsi="宋体" w:cs="宋体"/>
                <w:color w:val="000000"/>
                <w:kern w:val="0"/>
                <w:sz w:val="24"/>
                <w:lang w:eastAsia="zh-CN" w:bidi="ar"/>
              </w:rPr>
              <w:t>万元</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促进社会发展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系统记述本县域自然、政治、经济、文化、社会等方面情况。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系统记述本县域自然、政治、经济、文化、社会等方面情况。</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可持续效益指标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资料使用年限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永久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永久</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lang w:bidi="ar"/>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地方志满意度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记载地方文化满意度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≥96%</w:t>
            </w:r>
          </w:p>
        </w:tc>
      </w:tr>
    </w:tbl>
    <w:p>
      <w:pPr>
        <w:widowControl/>
        <w:jc w:val="center"/>
        <w:textAlignment w:val="center"/>
        <w:rPr>
          <w:rFonts w:hint="eastAsia" w:ascii="宋体" w:hAnsi="宋体" w:cs="宋体"/>
          <w:color w:val="000000"/>
          <w:kern w:val="0"/>
          <w:sz w:val="24"/>
          <w:lang w:bidi="ar"/>
        </w:rPr>
      </w:pPr>
    </w:p>
    <w:p>
      <w:pPr>
        <w:numPr>
          <w:ilvl w:val="0"/>
          <w:numId w:val="5"/>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旺苍县志办</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本部门自行组织对地方志资料库运行维护费项目、</w:t>
      </w:r>
      <w:r>
        <w:rPr>
          <w:rFonts w:hint="eastAsia" w:ascii="仿宋_GB2312" w:hAnsi="仿宋_GB2312" w:eastAsia="仿宋_GB2312" w:cs="仿宋_GB2312"/>
          <w:sz w:val="32"/>
          <w:szCs w:val="32"/>
          <w:lang w:eastAsia="zh-CN"/>
        </w:rPr>
        <w:t>年鉴志书编纂</w:t>
      </w:r>
      <w:r>
        <w:rPr>
          <w:rFonts w:hint="eastAsia" w:ascii="仿宋_GB2312" w:hAnsi="仿宋_GB2312" w:eastAsia="仿宋_GB2312" w:cs="仿宋_GB2312"/>
          <w:sz w:val="32"/>
          <w:szCs w:val="32"/>
        </w:rPr>
        <w:t>项目开展了绩效评价，《地方志资料库运行维护费项目2018年绩效评价报告》《</w:t>
      </w:r>
      <w:r>
        <w:rPr>
          <w:rFonts w:hint="eastAsia" w:ascii="仿宋_GB2312" w:hAnsi="仿宋_GB2312" w:eastAsia="仿宋_GB2312" w:cs="仿宋_GB2312"/>
          <w:sz w:val="32"/>
          <w:szCs w:val="32"/>
          <w:lang w:eastAsia="zh-CN"/>
        </w:rPr>
        <w:t>年鉴志书编纂</w:t>
      </w:r>
      <w:r>
        <w:rPr>
          <w:rFonts w:hint="eastAsia" w:ascii="仿宋_GB2312" w:hAnsi="仿宋_GB2312" w:eastAsia="仿宋_GB2312" w:cs="仿宋_GB2312"/>
          <w:sz w:val="32"/>
          <w:szCs w:val="32"/>
        </w:rPr>
        <w:t>项目2018年绩效评价报告》见附件。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hAnsi="仿宋_GB2312" w:eastAsia="仿宋_GB2312" w:cs="仿宋_GB2312"/>
          <w:sz w:val="32"/>
          <w:szCs w:val="32"/>
          <w:lang w:eastAsia="zh-CN"/>
        </w:rPr>
        <w:t>本单位</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32.37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hint="eastAsia" w:ascii="仿宋_GB2312" w:eastAsia="仿宋_GB2312"/>
          <w:color w:val="000000"/>
          <w:sz w:val="32"/>
          <w:szCs w:val="32"/>
          <w:lang w:val="en-US" w:eastAsia="zh-CN"/>
        </w:rPr>
        <w:t>25.65</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383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2018年机关运行经费年初预算11.9万元，调整预算数32.49万元，其中增加存量资金15万元。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本单位</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ascii="仿宋_GB2312" w:eastAsia="仿宋_GB2312"/>
          <w:b/>
          <w:color w:val="000000"/>
          <w:sz w:val="32"/>
          <w:szCs w:val="32"/>
        </w:rPr>
        <w:br w:type="page"/>
      </w:r>
    </w:p>
    <w:p>
      <w:pPr>
        <w:numPr>
          <w:ilvl w:val="0"/>
          <w:numId w:val="7"/>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3" w:firstLineChars="200"/>
        <w:rPr>
          <w:rFonts w:hint="eastAsia" w:ascii="仿宋_GB2312" w:eastAsia="仿宋_GB2312"/>
          <w:sz w:val="32"/>
          <w:szCs w:val="32"/>
        </w:rPr>
      </w:pPr>
      <w:r>
        <w:rPr>
          <w:rFonts w:hint="eastAsia" w:ascii="仿宋_GB2312" w:hAnsi="Times New Roman" w:eastAsia="仿宋_GB2312" w:cs="Times New Roman"/>
          <w:b/>
          <w:bCs/>
          <w:color w:val="000000"/>
          <w:kern w:val="2"/>
          <w:sz w:val="32"/>
          <w:szCs w:val="32"/>
          <w:lang w:val="en-US" w:eastAsia="zh-CN" w:bidi="ar-SA"/>
        </w:rPr>
        <w:t>1.财政拨款收入</w:t>
      </w:r>
      <w:r>
        <w:rPr>
          <w:rFonts w:hint="eastAsia" w:ascii="仿宋_GB2312" w:eastAsia="仿宋_GB2312"/>
          <w:sz w:val="32"/>
          <w:szCs w:val="32"/>
        </w:rPr>
        <w:t xml:space="preserve">：指单位从同级财政部门取得的财政预算资金。 </w:t>
      </w:r>
    </w:p>
    <w:p>
      <w:pPr>
        <w:pStyle w:val="22"/>
        <w:spacing w:line="560" w:lineRule="exact"/>
        <w:ind w:firstLine="643" w:firstLineChars="200"/>
        <w:rPr>
          <w:rFonts w:hint="eastAsia" w:ascii="仿宋_GB2312" w:eastAsia="仿宋_GB2312"/>
          <w:sz w:val="32"/>
          <w:szCs w:val="32"/>
        </w:rPr>
      </w:pPr>
      <w:r>
        <w:rPr>
          <w:rFonts w:hint="eastAsia" w:ascii="仿宋_GB2312" w:hAnsi="Times New Roman" w:eastAsia="仿宋_GB2312" w:cs="Times New Roman"/>
          <w:b/>
          <w:bCs/>
          <w:color w:val="000000"/>
          <w:kern w:val="2"/>
          <w:sz w:val="32"/>
          <w:szCs w:val="32"/>
          <w:lang w:val="en-US" w:eastAsia="zh-CN" w:bidi="ar-SA"/>
        </w:rPr>
        <w:t>2.年初结转和结余：</w:t>
      </w:r>
      <w:r>
        <w:rPr>
          <w:rFonts w:hint="eastAsia" w:ascii="仿宋_GB2312" w:eastAsia="仿宋_GB2312"/>
          <w:sz w:val="32"/>
          <w:szCs w:val="32"/>
        </w:rPr>
        <w:t xml:space="preserve">指以前年度尚未完成、结转到本年按有关规定继续使用的资金。 </w:t>
      </w:r>
    </w:p>
    <w:p>
      <w:pPr>
        <w:pStyle w:val="22"/>
        <w:spacing w:line="560" w:lineRule="exact"/>
        <w:ind w:firstLine="643" w:firstLineChars="200"/>
        <w:rPr>
          <w:rFonts w:hint="eastAsia" w:ascii="仿宋_GB2312" w:eastAsia="仿宋_GB2312"/>
          <w:sz w:val="32"/>
          <w:szCs w:val="32"/>
        </w:rPr>
      </w:pPr>
      <w:r>
        <w:rPr>
          <w:rFonts w:hint="eastAsia" w:ascii="仿宋_GB2312" w:hAnsi="Times New Roman" w:eastAsia="仿宋_GB2312" w:cs="Times New Roman"/>
          <w:b/>
          <w:bCs/>
          <w:color w:val="000000"/>
          <w:kern w:val="2"/>
          <w:sz w:val="32"/>
          <w:szCs w:val="32"/>
          <w:lang w:val="en-US" w:eastAsia="zh-CN" w:bidi="ar-SA"/>
        </w:rPr>
        <w:t>3.结余分配：</w:t>
      </w:r>
      <w:r>
        <w:rPr>
          <w:rFonts w:hint="eastAsia" w:ascii="仿宋_GB2312" w:eastAsia="仿宋_GB2312"/>
          <w:sz w:val="32"/>
          <w:szCs w:val="32"/>
        </w:rPr>
        <w:t>指事业单位按照事业单位会计制度的规定从非财政补助结余中分配的事业基金和职工福利基金等。</w:t>
      </w:r>
    </w:p>
    <w:p>
      <w:pPr>
        <w:pStyle w:val="22"/>
        <w:spacing w:line="560" w:lineRule="exact"/>
        <w:ind w:firstLine="643" w:firstLineChars="200"/>
        <w:rPr>
          <w:rFonts w:hint="eastAsia" w:ascii="仿宋_GB2312" w:eastAsia="仿宋_GB2312"/>
          <w:sz w:val="32"/>
          <w:szCs w:val="32"/>
        </w:rPr>
      </w:pPr>
      <w:r>
        <w:rPr>
          <w:rFonts w:hint="eastAsia" w:ascii="仿宋_GB2312" w:hAnsi="Times New Roman" w:eastAsia="仿宋_GB2312" w:cs="Times New Roman"/>
          <w:b/>
          <w:bCs/>
          <w:color w:val="000000"/>
          <w:kern w:val="2"/>
          <w:sz w:val="32"/>
          <w:szCs w:val="32"/>
          <w:lang w:val="en-US" w:eastAsia="zh-CN" w:bidi="ar-SA"/>
        </w:rPr>
        <w:t>4、年末结转和结余：</w:t>
      </w:r>
      <w:r>
        <w:rPr>
          <w:rFonts w:hint="eastAsia" w:ascii="仿宋_GB2312" w:eastAsia="仿宋_GB2312"/>
          <w:sz w:val="32"/>
          <w:szCs w:val="32"/>
        </w:rPr>
        <w:t>指单位按有关规定结转到下年或以后年度继续使用的资金。</w:t>
      </w:r>
    </w:p>
    <w:p>
      <w:pPr>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lang w:val="en-US" w:eastAsia="zh-CN"/>
        </w:rPr>
        <w:t>5</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rPr>
        <w:t>一般公共服务一般公共服务（类）</w:t>
      </w:r>
      <w:r>
        <w:rPr>
          <w:rFonts w:hint="eastAsia" w:ascii="仿宋_GB2312" w:eastAsia="仿宋_GB2312"/>
          <w:b/>
          <w:bCs/>
          <w:color w:val="000000"/>
          <w:sz w:val="32"/>
          <w:szCs w:val="32"/>
          <w:lang w:eastAsia="zh-CN"/>
        </w:rPr>
        <w:t>政府办公室及相关机构事务</w:t>
      </w:r>
      <w:r>
        <w:rPr>
          <w:rFonts w:hint="eastAsia" w:ascii="仿宋_GB2312" w:eastAsia="仿宋_GB2312"/>
          <w:b/>
          <w:bCs/>
          <w:color w:val="000000"/>
          <w:sz w:val="32"/>
          <w:szCs w:val="32"/>
        </w:rPr>
        <w:t>（款）</w:t>
      </w:r>
      <w:r>
        <w:rPr>
          <w:rFonts w:hint="eastAsia" w:ascii="仿宋_GB2312" w:eastAsia="仿宋_GB2312"/>
          <w:b/>
          <w:bCs/>
          <w:color w:val="000000"/>
          <w:sz w:val="32"/>
          <w:szCs w:val="32"/>
          <w:lang w:eastAsia="zh-CN"/>
        </w:rPr>
        <w:t>行政运行</w:t>
      </w:r>
      <w:r>
        <w:rPr>
          <w:rFonts w:hint="eastAsia" w:ascii="仿宋_GB2312" w:eastAsia="仿宋_GB2312"/>
          <w:b/>
          <w:bCs/>
          <w:color w:val="000000"/>
          <w:sz w:val="32"/>
          <w:szCs w:val="32"/>
        </w:rPr>
        <w:t>（项）</w:t>
      </w:r>
      <w:r>
        <w:rPr>
          <w:rFonts w:hint="eastAsia" w:ascii="仿宋_GB2312" w:eastAsia="仿宋_GB2312"/>
          <w:b/>
          <w:bCs/>
          <w:color w:val="000000"/>
          <w:sz w:val="32"/>
          <w:szCs w:val="32"/>
          <w:lang w:eastAsia="zh-CN"/>
        </w:rPr>
        <w:t>：</w:t>
      </w:r>
      <w:r>
        <w:rPr>
          <w:rFonts w:hint="eastAsia" w:ascii="仿宋_GB2312" w:eastAsia="仿宋_GB2312"/>
          <w:color w:val="000000"/>
          <w:sz w:val="32"/>
          <w:szCs w:val="32"/>
          <w:lang w:eastAsia="zh-CN"/>
        </w:rPr>
        <w:t>指基本工资、津贴补贴、奖金、其他社会保障缴费、绩效工资、办公费、手续费、水费、电费、维修费、培训费、公务接待费、工会经费、福利费、其他交通费用、其他商品和服务支出、生活补助。</w:t>
      </w:r>
    </w:p>
    <w:p>
      <w:pPr>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lang w:val="en-US" w:eastAsia="zh-CN"/>
        </w:rPr>
        <w:t>6、</w:t>
      </w:r>
      <w:r>
        <w:rPr>
          <w:rFonts w:hint="eastAsia" w:ascii="仿宋_GB2312" w:eastAsia="仿宋_GB2312"/>
          <w:b/>
          <w:bCs/>
          <w:color w:val="000000"/>
          <w:sz w:val="32"/>
          <w:szCs w:val="32"/>
        </w:rPr>
        <w:t>一般公共服务（类）</w:t>
      </w:r>
      <w:r>
        <w:rPr>
          <w:rFonts w:hint="eastAsia" w:ascii="仿宋_GB2312" w:eastAsia="仿宋_GB2312"/>
          <w:b/>
          <w:bCs/>
          <w:color w:val="000000"/>
          <w:sz w:val="32"/>
          <w:szCs w:val="32"/>
          <w:lang w:eastAsia="zh-CN"/>
        </w:rPr>
        <w:t>政府办公室及相关机构事务</w:t>
      </w:r>
      <w:r>
        <w:rPr>
          <w:rFonts w:hint="eastAsia" w:ascii="仿宋_GB2312" w:eastAsia="仿宋_GB2312"/>
          <w:b/>
          <w:bCs/>
          <w:color w:val="000000"/>
          <w:sz w:val="32"/>
          <w:szCs w:val="32"/>
        </w:rPr>
        <w:t>（款）</w:t>
      </w:r>
      <w:r>
        <w:rPr>
          <w:rFonts w:hint="eastAsia" w:ascii="仿宋_GB2312" w:eastAsia="仿宋_GB2312"/>
          <w:b/>
          <w:bCs/>
          <w:color w:val="000000"/>
          <w:sz w:val="32"/>
          <w:szCs w:val="32"/>
          <w:lang w:eastAsia="zh-CN"/>
        </w:rPr>
        <w:t>一般行政管理事务</w:t>
      </w:r>
      <w:r>
        <w:rPr>
          <w:rFonts w:hint="eastAsia" w:ascii="仿宋_GB2312" w:eastAsia="仿宋_GB2312"/>
          <w:b/>
          <w:bCs/>
          <w:color w:val="000000"/>
          <w:sz w:val="32"/>
          <w:szCs w:val="32"/>
        </w:rPr>
        <w:t>（项）</w:t>
      </w:r>
      <w:r>
        <w:rPr>
          <w:rFonts w:hint="eastAsia" w:ascii="仿宋_GB2312" w:eastAsia="仿宋_GB2312"/>
          <w:b/>
          <w:bCs/>
          <w:color w:val="000000"/>
          <w:sz w:val="32"/>
          <w:szCs w:val="32"/>
          <w:lang w:eastAsia="zh-CN"/>
        </w:rPr>
        <w:t>：</w:t>
      </w:r>
      <w:r>
        <w:rPr>
          <w:rFonts w:hint="eastAsia" w:ascii="仿宋_GB2312" w:eastAsia="仿宋_GB2312"/>
          <w:color w:val="000000"/>
          <w:sz w:val="32"/>
          <w:szCs w:val="32"/>
          <w:lang w:eastAsia="zh-CN"/>
        </w:rPr>
        <w:t>指办公费、水费、电费、邮电费、物业管理费、差旅费、维护费、培训费、公务接待费、劳务费、其他商品和服务支出、生活补助。</w:t>
      </w:r>
    </w:p>
    <w:p>
      <w:pPr>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lang w:val="en-US" w:eastAsia="zh-CN"/>
        </w:rPr>
        <w:t>7</w:t>
      </w:r>
      <w:r>
        <w:rPr>
          <w:rFonts w:hint="eastAsia" w:ascii="仿宋_GB2312" w:eastAsia="仿宋_GB2312"/>
          <w:b/>
          <w:bCs/>
          <w:color w:val="000000"/>
          <w:sz w:val="32"/>
          <w:szCs w:val="32"/>
          <w:lang w:eastAsia="zh-CN"/>
        </w:rPr>
        <w:t>、社会保障和就业支出</w:t>
      </w:r>
      <w:r>
        <w:rPr>
          <w:rFonts w:hint="eastAsia" w:ascii="仿宋_GB2312" w:eastAsia="仿宋_GB2312"/>
          <w:b/>
          <w:bCs/>
          <w:color w:val="000000"/>
          <w:sz w:val="32"/>
          <w:szCs w:val="32"/>
        </w:rPr>
        <w:t>（类）</w:t>
      </w:r>
      <w:r>
        <w:rPr>
          <w:rFonts w:hint="eastAsia" w:ascii="仿宋_GB2312" w:eastAsia="仿宋_GB2312"/>
          <w:b/>
          <w:bCs/>
          <w:color w:val="000000"/>
          <w:sz w:val="32"/>
          <w:szCs w:val="32"/>
          <w:lang w:eastAsia="zh-CN"/>
        </w:rPr>
        <w:t>行政事业单位离退休</w:t>
      </w:r>
      <w:r>
        <w:rPr>
          <w:rFonts w:hint="eastAsia" w:ascii="仿宋_GB2312" w:eastAsia="仿宋_GB2312"/>
          <w:b/>
          <w:bCs/>
          <w:color w:val="000000"/>
          <w:sz w:val="32"/>
          <w:szCs w:val="32"/>
        </w:rPr>
        <w:t>（款）</w:t>
      </w:r>
      <w:r>
        <w:rPr>
          <w:rFonts w:hint="eastAsia" w:ascii="仿宋_GB2312" w:eastAsia="仿宋_GB2312"/>
          <w:b/>
          <w:bCs/>
          <w:color w:val="000000"/>
          <w:sz w:val="32"/>
          <w:szCs w:val="32"/>
          <w:lang w:eastAsia="zh-CN"/>
        </w:rPr>
        <w:t>机关事业单位基本养老保险缴费支出</w:t>
      </w:r>
      <w:r>
        <w:rPr>
          <w:rFonts w:hint="eastAsia" w:ascii="仿宋_GB2312" w:eastAsia="仿宋_GB2312"/>
          <w:b/>
          <w:bCs/>
          <w:color w:val="000000"/>
          <w:sz w:val="32"/>
          <w:szCs w:val="32"/>
        </w:rPr>
        <w:t>（项）</w:t>
      </w:r>
      <w:r>
        <w:rPr>
          <w:rFonts w:hint="eastAsia" w:ascii="仿宋_GB2312" w:eastAsia="仿宋_GB2312"/>
          <w:b/>
          <w:bCs/>
          <w:color w:val="000000"/>
          <w:sz w:val="32"/>
          <w:szCs w:val="32"/>
          <w:lang w:eastAsia="zh-CN"/>
        </w:rPr>
        <w:t>：</w:t>
      </w:r>
      <w:r>
        <w:rPr>
          <w:rFonts w:hint="eastAsia" w:ascii="仿宋_GB2312" w:eastAsia="仿宋_GB2312"/>
          <w:color w:val="000000"/>
          <w:sz w:val="32"/>
          <w:szCs w:val="32"/>
          <w:lang w:eastAsia="zh-CN"/>
        </w:rPr>
        <w:t>指机关事业单位基本养老保险缴费。</w:t>
      </w:r>
    </w:p>
    <w:p>
      <w:pPr>
        <w:spacing w:line="600" w:lineRule="exact"/>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lang w:val="en-US" w:eastAsia="zh-CN"/>
        </w:rPr>
        <w:t>8、</w:t>
      </w:r>
      <w:r>
        <w:rPr>
          <w:rFonts w:hint="eastAsia" w:ascii="仿宋_GB2312" w:eastAsia="仿宋_GB2312"/>
          <w:b/>
          <w:bCs/>
          <w:color w:val="000000"/>
          <w:sz w:val="32"/>
          <w:szCs w:val="32"/>
          <w:lang w:eastAsia="zh-CN"/>
        </w:rPr>
        <w:t>医疗卫生和计划生育支出</w:t>
      </w:r>
      <w:r>
        <w:rPr>
          <w:rFonts w:hint="eastAsia" w:ascii="仿宋_GB2312" w:eastAsia="仿宋_GB2312"/>
          <w:b/>
          <w:bCs/>
          <w:color w:val="000000"/>
          <w:sz w:val="32"/>
          <w:szCs w:val="32"/>
        </w:rPr>
        <w:t>（类）</w:t>
      </w:r>
      <w:r>
        <w:rPr>
          <w:rFonts w:hint="eastAsia" w:ascii="仿宋_GB2312" w:eastAsia="仿宋_GB2312"/>
          <w:b/>
          <w:bCs/>
          <w:color w:val="000000"/>
          <w:sz w:val="32"/>
          <w:szCs w:val="32"/>
          <w:lang w:eastAsia="zh-CN"/>
        </w:rPr>
        <w:t>行政事业单位医疗</w:t>
      </w:r>
      <w:r>
        <w:rPr>
          <w:rFonts w:hint="eastAsia" w:ascii="仿宋_GB2312" w:eastAsia="仿宋_GB2312"/>
          <w:b/>
          <w:bCs/>
          <w:color w:val="000000"/>
          <w:sz w:val="32"/>
          <w:szCs w:val="32"/>
        </w:rPr>
        <w:t>（款）</w:t>
      </w:r>
      <w:r>
        <w:rPr>
          <w:rFonts w:hint="eastAsia" w:ascii="仿宋_GB2312" w:eastAsia="仿宋_GB2312"/>
          <w:b/>
          <w:bCs/>
          <w:color w:val="000000"/>
          <w:sz w:val="32"/>
          <w:szCs w:val="32"/>
          <w:lang w:eastAsia="zh-CN"/>
        </w:rPr>
        <w:t>事业单位医疗</w:t>
      </w:r>
      <w:r>
        <w:rPr>
          <w:rFonts w:hint="eastAsia" w:ascii="仿宋_GB2312" w:eastAsia="仿宋_GB2312"/>
          <w:b/>
          <w:bCs/>
          <w:color w:val="000000"/>
          <w:sz w:val="32"/>
          <w:szCs w:val="32"/>
        </w:rPr>
        <w:t>（项）</w:t>
      </w:r>
      <w:r>
        <w:rPr>
          <w:rFonts w:hint="eastAsia" w:ascii="仿宋_GB2312" w:eastAsia="仿宋_GB2312"/>
          <w:b/>
          <w:bCs/>
          <w:color w:val="000000"/>
          <w:sz w:val="32"/>
          <w:szCs w:val="32"/>
          <w:lang w:eastAsia="zh-CN"/>
        </w:rPr>
        <w:t>：</w:t>
      </w:r>
      <w:r>
        <w:rPr>
          <w:rFonts w:hint="eastAsia" w:ascii="仿宋_GB2312" w:eastAsia="仿宋_GB2312"/>
          <w:color w:val="000000"/>
          <w:sz w:val="32"/>
          <w:szCs w:val="32"/>
          <w:lang w:eastAsia="zh-CN"/>
        </w:rPr>
        <w:t>指其他社会保障缴费。</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9、</w:t>
      </w:r>
      <w:r>
        <w:rPr>
          <w:rFonts w:hint="eastAsia" w:ascii="仿宋_GB2312" w:eastAsia="仿宋_GB2312"/>
          <w:b/>
          <w:bCs/>
          <w:color w:val="000000"/>
          <w:sz w:val="32"/>
          <w:szCs w:val="32"/>
          <w:lang w:eastAsia="zh-CN"/>
        </w:rPr>
        <w:t>住房保障支出</w:t>
      </w:r>
      <w:r>
        <w:rPr>
          <w:rFonts w:hint="eastAsia" w:ascii="仿宋_GB2312" w:eastAsia="仿宋_GB2312"/>
          <w:b/>
          <w:bCs/>
          <w:color w:val="000000"/>
          <w:sz w:val="32"/>
          <w:szCs w:val="32"/>
        </w:rPr>
        <w:t>（类）</w:t>
      </w:r>
      <w:r>
        <w:rPr>
          <w:rFonts w:hint="eastAsia" w:ascii="仿宋_GB2312" w:eastAsia="仿宋_GB2312"/>
          <w:b/>
          <w:bCs/>
          <w:color w:val="000000"/>
          <w:sz w:val="32"/>
          <w:szCs w:val="32"/>
          <w:lang w:eastAsia="zh-CN"/>
        </w:rPr>
        <w:t>住房改革支出</w:t>
      </w:r>
      <w:r>
        <w:rPr>
          <w:rFonts w:hint="eastAsia" w:ascii="仿宋_GB2312" w:eastAsia="仿宋_GB2312"/>
          <w:b/>
          <w:bCs/>
          <w:color w:val="000000"/>
          <w:sz w:val="32"/>
          <w:szCs w:val="32"/>
        </w:rPr>
        <w:t>（款）</w:t>
      </w:r>
      <w:r>
        <w:rPr>
          <w:rFonts w:hint="eastAsia" w:ascii="仿宋_GB2312" w:eastAsia="仿宋_GB2312"/>
          <w:b/>
          <w:bCs/>
          <w:color w:val="000000"/>
          <w:sz w:val="32"/>
          <w:szCs w:val="32"/>
          <w:lang w:eastAsia="zh-CN"/>
        </w:rPr>
        <w:t>住房公积金</w:t>
      </w:r>
      <w:r>
        <w:rPr>
          <w:rFonts w:hint="eastAsia" w:ascii="仿宋_GB2312" w:eastAsia="仿宋_GB2312"/>
          <w:b/>
          <w:bCs/>
          <w:color w:val="000000"/>
          <w:sz w:val="32"/>
          <w:szCs w:val="32"/>
        </w:rPr>
        <w:t>（项）</w:t>
      </w:r>
      <w:r>
        <w:rPr>
          <w:rFonts w:hint="eastAsia" w:ascii="仿宋_GB2312" w:eastAsia="仿宋_GB2312"/>
          <w:b/>
          <w:bCs/>
          <w:color w:val="000000"/>
          <w:sz w:val="32"/>
          <w:szCs w:val="32"/>
          <w:lang w:eastAsia="zh-CN"/>
        </w:rPr>
        <w:t>：</w:t>
      </w:r>
      <w:r>
        <w:rPr>
          <w:rFonts w:hint="eastAsia" w:ascii="仿宋_GB2312" w:eastAsia="仿宋_GB2312"/>
          <w:color w:val="000000"/>
          <w:sz w:val="32"/>
          <w:szCs w:val="32"/>
          <w:lang w:eastAsia="zh-CN"/>
        </w:rPr>
        <w:t>指住房公积金。</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10</w:t>
      </w:r>
      <w:r>
        <w:rPr>
          <w:rFonts w:hint="eastAsia" w:ascii="仿宋_GB2312" w:eastAsia="仿宋_GB2312"/>
          <w:b/>
          <w:bCs/>
          <w:color w:val="000000"/>
          <w:sz w:val="32"/>
          <w:szCs w:val="32"/>
        </w:rPr>
        <w:t>.基本支出：</w:t>
      </w:r>
      <w:r>
        <w:rPr>
          <w:rFonts w:hint="eastAsia" w:ascii="仿宋_GB2312" w:eastAsia="仿宋_GB2312"/>
          <w:color w:val="000000"/>
          <w:sz w:val="32"/>
          <w:szCs w:val="32"/>
        </w:rPr>
        <w:t>指为保障机构正常运转、完成日常工作任务而发生的人员支出和公用支出。</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11</w:t>
      </w:r>
      <w:r>
        <w:rPr>
          <w:rFonts w:hint="eastAsia" w:ascii="仿宋_GB2312" w:eastAsia="仿宋_GB2312"/>
          <w:b/>
          <w:bCs/>
          <w:color w:val="000000"/>
          <w:sz w:val="32"/>
          <w:szCs w:val="32"/>
        </w:rPr>
        <w:t>.项目支出</w:t>
      </w:r>
      <w:r>
        <w:rPr>
          <w:rFonts w:hint="eastAsia" w:ascii="仿宋_GB2312" w:eastAsia="仿宋_GB2312"/>
          <w:color w:val="000000"/>
          <w:sz w:val="32"/>
          <w:szCs w:val="32"/>
        </w:rPr>
        <w:t xml:space="preserve">：指在基本支出之外为完成特定行政任务和事业发展目标所发生的支出。 </w:t>
      </w:r>
    </w:p>
    <w:p>
      <w:pPr>
        <w:pStyle w:val="22"/>
        <w:spacing w:line="560" w:lineRule="exact"/>
        <w:ind w:firstLine="643" w:firstLineChars="200"/>
        <w:rPr>
          <w:rFonts w:hint="eastAsia" w:ascii="仿宋_GB2312" w:eastAsia="仿宋_GB2312"/>
          <w:sz w:val="32"/>
          <w:szCs w:val="32"/>
        </w:rPr>
      </w:pPr>
      <w:r>
        <w:rPr>
          <w:rFonts w:hint="eastAsia" w:ascii="仿宋_GB2312" w:hAnsi="Times New Roman" w:eastAsia="仿宋_GB2312" w:cs="Times New Roman"/>
          <w:b/>
          <w:bCs/>
          <w:color w:val="000000"/>
          <w:kern w:val="2"/>
          <w:sz w:val="32"/>
          <w:szCs w:val="32"/>
          <w:lang w:val="en-US" w:eastAsia="zh-CN" w:bidi="ar-SA"/>
        </w:rPr>
        <w:t>12.“三公”经费：</w:t>
      </w:r>
      <w:r>
        <w:rPr>
          <w:rFonts w:hint="eastAsia" w:ascii="仿宋_GB2312"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3" w:firstLineChars="200"/>
        <w:rPr>
          <w:rFonts w:hint="eastAsia" w:ascii="仿宋_GB2312" w:eastAsia="仿宋_GB2312"/>
          <w:sz w:val="32"/>
          <w:szCs w:val="32"/>
          <w:lang w:eastAsia="zh-CN"/>
        </w:rPr>
      </w:pPr>
      <w:r>
        <w:rPr>
          <w:rFonts w:hint="eastAsia" w:ascii="仿宋_GB2312" w:hAnsi="Times New Roman" w:eastAsia="仿宋_GB2312" w:cs="Times New Roman"/>
          <w:b/>
          <w:bCs/>
          <w:color w:val="000000"/>
          <w:kern w:val="2"/>
          <w:sz w:val="32"/>
          <w:szCs w:val="32"/>
          <w:lang w:val="en-US" w:eastAsia="zh-CN" w:bidi="ar-SA"/>
        </w:rPr>
        <w:t>13.机关运行经费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：为保障行政单位（含参照公务员法管理的事业单位）运行用于购买货物和服务的各项资金，包括办公及印刷费、邮电费、差旅费、福利费、日常维修费、办公用房水电费、办公用房物业管理费</w:t>
      </w:r>
      <w:r>
        <w:rPr>
          <w:rFonts w:hint="eastAsia" w:ascii="仿宋_GB2312" w:eastAsia="仿宋_GB2312"/>
          <w:sz w:val="32"/>
          <w:szCs w:val="32"/>
          <w:lang w:eastAsia="zh-CN"/>
        </w:rPr>
        <w:t>等。</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旺苍县地方志编纂委员会办公室</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旺苍县</w:t>
      </w:r>
      <w:r>
        <w:rPr>
          <w:rFonts w:hint="eastAsia" w:ascii="仿宋_GB2312" w:hAnsi="仿宋" w:eastAsia="仿宋_GB2312" w:cs="仿宋"/>
          <w:color w:val="000000"/>
          <w:sz w:val="32"/>
          <w:szCs w:val="32"/>
          <w:lang w:eastAsia="zh-CN"/>
        </w:rPr>
        <w:t>地方志编纂委员会办公室</w:t>
      </w:r>
      <w:r>
        <w:rPr>
          <w:rFonts w:hint="eastAsia" w:ascii="仿宋_GB2312" w:hAnsi="仿宋" w:eastAsia="仿宋_GB2312" w:cs="仿宋"/>
          <w:color w:val="000000"/>
          <w:sz w:val="32"/>
          <w:szCs w:val="32"/>
        </w:rPr>
        <w:t>是县人民政府直属参公事业单位，机构级别为正科级，事业编制</w:t>
      </w:r>
      <w:r>
        <w:rPr>
          <w:rFonts w:hint="eastAsia" w:ascii="仿宋_GB2312" w:hAnsi="仿宋" w:eastAsia="仿宋_GB2312" w:cs="仿宋"/>
          <w:color w:val="000000"/>
          <w:sz w:val="32"/>
          <w:szCs w:val="32"/>
          <w:lang w:val="en-US" w:eastAsia="zh-CN"/>
        </w:rPr>
        <w:t>5</w:t>
      </w:r>
      <w:r>
        <w:rPr>
          <w:rFonts w:hint="eastAsia" w:ascii="仿宋_GB2312" w:hAnsi="仿宋" w:eastAsia="仿宋_GB2312" w:cs="仿宋"/>
          <w:color w:val="000000"/>
          <w:sz w:val="32"/>
          <w:szCs w:val="32"/>
        </w:rPr>
        <w:t>人，领导职数</w:t>
      </w: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人，其中主任1人，副主任</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人；职工</w:t>
      </w:r>
      <w:r>
        <w:rPr>
          <w:rFonts w:hint="eastAsia" w:ascii="仿宋_GB2312" w:hAnsi="仿宋" w:eastAsia="仿宋_GB2312" w:cs="仿宋"/>
          <w:color w:val="000000"/>
          <w:sz w:val="32"/>
          <w:szCs w:val="32"/>
          <w:lang w:val="en-US" w:eastAsia="zh-CN"/>
        </w:rPr>
        <w:t>3</w:t>
      </w:r>
      <w:r>
        <w:rPr>
          <w:rFonts w:hint="eastAsia" w:ascii="仿宋_GB2312" w:hAnsi="仿宋" w:eastAsia="仿宋_GB2312" w:cs="仿宋"/>
          <w:color w:val="000000"/>
          <w:sz w:val="32"/>
          <w:szCs w:val="32"/>
        </w:rPr>
        <w:t>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(一)负责制定全县地方志编纂方案及规划，组织、指导全县各级各类志书编纂工作。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(二)指导乡镇及县级各部门的编修业务工作。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(三)负责组织全县各级各类志书的评审验收工作。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(四)负责收藏、整理、开发地方文献及全县志、鉴、史等地方文献的归口管理工作。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(五)负责全县地情资料收集、储存、管理、开发、利用工作，建立旺苍县情信息数据库，为各级党政机关及社会各界提供科学、优质、高效的地情信息服务。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(六)负责《旺苍年鉴》的组稿、编纂、出版发行工作，承担《旺苍县志》的组稿、总纂、审定、出版等业务工作。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(七)协调全县各级各类志书及地情资料的出版发行工作。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(八)组织全县地方志理论研讨和学术交流，培训修志人员。 </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(九)完成县政府交办的其他事项。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napToGrid w:val="0"/>
        <w:spacing w:line="520" w:lineRule="exact"/>
        <w:ind w:firstLine="640" w:firstLineChars="200"/>
        <w:rPr>
          <w:rFonts w:hint="eastAsia" w:ascii="仿宋_GB2312" w:hAnsi="仿宋" w:eastAsia="仿宋_GB2312"/>
          <w:sz w:val="32"/>
          <w:szCs w:val="32"/>
        </w:rPr>
      </w:pPr>
      <w:r>
        <w:rPr>
          <w:rFonts w:ascii="仿宋" w:hAnsi="仿宋" w:eastAsia="仿宋" w:cs="仿宋_GB2312"/>
          <w:sz w:val="32"/>
          <w:szCs w:val="32"/>
        </w:rPr>
        <w:t>（一）部门财政资金收入情况。</w:t>
      </w:r>
      <w:r>
        <w:rPr>
          <w:rFonts w:hint="eastAsia" w:ascii="仿宋_GB2312" w:hAnsi="仿宋" w:eastAsia="仿宋_GB2312"/>
          <w:sz w:val="32"/>
          <w:szCs w:val="32"/>
        </w:rPr>
        <w:t>部门</w:t>
      </w:r>
      <w:r>
        <w:rPr>
          <w:rFonts w:hint="eastAsia" w:ascii="仿宋_GB2312" w:hAnsi="仿宋" w:eastAsia="仿宋_GB2312"/>
          <w:b/>
          <w:bCs/>
          <w:sz w:val="32"/>
          <w:szCs w:val="32"/>
          <w:lang w:eastAsia="zh-CN"/>
        </w:rPr>
        <w:t>收入合计</w:t>
      </w:r>
      <w:r>
        <w:rPr>
          <w:rFonts w:hint="eastAsia" w:ascii="仿宋_GB2312" w:hAnsi="仿宋" w:eastAsia="仿宋_GB2312"/>
          <w:sz w:val="32"/>
          <w:szCs w:val="32"/>
          <w:lang w:val="en-US" w:eastAsia="zh-CN"/>
        </w:rPr>
        <w:t>91.54万</w:t>
      </w:r>
      <w:r>
        <w:rPr>
          <w:rFonts w:hint="eastAsia" w:ascii="仿宋_GB2312" w:hAnsi="仿宋" w:eastAsia="仿宋_GB2312"/>
          <w:sz w:val="32"/>
          <w:szCs w:val="32"/>
        </w:rPr>
        <w:t>元、支出</w:t>
      </w:r>
      <w:r>
        <w:rPr>
          <w:rFonts w:hint="eastAsia" w:ascii="仿宋_GB2312" w:hAnsi="仿宋" w:eastAsia="仿宋_GB2312"/>
          <w:b/>
          <w:bCs/>
          <w:sz w:val="32"/>
          <w:szCs w:val="32"/>
          <w:lang w:eastAsia="zh-CN"/>
        </w:rPr>
        <w:t>年初预算安排</w:t>
      </w:r>
      <w:r>
        <w:rPr>
          <w:rFonts w:hint="eastAsia" w:ascii="仿宋_GB2312" w:hAnsi="仿宋" w:eastAsia="仿宋_GB2312"/>
          <w:sz w:val="32"/>
          <w:szCs w:val="32"/>
          <w:lang w:val="en-US" w:eastAsia="zh-CN"/>
        </w:rPr>
        <w:t>77.95万</w:t>
      </w:r>
      <w:r>
        <w:rPr>
          <w:rFonts w:hint="eastAsia" w:ascii="仿宋_GB2312" w:hAnsi="仿宋" w:eastAsia="仿宋_GB2312"/>
          <w:sz w:val="32"/>
          <w:szCs w:val="32"/>
        </w:rPr>
        <w:t>元，年度执行中</w:t>
      </w:r>
      <w:r>
        <w:rPr>
          <w:rFonts w:hint="eastAsia" w:ascii="仿宋_GB2312" w:hAnsi="仿宋" w:eastAsia="仿宋_GB2312"/>
          <w:b/>
          <w:bCs/>
          <w:sz w:val="32"/>
          <w:szCs w:val="32"/>
          <w:lang w:eastAsia="zh-CN"/>
        </w:rPr>
        <w:t>调整增加</w:t>
      </w:r>
      <w:r>
        <w:rPr>
          <w:rFonts w:hint="eastAsia" w:ascii="仿宋_GB2312" w:hAnsi="仿宋" w:eastAsia="仿宋_GB2312"/>
          <w:sz w:val="32"/>
          <w:szCs w:val="32"/>
          <w:lang w:val="en-US" w:eastAsia="zh-CN"/>
        </w:rPr>
        <w:t>13.58万</w:t>
      </w:r>
      <w:r>
        <w:rPr>
          <w:rFonts w:hint="eastAsia" w:ascii="仿宋_GB2312" w:hAnsi="仿宋" w:eastAsia="仿宋_GB2312"/>
          <w:sz w:val="32"/>
          <w:szCs w:val="32"/>
        </w:rPr>
        <w:t>元，其中：</w:t>
      </w:r>
      <w:r>
        <w:rPr>
          <w:rFonts w:hint="eastAsia" w:ascii="仿宋_GB2312" w:hAnsi="仿宋" w:eastAsia="仿宋_GB2312"/>
          <w:b/>
          <w:bCs/>
          <w:sz w:val="32"/>
          <w:szCs w:val="32"/>
          <w:lang w:eastAsia="zh-CN"/>
        </w:rPr>
        <w:t>存量资金</w:t>
      </w:r>
      <w:r>
        <w:rPr>
          <w:rFonts w:hint="eastAsia" w:ascii="仿宋_GB2312" w:hAnsi="仿宋" w:eastAsia="仿宋_GB2312"/>
          <w:b/>
          <w:bCs/>
          <w:sz w:val="32"/>
          <w:szCs w:val="32"/>
          <w:lang w:val="en-US" w:eastAsia="zh-CN"/>
        </w:rPr>
        <w:t>15万元</w:t>
      </w:r>
      <w:r>
        <w:rPr>
          <w:rFonts w:hint="eastAsia" w:ascii="仿宋_GB2312" w:hAnsi="仿宋" w:eastAsia="仿宋_GB2312"/>
          <w:sz w:val="32"/>
          <w:szCs w:val="32"/>
          <w:lang w:val="en-US" w:eastAsia="zh-CN"/>
        </w:rPr>
        <w:t>（审定15万</w:t>
      </w:r>
      <w:r>
        <w:rPr>
          <w:rFonts w:hint="eastAsia" w:ascii="仿宋_GB2312" w:hAnsi="仿宋" w:eastAsia="仿宋_GB2312"/>
          <w:b/>
          <w:bCs/>
          <w:sz w:val="32"/>
          <w:szCs w:val="32"/>
          <w:lang w:val="en-US" w:eastAsia="zh-CN"/>
        </w:rPr>
        <w:t>，</w:t>
      </w:r>
      <w:r>
        <w:rPr>
          <w:rFonts w:hint="eastAsia" w:ascii="仿宋_GB2312" w:hAnsi="仿宋" w:eastAsia="仿宋_GB2312"/>
          <w:sz w:val="32"/>
          <w:szCs w:val="32"/>
          <w:lang w:val="en-US" w:eastAsia="zh-CN"/>
        </w:rPr>
        <w:t>抵扣预拨10万，只开5万）。</w:t>
      </w:r>
      <w:r>
        <w:rPr>
          <w:rFonts w:hint="eastAsia" w:ascii="仿宋_GB2312" w:hAnsi="仿宋" w:eastAsia="仿宋_GB2312"/>
          <w:b/>
          <w:bCs/>
          <w:sz w:val="32"/>
          <w:szCs w:val="32"/>
          <w:lang w:val="en-US" w:eastAsia="zh-CN"/>
        </w:rPr>
        <w:t>追加4.9万元</w:t>
      </w:r>
      <w:r>
        <w:rPr>
          <w:rFonts w:hint="eastAsia" w:ascii="仿宋_GB2312" w:hAnsi="仿宋" w:eastAsia="仿宋_GB2312"/>
          <w:sz w:val="32"/>
          <w:szCs w:val="32"/>
          <w:lang w:val="en-US" w:eastAsia="zh-CN"/>
        </w:rPr>
        <w:t>。</w:t>
      </w:r>
      <w:r>
        <w:rPr>
          <w:rFonts w:hint="eastAsia" w:ascii="仿宋_GB2312" w:hAnsi="仿宋" w:eastAsia="仿宋_GB2312"/>
          <w:b/>
          <w:bCs/>
          <w:sz w:val="32"/>
          <w:szCs w:val="32"/>
          <w:lang w:val="en-US" w:eastAsia="zh-CN"/>
        </w:rPr>
        <w:t>追减6.4万元</w:t>
      </w:r>
      <w:r>
        <w:rPr>
          <w:rFonts w:hint="eastAsia" w:ascii="仿宋_GB2312" w:hAnsi="仿宋" w:eastAsia="仿宋_GB2312"/>
          <w:sz w:val="32"/>
          <w:szCs w:val="32"/>
          <w:lang w:val="en-US" w:eastAsia="zh-CN"/>
        </w:rPr>
        <w:t>。</w:t>
      </w:r>
      <w:r>
        <w:rPr>
          <w:rFonts w:hint="eastAsia" w:ascii="仿宋_GB2312" w:hAnsi="仿宋" w:eastAsia="仿宋_GB2312"/>
          <w:b/>
          <w:bCs/>
          <w:sz w:val="32"/>
          <w:szCs w:val="32"/>
          <w:lang w:val="en-US" w:eastAsia="zh-CN"/>
        </w:rPr>
        <w:t>财政返还额度0.09万元</w:t>
      </w:r>
      <w:r>
        <w:rPr>
          <w:rFonts w:hint="eastAsia" w:ascii="仿宋_GB2312" w:hAnsi="仿宋" w:eastAsia="仿宋_GB2312"/>
          <w:sz w:val="32"/>
          <w:szCs w:val="32"/>
        </w:rPr>
        <w:t>。</w:t>
      </w:r>
    </w:p>
    <w:p>
      <w:pPr>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r>
        <w:rPr>
          <w:rFonts w:hint="eastAsia" w:ascii="仿宋_GB2312" w:hAnsi="仿宋" w:eastAsia="仿宋_GB2312" w:cs="仿宋"/>
          <w:color w:val="000000"/>
          <w:sz w:val="32"/>
          <w:szCs w:val="32"/>
        </w:rPr>
        <w:t>本年支出合计</w:t>
      </w:r>
      <w:r>
        <w:rPr>
          <w:rFonts w:hint="eastAsia" w:ascii="仿宋_GB2312" w:hAnsi="仿宋" w:eastAsia="仿宋_GB2312" w:cs="仿宋"/>
          <w:color w:val="000000"/>
          <w:sz w:val="32"/>
          <w:szCs w:val="32"/>
          <w:lang w:val="en-US" w:eastAsia="zh-CN"/>
        </w:rPr>
        <w:t>,83.57</w:t>
      </w:r>
      <w:r>
        <w:rPr>
          <w:rFonts w:hint="eastAsia" w:ascii="仿宋_GB2312" w:hAnsi="仿宋" w:eastAsia="仿宋_GB2312" w:cs="仿宋"/>
          <w:color w:val="000000"/>
          <w:sz w:val="32"/>
          <w:szCs w:val="32"/>
        </w:rPr>
        <w:t>万元，其中：基本支出</w:t>
      </w:r>
      <w:r>
        <w:rPr>
          <w:rFonts w:hint="eastAsia" w:ascii="仿宋_GB2312" w:hAnsi="仿宋" w:eastAsia="仿宋_GB2312" w:cs="仿宋"/>
          <w:color w:val="000000"/>
          <w:sz w:val="32"/>
          <w:szCs w:val="32"/>
          <w:lang w:val="en-US" w:eastAsia="zh-CN"/>
        </w:rPr>
        <w:t>77.82</w:t>
      </w:r>
      <w:r>
        <w:rPr>
          <w:rFonts w:hint="eastAsia" w:ascii="仿宋_GB2312" w:hAnsi="仿宋" w:eastAsia="仿宋_GB2312" w:cs="仿宋"/>
          <w:color w:val="000000"/>
          <w:sz w:val="32"/>
          <w:szCs w:val="32"/>
        </w:rPr>
        <w:t>万元，同比</w:t>
      </w:r>
      <w:r>
        <w:rPr>
          <w:rFonts w:hint="eastAsia" w:ascii="仿宋_GB2312" w:hAnsi="仿宋" w:eastAsia="仿宋_GB2312" w:cs="仿宋"/>
          <w:color w:val="000000"/>
          <w:sz w:val="32"/>
          <w:szCs w:val="32"/>
          <w:lang w:eastAsia="zh-CN"/>
        </w:rPr>
        <w:t>增加</w:t>
      </w:r>
      <w:r>
        <w:rPr>
          <w:rFonts w:hint="eastAsia" w:ascii="仿宋_GB2312" w:hAnsi="仿宋" w:eastAsia="仿宋_GB2312" w:cs="仿宋"/>
          <w:color w:val="000000"/>
          <w:sz w:val="32"/>
          <w:szCs w:val="32"/>
          <w:lang w:val="en-US" w:eastAsia="zh-CN"/>
        </w:rPr>
        <w:t>22.8</w:t>
      </w:r>
      <w:r>
        <w:rPr>
          <w:rFonts w:hint="eastAsia" w:ascii="仿宋_GB2312" w:hAnsi="仿宋" w:eastAsia="仿宋_GB2312" w:cs="仿宋"/>
          <w:color w:val="000000"/>
          <w:sz w:val="32"/>
          <w:szCs w:val="32"/>
        </w:rPr>
        <w:t>万元，增加的主要原因是</w:t>
      </w:r>
      <w:r>
        <w:rPr>
          <w:rFonts w:hint="eastAsia" w:ascii="仿宋_GB2312" w:hAnsi="仿宋" w:eastAsia="仿宋_GB2312" w:cs="仿宋"/>
          <w:color w:val="000000"/>
          <w:sz w:val="32"/>
          <w:szCs w:val="32"/>
          <w:lang w:eastAsia="zh-CN"/>
        </w:rPr>
        <w:t>存量安排增加</w:t>
      </w:r>
      <w:r>
        <w:rPr>
          <w:rFonts w:hint="eastAsia" w:ascii="仿宋_GB2312" w:hAnsi="仿宋" w:eastAsia="仿宋_GB2312" w:cs="仿宋"/>
          <w:color w:val="000000"/>
          <w:sz w:val="32"/>
          <w:szCs w:val="32"/>
          <w:lang w:val="en-US" w:eastAsia="zh-CN"/>
        </w:rPr>
        <w:t>15</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，人员经费增加</w:t>
      </w:r>
      <w:r>
        <w:rPr>
          <w:rFonts w:hint="eastAsia" w:ascii="仿宋_GB2312" w:hAnsi="仿宋" w:eastAsia="仿宋_GB2312" w:cs="仿宋"/>
          <w:color w:val="000000"/>
          <w:sz w:val="32"/>
          <w:szCs w:val="32"/>
          <w:lang w:val="en-US" w:eastAsia="zh-CN"/>
        </w:rPr>
        <w:t>7.8万元</w:t>
      </w:r>
      <w:r>
        <w:rPr>
          <w:rFonts w:hint="eastAsia" w:ascii="仿宋_GB2312" w:hAnsi="仿宋" w:eastAsia="仿宋_GB2312" w:cs="仿宋"/>
          <w:color w:val="000000"/>
          <w:sz w:val="32"/>
          <w:szCs w:val="32"/>
        </w:rPr>
        <w:t>；项目支出</w:t>
      </w:r>
      <w:r>
        <w:rPr>
          <w:rFonts w:hint="eastAsia" w:ascii="仿宋_GB2312" w:hAnsi="仿宋" w:eastAsia="仿宋_GB2312" w:cs="仿宋"/>
          <w:color w:val="000000"/>
          <w:sz w:val="32"/>
          <w:szCs w:val="32"/>
          <w:lang w:val="en-US" w:eastAsia="zh-CN"/>
        </w:rPr>
        <w:t>5.8</w:t>
      </w:r>
      <w:r>
        <w:rPr>
          <w:rFonts w:hint="eastAsia" w:ascii="仿宋_GB2312" w:hAnsi="仿宋" w:eastAsia="仿宋_GB2312" w:cs="仿宋"/>
          <w:color w:val="000000"/>
          <w:sz w:val="32"/>
          <w:szCs w:val="32"/>
        </w:rPr>
        <w:t>万元，同比</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lang w:val="en-US" w:eastAsia="zh-CN"/>
        </w:rPr>
        <w:t>11.3</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减少</w:t>
      </w:r>
      <w:r>
        <w:rPr>
          <w:rFonts w:hint="eastAsia" w:ascii="仿宋_GB2312" w:hAnsi="仿宋" w:eastAsia="仿宋_GB2312" w:cs="仿宋"/>
          <w:color w:val="000000"/>
          <w:sz w:val="32"/>
          <w:szCs w:val="32"/>
        </w:rPr>
        <w:t>的主要原因是</w:t>
      </w:r>
      <w:r>
        <w:rPr>
          <w:rFonts w:hint="eastAsia" w:ascii="仿宋_GB2312" w:hAnsi="仿宋" w:eastAsia="仿宋_GB2312" w:cs="仿宋"/>
          <w:color w:val="000000"/>
          <w:sz w:val="32"/>
          <w:szCs w:val="32"/>
          <w:lang w:eastAsia="zh-CN"/>
        </w:rPr>
        <w:t>结转下年</w:t>
      </w:r>
      <w:r>
        <w:rPr>
          <w:rFonts w:hint="eastAsia" w:ascii="仿宋_GB2312" w:hAnsi="仿宋" w:eastAsia="仿宋_GB2312" w:cs="仿宋"/>
          <w:color w:val="000000"/>
          <w:sz w:val="32"/>
          <w:szCs w:val="32"/>
          <w:lang w:val="en-US" w:eastAsia="zh-CN"/>
        </w:rPr>
        <w:t>8万元。项目支出减少3.3万元。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4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本单位完全按财政部门预算要求的时间及时报送部门预算和项目绩效预算。部门预算编制完整无漏项，预算编制准确，基础信息和科目使用准确，预算编制规范，项目名称、绩效指标、项目内容说明等合符规范。严格执行预算，执行中不调整预算项目；本单位年度预算执行收支平衡，完成本部门经济和社会事业发展职能职责，实施结转结余管控，人员支出部分按时间进度执行，不存在挪用人员支出。</w:t>
      </w:r>
    </w:p>
    <w:p>
      <w:pPr>
        <w:numPr>
          <w:ilvl w:val="0"/>
          <w:numId w:val="8"/>
        </w:numPr>
        <w:spacing w:line="60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专项预算管理。</w:t>
      </w:r>
    </w:p>
    <w:p>
      <w:pPr>
        <w:spacing w:line="540" w:lineRule="exact"/>
        <w:ind w:firstLine="640" w:firstLineChars="200"/>
        <w:rPr>
          <w:rFonts w:ascii="仿宋" w:hAnsi="仿宋" w:eastAsia="仿宋" w:cs="仿宋_GB2312"/>
          <w:color w:val="FF0000"/>
          <w:sz w:val="32"/>
          <w:szCs w:val="32"/>
        </w:rPr>
      </w:pPr>
      <w:r>
        <w:rPr>
          <w:rFonts w:hint="eastAsia" w:ascii="仿宋_GB2312" w:hAnsi="仿宋" w:eastAsia="仿宋_GB2312" w:cs="仿宋"/>
          <w:color w:val="000000"/>
          <w:sz w:val="32"/>
          <w:szCs w:val="32"/>
        </w:rPr>
        <w:t>本单位各项目由县级财政配套到位资金，按规定及时拨付到位，项目资金专款专用，资金支付依据、开支标准符合规定。财务制度健全，管理规范，会计核算规范。项目调整严格履行相关手续，严格执行项目有关制度规定。按照财政绩效管理要求真实、可行、科学编报预算项目绩效目标。</w:t>
      </w:r>
    </w:p>
    <w:p>
      <w:pPr>
        <w:spacing w:line="580" w:lineRule="exact"/>
        <w:ind w:firstLine="640" w:firstLineChars="200"/>
        <w:rPr>
          <w:rFonts w:ascii="仿宋" w:hAnsi="仿宋" w:eastAsia="仿宋" w:cs="仿宋_GB2312"/>
          <w:color w:val="auto"/>
          <w:sz w:val="32"/>
          <w:szCs w:val="32"/>
        </w:rPr>
      </w:pPr>
      <w:r>
        <w:rPr>
          <w:rFonts w:ascii="仿宋" w:hAnsi="仿宋" w:eastAsia="仿宋" w:cs="仿宋_GB2312"/>
          <w:color w:val="auto"/>
          <w:sz w:val="32"/>
          <w:szCs w:val="32"/>
        </w:rPr>
        <w:t>（三）结果应用情况。</w:t>
      </w:r>
    </w:p>
    <w:p>
      <w:pPr>
        <w:spacing w:line="58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本单位</w:t>
      </w:r>
      <w:r>
        <w:rPr>
          <w:rFonts w:hint="eastAsia" w:ascii="仿宋_GB2312" w:hAnsi="仿宋" w:eastAsia="仿宋_GB2312" w:cs="仿宋"/>
          <w:color w:val="000000"/>
          <w:sz w:val="32"/>
          <w:szCs w:val="32"/>
          <w:lang w:val="en-US" w:eastAsia="zh-CN"/>
        </w:rPr>
        <w:t>2018年部门支出绩效自评得分94.7分，绩效目标和自评结果均如期公开，按照要求建立健全单位绩效管理办法，制定单位内部控制制度，对项目支出开展动态监控。发现问题及时整改，并将整改结果实时应用。</w:t>
      </w:r>
    </w:p>
    <w:p>
      <w:pPr>
        <w:spacing w:line="58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2018</w:t>
      </w:r>
      <w:r>
        <w:rPr>
          <w:rFonts w:hint="eastAsia" w:ascii="仿宋_GB2312" w:hAnsi="仿宋" w:eastAsia="仿宋_GB2312" w:cs="仿宋"/>
          <w:color w:val="000000"/>
          <w:sz w:val="32"/>
          <w:szCs w:val="32"/>
        </w:rPr>
        <w:t>年度部门支出绩效评价自评得分8</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分，因本单位无收费权，二级指标（非税收入征收管理）项4分自评为0分；本单位无上年结转结余，本单位无下级预算单位，三级指标（评价层次）2分自评为0分。剔除本单位以上不存在的评价内容及评价指标分值</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分，计算本次评价实际得分【8</w:t>
      </w:r>
      <w:r>
        <w:rPr>
          <w:rFonts w:hint="eastAsia" w:ascii="仿宋_GB2312" w:hAnsi="仿宋" w:eastAsia="仿宋_GB2312" w:cs="仿宋"/>
          <w:color w:val="000000"/>
          <w:sz w:val="32"/>
          <w:szCs w:val="32"/>
          <w:lang w:val="en-US" w:eastAsia="zh-CN"/>
        </w:rPr>
        <w:t>9</w:t>
      </w:r>
      <w:r>
        <w:rPr>
          <w:rFonts w:hint="eastAsia" w:ascii="仿宋_GB2312" w:hAnsi="仿宋" w:eastAsia="仿宋_GB2312" w:cs="仿宋"/>
          <w:color w:val="000000"/>
          <w:sz w:val="32"/>
          <w:szCs w:val="32"/>
        </w:rPr>
        <w:t>/（100-</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）*100】为94.</w:t>
      </w:r>
      <w:r>
        <w:rPr>
          <w:rFonts w:hint="eastAsia" w:ascii="仿宋_GB2312" w:hAnsi="仿宋" w:eastAsia="仿宋_GB2312" w:cs="仿宋"/>
          <w:color w:val="000000"/>
          <w:sz w:val="32"/>
          <w:szCs w:val="32"/>
          <w:lang w:val="en-US" w:eastAsia="zh-CN"/>
        </w:rPr>
        <w:t>7</w:t>
      </w:r>
      <w:r>
        <w:rPr>
          <w:rFonts w:hint="eastAsia" w:ascii="仿宋_GB2312" w:hAnsi="仿宋" w:eastAsia="仿宋_GB2312" w:cs="仿宋"/>
          <w:color w:val="000000"/>
          <w:sz w:val="32"/>
          <w:szCs w:val="32"/>
        </w:rPr>
        <w:t>分。</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（二）存在问题</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日常业务运行与财务管理脱节，资产管理环节存在缺陷，财务部门只起到“核算”和“付款”的作用，对单位业务上重要事项的决策、实施过程及相关业务的来龙去脉了解不多，导致财务和业务办理脱节，从而无法对业务部门实施必要的财务管理和有效的内部监督。</w:t>
      </w:r>
    </w:p>
    <w:p>
      <w:pPr>
        <w:spacing w:line="54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单位货物购置</w:t>
      </w:r>
      <w:r>
        <w:rPr>
          <w:rFonts w:hint="eastAsia" w:ascii="仿宋_GB2312" w:hAnsi="仿宋" w:eastAsia="仿宋_GB2312" w:cs="仿宋"/>
          <w:color w:val="000000"/>
          <w:sz w:val="32"/>
          <w:szCs w:val="32"/>
          <w:lang w:eastAsia="zh-CN"/>
        </w:rPr>
        <w:t>未严格</w:t>
      </w:r>
      <w:r>
        <w:rPr>
          <w:rFonts w:hint="eastAsia" w:ascii="仿宋_GB2312" w:hAnsi="仿宋" w:eastAsia="仿宋_GB2312" w:cs="仿宋"/>
          <w:color w:val="000000"/>
          <w:sz w:val="32"/>
          <w:szCs w:val="32"/>
        </w:rPr>
        <w:t>按照规定实行政府采购</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采购价格</w:t>
      </w:r>
      <w:r>
        <w:rPr>
          <w:rFonts w:hint="eastAsia" w:ascii="仿宋_GB2312" w:hAnsi="仿宋" w:eastAsia="仿宋_GB2312" w:cs="仿宋"/>
          <w:color w:val="000000"/>
          <w:sz w:val="32"/>
          <w:szCs w:val="32"/>
          <w:lang w:eastAsia="zh-CN"/>
        </w:rPr>
        <w:t>不优</w:t>
      </w:r>
      <w:r>
        <w:rPr>
          <w:rFonts w:hint="eastAsia" w:ascii="仿宋_GB2312" w:hAnsi="仿宋" w:eastAsia="仿宋_GB2312" w:cs="仿宋"/>
          <w:color w:val="000000"/>
          <w:sz w:val="32"/>
          <w:szCs w:val="32"/>
        </w:rPr>
        <w:t>、采购效率</w:t>
      </w:r>
      <w:r>
        <w:rPr>
          <w:rFonts w:hint="eastAsia" w:ascii="仿宋_GB2312" w:hAnsi="仿宋" w:eastAsia="仿宋_GB2312" w:cs="仿宋"/>
          <w:color w:val="000000"/>
          <w:sz w:val="32"/>
          <w:szCs w:val="32"/>
          <w:lang w:eastAsia="zh-CN"/>
        </w:rPr>
        <w:t>不高。采购流程不完善。</w:t>
      </w:r>
    </w:p>
    <w:p>
      <w:pPr>
        <w:spacing w:line="580" w:lineRule="exact"/>
        <w:ind w:firstLine="640" w:firstLineChars="200"/>
        <w:rPr>
          <w:rFonts w:hint="eastAsia" w:ascii="仿宋" w:hAnsi="仿宋" w:eastAsia="仿宋" w:cs="仿宋_GB2312"/>
          <w:sz w:val="32"/>
          <w:szCs w:val="32"/>
          <w:lang w:val="zh-CN"/>
        </w:rPr>
      </w:pPr>
      <w:r>
        <w:rPr>
          <w:rFonts w:hint="eastAsia" w:ascii="仿宋" w:hAnsi="仿宋" w:eastAsia="仿宋" w:cs="仿宋_GB2312"/>
          <w:sz w:val="32"/>
          <w:szCs w:val="32"/>
        </w:rPr>
        <w:t>（三）改进建议</w:t>
      </w:r>
    </w:p>
    <w:p>
      <w:pPr>
        <w:spacing w:line="54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1、完善制度建设，特别是尚未建立的制度，如“合同管理”、“政府采购业务管理”等制度，加强机构的权威性与独立性，保障预算资金在一定时限内达到预期的产出和效果。</w:t>
      </w:r>
    </w:p>
    <w:p>
      <w:pPr>
        <w:spacing w:line="540" w:lineRule="exact"/>
        <w:ind w:firstLine="640" w:firstLineChars="20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2、进一步加强本单位财务管理，健全财务制度严格按照《中华人民共和国预算法》《中华人民共和国会计法》《中华人民共和国政府采购法》和财政部《行政单位财务规则》《事业单位财务规则》等有关法律、法规</w:t>
      </w:r>
      <w:r>
        <w:rPr>
          <w:rFonts w:hint="eastAsia" w:ascii="仿宋_GB2312" w:hAnsi="仿宋" w:eastAsia="仿宋_GB2312" w:cs="仿宋"/>
          <w:color w:val="000000"/>
          <w:sz w:val="32"/>
          <w:szCs w:val="32"/>
          <w:lang w:val="en-US" w:eastAsia="zh-CN"/>
        </w:rPr>
        <w:fldChar w:fldCharType="begin"/>
      </w:r>
      <w:r>
        <w:rPr>
          <w:rFonts w:hint="eastAsia" w:ascii="仿宋_GB2312" w:hAnsi="仿宋" w:eastAsia="仿宋_GB2312" w:cs="仿宋"/>
          <w:color w:val="000000"/>
          <w:sz w:val="32"/>
          <w:szCs w:val="32"/>
          <w:lang w:val="en-US" w:eastAsia="zh-CN"/>
        </w:rPr>
        <w:instrText xml:space="preserve"> HYPERLINK "http://gw.yjbys.com/guiding/" \t "_blank" </w:instrText>
      </w:r>
      <w:r>
        <w:rPr>
          <w:rFonts w:hint="eastAsia" w:ascii="仿宋_GB2312" w:hAnsi="仿宋" w:eastAsia="仿宋_GB2312" w:cs="仿宋"/>
          <w:color w:val="000000"/>
          <w:sz w:val="32"/>
          <w:szCs w:val="32"/>
          <w:lang w:val="en-US" w:eastAsia="zh-CN"/>
        </w:rPr>
        <w:fldChar w:fldCharType="separate"/>
      </w:r>
      <w:r>
        <w:rPr>
          <w:rFonts w:hint="eastAsia" w:ascii="仿宋_GB2312" w:hAnsi="仿宋" w:eastAsia="仿宋_GB2312" w:cs="仿宋"/>
          <w:color w:val="000000"/>
          <w:sz w:val="32"/>
          <w:szCs w:val="32"/>
          <w:lang w:val="en-US" w:eastAsia="zh-CN"/>
        </w:rPr>
        <w:t>规定</w:t>
      </w:r>
      <w:r>
        <w:rPr>
          <w:rFonts w:hint="eastAsia" w:ascii="仿宋_GB2312" w:hAnsi="仿宋" w:eastAsia="仿宋_GB2312" w:cs="仿宋"/>
          <w:color w:val="000000"/>
          <w:sz w:val="32"/>
          <w:szCs w:val="32"/>
          <w:lang w:val="en-US" w:eastAsia="zh-CN"/>
        </w:rPr>
        <w:fldChar w:fldCharType="end"/>
      </w:r>
      <w:r>
        <w:rPr>
          <w:rFonts w:hint="eastAsia" w:ascii="仿宋_GB2312" w:hAnsi="仿宋" w:eastAsia="仿宋_GB2312" w:cs="仿宋"/>
          <w:color w:val="000000"/>
          <w:sz w:val="32"/>
          <w:szCs w:val="32"/>
          <w:lang w:val="en-US" w:eastAsia="zh-CN"/>
        </w:rPr>
        <w:t>，让资金的社会、经济、生态、服务对象满意度、可持续发展等效益得到最大优化。</w:t>
      </w:r>
    </w:p>
    <w:p>
      <w:pPr>
        <w:pStyle w:val="3"/>
        <w:rPr>
          <w:rStyle w:val="24"/>
          <w:rFonts w:hint="eastAsia" w:ascii="仿宋" w:hAnsi="仿宋" w:eastAsia="仿宋"/>
          <w:b w:val="0"/>
          <w:bCs w:val="0"/>
          <w:sz w:val="32"/>
          <w:szCs w:val="32"/>
        </w:rPr>
      </w:pPr>
      <w:bookmarkStart w:id="61" w:name="_Toc15396617"/>
    </w:p>
    <w:p>
      <w:pPr>
        <w:pStyle w:val="3"/>
        <w:rPr>
          <w:rStyle w:val="24"/>
          <w:rFonts w:hint="eastAsia" w:ascii="仿宋" w:hAnsi="仿宋" w:eastAsia="仿宋"/>
          <w:b w:val="0"/>
          <w:bCs w:val="0"/>
          <w:sz w:val="32"/>
          <w:szCs w:val="32"/>
          <w:lang w:eastAsia="zh-CN"/>
        </w:rPr>
      </w:pPr>
    </w:p>
    <w:p>
      <w:pPr>
        <w:rPr>
          <w:rStyle w:val="24"/>
          <w:rFonts w:hint="eastAsia" w:ascii="仿宋" w:hAnsi="仿宋" w:eastAsia="仿宋"/>
          <w:b w:val="0"/>
          <w:bCs w:val="0"/>
          <w:sz w:val="32"/>
          <w:szCs w:val="32"/>
          <w:lang w:eastAsia="zh-CN"/>
        </w:rPr>
      </w:pPr>
    </w:p>
    <w:p>
      <w:pPr>
        <w:rPr>
          <w:rStyle w:val="24"/>
          <w:rFonts w:hint="eastAsia" w:ascii="仿宋" w:hAnsi="仿宋" w:eastAsia="仿宋"/>
          <w:b w:val="0"/>
          <w:bCs w:val="0"/>
          <w:sz w:val="32"/>
          <w:szCs w:val="32"/>
          <w:lang w:eastAsia="zh-CN"/>
        </w:rPr>
      </w:pPr>
    </w:p>
    <w:p>
      <w:pPr>
        <w:rPr>
          <w:rStyle w:val="24"/>
          <w:rFonts w:hint="eastAsia" w:ascii="仿宋" w:hAnsi="仿宋" w:eastAsia="仿宋"/>
          <w:b w:val="0"/>
          <w:bCs w:val="0"/>
          <w:sz w:val="32"/>
          <w:szCs w:val="32"/>
          <w:lang w:eastAsia="zh-CN"/>
        </w:rPr>
      </w:pPr>
    </w:p>
    <w:bookmarkEnd w:id="61"/>
    <w:p>
      <w:pPr>
        <w:pStyle w:val="3"/>
        <w:rPr>
          <w:rStyle w:val="24"/>
          <w:rFonts w:hint="eastAsia" w:ascii="仿宋" w:hAnsi="仿宋" w:eastAsia="仿宋"/>
          <w:b w:val="0"/>
          <w:bCs w:val="0"/>
          <w:sz w:val="32"/>
          <w:szCs w:val="32"/>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地方志资料库网站运行维护</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pPr>
        <w:spacing w:line="580" w:lineRule="exact"/>
        <w:ind w:firstLine="640" w:firstLineChars="200"/>
        <w:rPr>
          <w:rFonts w:hint="eastAsia"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1、资料分类整理；2、登记造册；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录入微机；4、制作标识。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b/>
          <w:bCs/>
          <w:color w:val="FF0000"/>
          <w:sz w:val="32"/>
          <w:szCs w:val="32"/>
        </w:rPr>
      </w:pPr>
      <w:r>
        <w:rPr>
          <w:rFonts w:hint="eastAsia" w:ascii="仿宋_GB2312" w:hAnsi="仿宋_GB2312" w:eastAsia="仿宋_GB2312" w:cs="仿宋_GB2312"/>
          <w:sz w:val="32"/>
          <w:szCs w:val="32"/>
          <w:lang w:eastAsia="zh-CN"/>
        </w:rPr>
        <w:t>项目评价得分整体完成较好，项目决策、资金分配、项目管理、目标完成、目标效果均达到了预期值。</w:t>
      </w:r>
    </w:p>
    <w:tbl>
      <w:tblPr>
        <w:tblStyle w:val="12"/>
        <w:tblpPr w:leftFromText="180" w:rightFromText="180" w:vertAnchor="text" w:horzAnchor="page" w:tblpX="419" w:tblpY="477"/>
        <w:tblOverlap w:val="never"/>
        <w:tblW w:w="10789" w:type="dxa"/>
        <w:tblInd w:w="0" w:type="dxa"/>
        <w:shd w:val="clear" w:color="auto" w:fill="auto"/>
        <w:tblLayout w:type="fixed"/>
        <w:tblCellMar>
          <w:top w:w="0" w:type="dxa"/>
          <w:left w:w="0" w:type="dxa"/>
          <w:bottom w:w="0" w:type="dxa"/>
          <w:right w:w="0" w:type="dxa"/>
        </w:tblCellMar>
      </w:tblPr>
      <w:tblGrid>
        <w:gridCol w:w="519"/>
        <w:gridCol w:w="665"/>
        <w:gridCol w:w="898"/>
        <w:gridCol w:w="498"/>
        <w:gridCol w:w="1014"/>
        <w:gridCol w:w="3613"/>
        <w:gridCol w:w="1023"/>
        <w:gridCol w:w="614"/>
        <w:gridCol w:w="641"/>
        <w:gridCol w:w="586"/>
        <w:gridCol w:w="327"/>
        <w:gridCol w:w="391"/>
      </w:tblGrid>
      <w:tr>
        <w:tblPrEx>
          <w:shd w:val="clear" w:color="auto" w:fill="auto"/>
          <w:tblLayout w:type="fixed"/>
          <w:tblCellMar>
            <w:top w:w="0" w:type="dxa"/>
            <w:left w:w="0" w:type="dxa"/>
            <w:bottom w:w="0" w:type="dxa"/>
            <w:right w:w="0" w:type="dxa"/>
          </w:tblCellMar>
        </w:tblPrEx>
        <w:trPr>
          <w:trHeight w:val="285" w:hRule="atLeast"/>
        </w:trPr>
        <w:tc>
          <w:tcPr>
            <w:tcW w:w="5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0789"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旺苍县项目支出绩效评价得分表</w:t>
            </w:r>
          </w:p>
        </w:tc>
      </w:tr>
      <w:tr>
        <w:tblPrEx>
          <w:tblLayout w:type="fixed"/>
          <w:tblCellMar>
            <w:top w:w="0" w:type="dxa"/>
            <w:left w:w="0" w:type="dxa"/>
            <w:bottom w:w="0" w:type="dxa"/>
            <w:right w:w="0" w:type="dxa"/>
          </w:tblCellMar>
        </w:tblPrEx>
        <w:trPr>
          <w:trHeight w:val="42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4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指标评价内容</w:t>
            </w:r>
          </w:p>
        </w:tc>
        <w:tc>
          <w:tcPr>
            <w:tcW w:w="31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评分标准（得分比值）</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较差</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较好</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好</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0.6</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0.8</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项目决策  </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4853120" behindDoc="0" locked="0" layoutInCell="1" allowOverlap="1">
                  <wp:simplePos x="0" y="0"/>
                  <wp:positionH relativeFrom="column">
                    <wp:posOffset>0</wp:posOffset>
                  </wp:positionH>
                  <wp:positionV relativeFrom="paragraph">
                    <wp:posOffset>0</wp:posOffset>
                  </wp:positionV>
                  <wp:extent cx="635" cy="0"/>
                  <wp:effectExtent l="0" t="0" r="0" b="0"/>
                  <wp:wrapNone/>
                  <wp:docPr id="2" name="Line_1"/>
                  <wp:cNvGraphicFramePr/>
                  <a:graphic xmlns:a="http://schemas.openxmlformats.org/drawingml/2006/main">
                    <a:graphicData uri="http://schemas.openxmlformats.org/drawingml/2006/picture">
                      <pic:pic xmlns:pic="http://schemas.openxmlformats.org/drawingml/2006/picture">
                        <pic:nvPicPr>
                          <pic:cNvPr id="2" name="Line_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4853120" behindDoc="0" locked="0" layoutInCell="1" allowOverlap="1">
                  <wp:simplePos x="0" y="0"/>
                  <wp:positionH relativeFrom="column">
                    <wp:posOffset>0</wp:posOffset>
                  </wp:positionH>
                  <wp:positionV relativeFrom="paragraph">
                    <wp:posOffset>0</wp:posOffset>
                  </wp:positionV>
                  <wp:extent cx="635" cy="0"/>
                  <wp:effectExtent l="0" t="0" r="0" b="0"/>
                  <wp:wrapNone/>
                  <wp:docPr id="8" name="Line_3"/>
                  <wp:cNvGraphicFramePr/>
                  <a:graphic xmlns:a="http://schemas.openxmlformats.org/drawingml/2006/main">
                    <a:graphicData uri="http://schemas.openxmlformats.org/drawingml/2006/picture">
                      <pic:pic xmlns:pic="http://schemas.openxmlformats.org/drawingml/2006/picture">
                        <pic:nvPicPr>
                          <pic:cNvPr id="8" name="Line_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4853120" behindDoc="0" locked="0" layoutInCell="1" allowOverlap="1">
                  <wp:simplePos x="0" y="0"/>
                  <wp:positionH relativeFrom="column">
                    <wp:posOffset>0</wp:posOffset>
                  </wp:positionH>
                  <wp:positionV relativeFrom="paragraph">
                    <wp:posOffset>0</wp:posOffset>
                  </wp:positionV>
                  <wp:extent cx="635" cy="0"/>
                  <wp:effectExtent l="0" t="0" r="0" b="0"/>
                  <wp:wrapNone/>
                  <wp:docPr id="3" name="Line_2"/>
                  <wp:cNvGraphicFramePr/>
                  <a:graphic xmlns:a="http://schemas.openxmlformats.org/drawingml/2006/main">
                    <a:graphicData uri="http://schemas.openxmlformats.org/drawingml/2006/picture">
                      <pic:pic xmlns:pic="http://schemas.openxmlformats.org/drawingml/2006/picture">
                        <pic:nvPicPr>
                          <pic:cNvPr id="3" name="Line_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4853120" behindDoc="0" locked="0" layoutInCell="1" allowOverlap="1">
                  <wp:simplePos x="0" y="0"/>
                  <wp:positionH relativeFrom="column">
                    <wp:posOffset>0</wp:posOffset>
                  </wp:positionH>
                  <wp:positionV relativeFrom="paragraph">
                    <wp:posOffset>0</wp:posOffset>
                  </wp:positionV>
                  <wp:extent cx="635" cy="0"/>
                  <wp:effectExtent l="0" t="0" r="0" b="0"/>
                  <wp:wrapNone/>
                  <wp:docPr id="9" name="Line_5"/>
                  <wp:cNvGraphicFramePr/>
                  <a:graphic xmlns:a="http://schemas.openxmlformats.org/drawingml/2006/main">
                    <a:graphicData uri="http://schemas.openxmlformats.org/drawingml/2006/picture">
                      <pic:pic xmlns:pic="http://schemas.openxmlformats.org/drawingml/2006/picture">
                        <pic:nvPicPr>
                          <pic:cNvPr id="9" name="Line_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t>（6分）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绩效目标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目标内容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项目预期提供的产品、服务、效益或其他目标明确</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进度计划</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项目计划实施进度明确</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55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设定精度</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绩效目标设定符合实际需求的抽样项</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目点个数/抽样项目点总数×100%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不明确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基本明确</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49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决策依据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项目符合党中央、国务院和省委、省政府决策部署；</w:t>
            </w:r>
          </w:p>
          <w:p>
            <w:pPr>
              <w:keepNext w:val="0"/>
              <w:keepLines w:val="0"/>
              <w:widowControl/>
              <w:suppressLineNumbers w:val="0"/>
              <w:ind w:right="1092" w:rightChars="52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符合当前经济社会发展需要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不明确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基本明确</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5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实施规划</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连续性项目根据需要制定中长期实施规划</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x＜70%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70%≤x＜80%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80%≤x＜90%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实施规划符合实际，并根据情况变化适时调整</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管理制度</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制定项目资金管理办法</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项目资金分配决策程序明确</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基本符合</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资金分配</w:t>
            </w:r>
          </w:p>
        </w:tc>
        <w:tc>
          <w:tcPr>
            <w:tcW w:w="8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分配方法</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资金分配方法是否科学合理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分配过程</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分配过程符合相关规定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不明确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基本明确</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分配时效</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县级主管部门按规定及时分配资金</w:t>
            </w:r>
          </w:p>
        </w:tc>
        <w:tc>
          <w:tcPr>
            <w:tcW w:w="10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5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县财政部门按规定及时分配资金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分配结果</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审核把关</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符合申报条件的抽样项目点个数/抽样项目点总数×100%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不及时</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资金集中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（均衡）</w:t>
            </w:r>
          </w:p>
        </w:tc>
        <w:tc>
          <w:tcPr>
            <w:tcW w:w="49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集中</w:t>
            </w:r>
          </w:p>
        </w:tc>
        <w:tc>
          <w:tcPr>
            <w:tcW w:w="3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按实际分配结果对单个分配对象分配额度进行分档，以每档分配对象数量判断是否集中安排（2分）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不及时</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6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均衡</w:t>
            </w:r>
          </w:p>
        </w:tc>
        <w:tc>
          <w:tcPr>
            <w:tcW w:w="3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按实际分配结果选择客观因素测算验证资金分配方法制定、分配要素设定、基础数据应用、测算依据选取等是否科学合理（2分）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x＜70%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70%≤x＜80%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80%≤x＜90%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x＝100%</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525"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项目管理</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（4分）资金到位</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资金配套</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项目单位配套资金到位率</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实际到位单位配套资金/计划投入单位配套资金×100%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不集中</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较集中</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2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按规定及时拨付资金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不合理</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较合理</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4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资金管理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使用范围</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专款专用</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x＜80%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80%≤x＜85%</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85%≤x＜90%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90%≤x＜95%</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x≥95%</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34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支付依据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资金支付依据符合规定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严重滞后</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滞后</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较滞后</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较及时</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4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开支标准</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资金开支标准符合规定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财务管理</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财务制度</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财务制度健全，管理规范</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不合规</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较合规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合规</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会计核算</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会计核算规范</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较符合</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组织实施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项目调整</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项目调整严格履行相关手续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不规范</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较规范</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投资变更</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项目投资变更额/项目总投入×100%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不规范</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较规范</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制度执行</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严格执行项目有关制度规定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未履行</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履行</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1275"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目标完成  </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完成数量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项目规模</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实际完成任务量/绩效目标任务量×100%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x＞20%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20%≥x＞15%</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15%≥x＞10%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10%≥x＞5%</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x≤5%</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103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完成质量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项目标准</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符合绩效目标设定的验收标准，达到行业基准水平</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不严格</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较严格</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109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完成时间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项目时限</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（实际完成时间-绩效目标设定完成时间）/绩效目标设定完成时间×100%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x＜85%</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85%≤x＜90%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90%≤x＜95%</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95%≤x＜100%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14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项目效果  </w:t>
            </w:r>
          </w:p>
        </w:tc>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旺苍县项目支出绩效评价指标体系（二）</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Layout w:type="fixed"/>
          <w:tblCellMar>
            <w:top w:w="0" w:type="dxa"/>
            <w:left w:w="0" w:type="dxa"/>
            <w:bottom w:w="0" w:type="dxa"/>
            <w:right w:w="0" w:type="dxa"/>
          </w:tblCellMar>
        </w:tblPrEx>
        <w:trPr>
          <w:trHeight w:val="46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x＞15%</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15%≥x＞10%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10%≥x＞5%</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5%≥x＞0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bl>
    <w:p>
      <w:pPr>
        <w:spacing w:line="580" w:lineRule="exact"/>
        <w:jc w:val="lef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《国务院地方志工作条例》《四川省地方志工作条例》《四川省地方志工作条例</w:t>
      </w:r>
      <w:r>
        <w:rPr>
          <w:rFonts w:hint="eastAsia" w:ascii="仿宋_GB2312" w:hAnsi="仿宋_GB2312" w:eastAsia="仿宋_GB2312" w:cs="仿宋_GB2312"/>
          <w:sz w:val="32"/>
          <w:szCs w:val="32"/>
          <w:lang w:eastAsia="zh-CN"/>
        </w:rPr>
        <w:t>实施办法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，规范整理资料，有效储存资料，方便查阅、收集、存储，为查阅者提供便捷服务。</w:t>
      </w:r>
      <w:r>
        <w:rPr>
          <w:rFonts w:hint="eastAsia" w:ascii="仿宋_GB2312" w:hAnsi="仿宋_GB2312" w:eastAsia="仿宋_GB2312" w:cs="仿宋_GB2312"/>
          <w:sz w:val="32"/>
          <w:szCs w:val="32"/>
        </w:rPr>
        <w:t>绩效目标设置</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数量、质量、时效、成本</w:t>
      </w:r>
      <w:r>
        <w:rPr>
          <w:rFonts w:hint="eastAsia" w:ascii="仿宋_GB2312" w:hAnsi="仿宋_GB2312" w:eastAsia="仿宋_GB2312" w:cs="仿宋_GB2312"/>
          <w:sz w:val="32"/>
          <w:szCs w:val="32"/>
          <w:lang w:eastAsia="zh-CN"/>
        </w:rPr>
        <w:t>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资料分类整理1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册</w:t>
      </w:r>
      <w:r>
        <w:rPr>
          <w:rFonts w:hint="eastAsia" w:ascii="仿宋_GB2312" w:hAnsi="仿宋_GB2312" w:eastAsia="仿宋_GB2312" w:cs="仿宋_GB2312"/>
          <w:sz w:val="32"/>
          <w:szCs w:val="32"/>
          <w:lang w:eastAsia="zh-CN"/>
        </w:rPr>
        <w:t>，登记造册1万册，完成录入微机1万册，制作标识20（件）。共计</w:t>
      </w:r>
      <w:r>
        <w:rPr>
          <w:rFonts w:hint="eastAsia" w:ascii="仿宋_GB2312" w:hAnsi="仿宋_GB2312" w:eastAsia="仿宋_GB2312" w:cs="仿宋_GB2312"/>
          <w:sz w:val="32"/>
          <w:szCs w:val="32"/>
          <w:lang w:val="en-US" w:eastAsia="zh-CN"/>
        </w:rPr>
        <w:t>3.2万元。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b/>
          <w:bCs/>
          <w:color w:val="FF0000"/>
          <w:sz w:val="32"/>
          <w:szCs w:val="32"/>
        </w:rPr>
      </w:pPr>
      <w:r>
        <w:rPr>
          <w:rFonts w:hint="eastAsia" w:ascii="仿宋_GB2312" w:hAnsi="仿宋_GB2312" w:eastAsia="仿宋_GB2312" w:cs="仿宋_GB2312"/>
          <w:sz w:val="32"/>
          <w:szCs w:val="32"/>
          <w:lang w:eastAsia="zh-CN"/>
        </w:rPr>
        <w:t>数量指标：</w:t>
      </w:r>
      <w:r>
        <w:rPr>
          <w:rFonts w:hint="eastAsia" w:ascii="仿宋_GB2312" w:hAnsi="仿宋_GB2312" w:eastAsia="仿宋_GB2312" w:cs="仿宋_GB2312"/>
          <w:sz w:val="32"/>
          <w:szCs w:val="32"/>
        </w:rPr>
        <w:t>资料分类整理1</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册</w:t>
      </w:r>
      <w:r>
        <w:rPr>
          <w:rFonts w:hint="eastAsia" w:ascii="仿宋_GB2312" w:hAnsi="仿宋_GB2312" w:eastAsia="仿宋_GB2312" w:cs="仿宋_GB2312"/>
          <w:sz w:val="32"/>
          <w:szCs w:val="32"/>
          <w:lang w:eastAsia="zh-CN"/>
        </w:rPr>
        <w:t>，登记造册1万册，完成录入微机1万册，制作标识20（件）；质量指标：完成率≥95%；时效指标：</w:t>
      </w:r>
      <w:r>
        <w:rPr>
          <w:rFonts w:hint="eastAsia" w:ascii="仿宋_GB2312" w:hAnsi="仿宋_GB2312" w:eastAsia="仿宋_GB2312" w:cs="仿宋_GB2312"/>
          <w:sz w:val="32"/>
          <w:szCs w:val="32"/>
          <w:lang w:val="en-US" w:eastAsia="zh-CN"/>
        </w:rPr>
        <w:t>2018年12月前；成本指标：</w:t>
      </w:r>
      <w:r>
        <w:rPr>
          <w:rFonts w:hint="eastAsia" w:ascii="仿宋_GB2312" w:hAnsi="仿宋_GB2312" w:eastAsia="仿宋_GB2312" w:cs="仿宋_GB2312"/>
          <w:sz w:val="32"/>
          <w:szCs w:val="32"/>
        </w:rPr>
        <w:t>资料分类整理</w:t>
      </w:r>
      <w:r>
        <w:rPr>
          <w:rFonts w:hint="eastAsia" w:ascii="仿宋_GB2312" w:hAnsi="仿宋_GB2312" w:eastAsia="仿宋_GB2312" w:cs="仿宋_GB2312"/>
          <w:sz w:val="32"/>
          <w:szCs w:val="32"/>
          <w:lang w:val="en-US" w:eastAsia="zh-CN"/>
        </w:rPr>
        <w:t>1元/册</w:t>
      </w:r>
      <w:r>
        <w:rPr>
          <w:rFonts w:hint="eastAsia" w:ascii="仿宋_GB2312" w:hAnsi="仿宋_GB2312" w:eastAsia="仿宋_GB2312" w:cs="仿宋_GB2312"/>
          <w:sz w:val="32"/>
          <w:szCs w:val="32"/>
          <w:lang w:eastAsia="zh-CN"/>
        </w:rPr>
        <w:t>，登记造册</w:t>
      </w:r>
      <w:r>
        <w:rPr>
          <w:rFonts w:hint="eastAsia" w:ascii="仿宋_GB2312" w:hAnsi="仿宋_GB2312" w:eastAsia="仿宋_GB2312" w:cs="仿宋_GB2312"/>
          <w:sz w:val="32"/>
          <w:szCs w:val="32"/>
          <w:lang w:val="en-US" w:eastAsia="zh-CN"/>
        </w:rPr>
        <w:t>1元/册</w:t>
      </w:r>
      <w:r>
        <w:rPr>
          <w:rFonts w:hint="eastAsia" w:ascii="仿宋_GB2312" w:hAnsi="仿宋_GB2312" w:eastAsia="仿宋_GB2312" w:cs="仿宋_GB2312"/>
          <w:sz w:val="32"/>
          <w:szCs w:val="32"/>
          <w:lang w:eastAsia="zh-CN"/>
        </w:rPr>
        <w:t>，录入微机</w:t>
      </w:r>
      <w:r>
        <w:rPr>
          <w:rFonts w:hint="eastAsia" w:ascii="仿宋_GB2312" w:hAnsi="仿宋_GB2312" w:eastAsia="仿宋_GB2312" w:cs="仿宋_GB2312"/>
          <w:sz w:val="32"/>
          <w:szCs w:val="32"/>
          <w:lang w:val="en-US" w:eastAsia="zh-CN"/>
        </w:rPr>
        <w:t>1元/册</w:t>
      </w:r>
      <w:r>
        <w:rPr>
          <w:rFonts w:hint="eastAsia" w:ascii="仿宋_GB2312" w:hAnsi="仿宋_GB2312" w:eastAsia="仿宋_GB2312" w:cs="仿宋_GB2312"/>
          <w:sz w:val="32"/>
          <w:szCs w:val="32"/>
          <w:lang w:eastAsia="zh-CN"/>
        </w:rPr>
        <w:t>，制作标识</w:t>
      </w:r>
      <w:r>
        <w:rPr>
          <w:rFonts w:hint="eastAsia" w:ascii="仿宋_GB2312" w:hAnsi="仿宋_GB2312" w:eastAsia="仿宋_GB2312" w:cs="仿宋_GB2312"/>
          <w:sz w:val="32"/>
          <w:szCs w:val="32"/>
          <w:lang w:val="en-US" w:eastAsia="zh-CN"/>
        </w:rPr>
        <w:t>100元/件；社会效益：促进社会发展，系统记述本县域自然、政治、经济、文化、社会等方面情况；可持续效益：资料使用年限永久；</w:t>
      </w:r>
      <w:r>
        <w:rPr>
          <w:rFonts w:hint="eastAsia" w:ascii="仿宋_GB2312" w:hAnsi="仿宋_GB2312" w:eastAsia="仿宋_GB2312" w:cs="仿宋_GB2312"/>
          <w:sz w:val="32"/>
          <w:szCs w:val="32"/>
        </w:rPr>
        <w:t>受益群体满意度</w:t>
      </w:r>
      <w:r>
        <w:rPr>
          <w:rFonts w:hint="eastAsia" w:ascii="仿宋_GB2312" w:hAnsi="仿宋_GB2312" w:eastAsia="仿宋_GB2312" w:cs="仿宋_GB2312"/>
          <w:sz w:val="32"/>
          <w:szCs w:val="32"/>
          <w:lang w:eastAsia="zh-CN"/>
        </w:rPr>
        <w:t>：≥90%。</w:t>
      </w:r>
      <w:r>
        <w:rPr>
          <w:rFonts w:hint="eastAsia" w:ascii="仿宋" w:hAnsi="仿宋" w:eastAsia="仿宋" w:cs="仿宋_GB2312"/>
          <w:sz w:val="32"/>
          <w:szCs w:val="32"/>
          <w:lang w:val="en-US" w:eastAsia="zh-CN"/>
        </w:rPr>
        <w:t xml:space="preserve"> </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numPr>
          <w:ilvl w:val="0"/>
          <w:numId w:val="0"/>
        </w:numPr>
        <w:spacing w:line="580" w:lineRule="exact"/>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地方志信息化工作推进不够。</w:t>
      </w:r>
    </w:p>
    <w:p>
      <w:pPr>
        <w:numPr>
          <w:ilvl w:val="0"/>
          <w:numId w:val="2"/>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pPr>
        <w:numPr>
          <w:ilvl w:val="0"/>
          <w:numId w:val="0"/>
        </w:numPr>
        <w:spacing w:line="580" w:lineRule="exact"/>
        <w:ind w:firstLine="320" w:firstLineChars="100"/>
        <w:rPr>
          <w:rFonts w:hint="eastAsia" w:ascii="仿宋_GB2312" w:hAnsi="仿宋_GB2312" w:eastAsia="仿宋_GB2312" w:cs="仿宋_GB2312"/>
          <w:sz w:val="32"/>
          <w:szCs w:val="32"/>
          <w:lang w:eastAsia="zh-CN"/>
        </w:rPr>
      </w:pPr>
      <w:bookmarkStart w:id="62" w:name="_Toc15396618"/>
      <w:r>
        <w:rPr>
          <w:rFonts w:hint="eastAsia" w:ascii="仿宋_GB2312" w:hAnsi="仿宋_GB2312" w:eastAsia="仿宋_GB2312" w:cs="仿宋_GB2312"/>
          <w:sz w:val="32"/>
          <w:szCs w:val="32"/>
          <w:lang w:val="en-US" w:eastAsia="zh-CN"/>
        </w:rPr>
        <w:t>加大地方志工作数字化处理，加快地方志工作现代化建设。</w:t>
      </w: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pStyle w:val="3"/>
        <w:rPr>
          <w:rStyle w:val="24"/>
          <w:rFonts w:hint="eastAsia" w:ascii="仿宋" w:hAnsi="仿宋" w:eastAsia="仿宋"/>
          <w:b w:val="0"/>
          <w:bCs w:val="0"/>
          <w:sz w:val="32"/>
          <w:szCs w:val="32"/>
        </w:rPr>
      </w:pPr>
    </w:p>
    <w:p>
      <w:pPr>
        <w:rPr>
          <w:rStyle w:val="24"/>
          <w:rFonts w:hint="eastAsia" w:ascii="仿宋" w:hAnsi="仿宋" w:eastAsia="仿宋"/>
          <w:b w:val="0"/>
          <w:bCs w:val="0"/>
          <w:sz w:val="32"/>
          <w:szCs w:val="32"/>
        </w:rPr>
      </w:pPr>
      <w:r>
        <w:rPr>
          <w:rStyle w:val="24"/>
          <w:rFonts w:hint="eastAsia" w:ascii="仿宋" w:hAnsi="仿宋" w:eastAsia="仿宋"/>
          <w:b w:val="0"/>
          <w:bCs w:val="0"/>
          <w:sz w:val="32"/>
          <w:szCs w:val="32"/>
        </w:rPr>
        <w:br w:type="page"/>
      </w:r>
    </w:p>
    <w:p>
      <w:pPr>
        <w:rPr>
          <w:rFonts w:hint="eastAsia"/>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年鉴志书编纂</w:t>
      </w:r>
      <w:r>
        <w:rPr>
          <w:rFonts w:hint="eastAsia" w:ascii="黑体" w:hAnsi="黑体" w:eastAsia="黑体" w:cs="方正小标宋简体"/>
          <w:sz w:val="44"/>
          <w:szCs w:val="44"/>
        </w:rPr>
        <w:t>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1、制作年鉴纲目；2、发送纲目；3、指导乡镇部门志编纂；4、收集资料；5、总纂；6、校阅（一校、二校、三校）7、到印务公司校阅书稿。</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b/>
          <w:bCs/>
          <w:color w:val="FF0000"/>
          <w:sz w:val="32"/>
          <w:szCs w:val="32"/>
        </w:rPr>
      </w:pPr>
      <w:r>
        <w:rPr>
          <w:rFonts w:hint="eastAsia" w:ascii="仿宋_GB2312" w:hAnsi="仿宋_GB2312" w:eastAsia="仿宋_GB2312" w:cs="仿宋_GB2312"/>
          <w:sz w:val="32"/>
          <w:szCs w:val="32"/>
          <w:lang w:val="en-US" w:eastAsia="zh-CN"/>
        </w:rPr>
        <w:t>项目评价得分整体完成较好，项目决策、资金分配、项目管理、目标完成、目标效果均达到了预期值。</w:t>
      </w:r>
    </w:p>
    <w:tbl>
      <w:tblPr>
        <w:tblStyle w:val="12"/>
        <w:tblpPr w:leftFromText="180" w:rightFromText="180" w:vertAnchor="text" w:horzAnchor="page" w:tblpX="419" w:tblpY="477"/>
        <w:tblOverlap w:val="never"/>
        <w:tblW w:w="10789" w:type="dxa"/>
        <w:tblInd w:w="0" w:type="dxa"/>
        <w:shd w:val="clear" w:color="auto" w:fill="auto"/>
        <w:tblLayout w:type="fixed"/>
        <w:tblCellMar>
          <w:top w:w="0" w:type="dxa"/>
          <w:left w:w="0" w:type="dxa"/>
          <w:bottom w:w="0" w:type="dxa"/>
          <w:right w:w="0" w:type="dxa"/>
        </w:tblCellMar>
      </w:tblPr>
      <w:tblGrid>
        <w:gridCol w:w="519"/>
        <w:gridCol w:w="665"/>
        <w:gridCol w:w="898"/>
        <w:gridCol w:w="498"/>
        <w:gridCol w:w="1014"/>
        <w:gridCol w:w="3613"/>
        <w:gridCol w:w="1023"/>
        <w:gridCol w:w="614"/>
        <w:gridCol w:w="641"/>
        <w:gridCol w:w="586"/>
        <w:gridCol w:w="327"/>
        <w:gridCol w:w="391"/>
      </w:tblGrid>
      <w:tr>
        <w:tblPrEx>
          <w:shd w:val="clear" w:color="auto" w:fill="auto"/>
          <w:tblLayout w:type="fixed"/>
          <w:tblCellMar>
            <w:top w:w="0" w:type="dxa"/>
            <w:left w:w="0" w:type="dxa"/>
            <w:bottom w:w="0" w:type="dxa"/>
            <w:right w:w="0" w:type="dxa"/>
          </w:tblCellMar>
        </w:tblPrEx>
        <w:trPr>
          <w:trHeight w:val="285" w:hRule="atLeast"/>
        </w:trPr>
        <w:tc>
          <w:tcPr>
            <w:tcW w:w="519"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1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1"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50" w:hRule="atLeast"/>
        </w:trPr>
        <w:tc>
          <w:tcPr>
            <w:tcW w:w="10789"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旺苍县项目支出绩效评价得分表</w:t>
            </w:r>
          </w:p>
        </w:tc>
      </w:tr>
      <w:tr>
        <w:tblPrEx>
          <w:tblLayout w:type="fixed"/>
          <w:tblCellMar>
            <w:top w:w="0" w:type="dxa"/>
            <w:left w:w="0" w:type="dxa"/>
            <w:bottom w:w="0" w:type="dxa"/>
            <w:right w:w="0" w:type="dxa"/>
          </w:tblCellMar>
        </w:tblPrEx>
        <w:trPr>
          <w:trHeight w:val="420"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4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指标评价内容</w:t>
            </w:r>
          </w:p>
        </w:tc>
        <w:tc>
          <w:tcPr>
            <w:tcW w:w="319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评分标准（得分比值）</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较差</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较好</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好</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0.3</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0.6</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0.8</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85"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项目决策  </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8049024" behindDoc="0" locked="0" layoutInCell="1" allowOverlap="1">
                  <wp:simplePos x="0" y="0"/>
                  <wp:positionH relativeFrom="column">
                    <wp:posOffset>0</wp:posOffset>
                  </wp:positionH>
                  <wp:positionV relativeFrom="paragraph">
                    <wp:posOffset>0</wp:posOffset>
                  </wp:positionV>
                  <wp:extent cx="635" cy="0"/>
                  <wp:effectExtent l="0" t="0" r="0" b="0"/>
                  <wp:wrapNone/>
                  <wp:docPr id="10" name="Line_1"/>
                  <wp:cNvGraphicFramePr/>
                  <a:graphic xmlns:a="http://schemas.openxmlformats.org/drawingml/2006/main">
                    <a:graphicData uri="http://schemas.openxmlformats.org/drawingml/2006/picture">
                      <pic:pic xmlns:pic="http://schemas.openxmlformats.org/drawingml/2006/picture">
                        <pic:nvPicPr>
                          <pic:cNvPr id="10" name="Line_1"/>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8049024" behindDoc="0" locked="0" layoutInCell="1" allowOverlap="1">
                  <wp:simplePos x="0" y="0"/>
                  <wp:positionH relativeFrom="column">
                    <wp:posOffset>0</wp:posOffset>
                  </wp:positionH>
                  <wp:positionV relativeFrom="paragraph">
                    <wp:posOffset>0</wp:posOffset>
                  </wp:positionV>
                  <wp:extent cx="635" cy="0"/>
                  <wp:effectExtent l="0" t="0" r="0" b="0"/>
                  <wp:wrapNone/>
                  <wp:docPr id="13" name="Line_3"/>
                  <wp:cNvGraphicFramePr/>
                  <a:graphic xmlns:a="http://schemas.openxmlformats.org/drawingml/2006/main">
                    <a:graphicData uri="http://schemas.openxmlformats.org/drawingml/2006/picture">
                      <pic:pic xmlns:pic="http://schemas.openxmlformats.org/drawingml/2006/picture">
                        <pic:nvPicPr>
                          <pic:cNvPr id="13" name="Line_3"/>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8049024" behindDoc="0" locked="0" layoutInCell="1" allowOverlap="1">
                  <wp:simplePos x="0" y="0"/>
                  <wp:positionH relativeFrom="column">
                    <wp:posOffset>0</wp:posOffset>
                  </wp:positionH>
                  <wp:positionV relativeFrom="paragraph">
                    <wp:posOffset>0</wp:posOffset>
                  </wp:positionV>
                  <wp:extent cx="635" cy="0"/>
                  <wp:effectExtent l="0" t="0" r="0" b="0"/>
                  <wp:wrapNone/>
                  <wp:docPr id="14" name="Line_2"/>
                  <wp:cNvGraphicFramePr/>
                  <a:graphic xmlns:a="http://schemas.openxmlformats.org/drawingml/2006/main">
                    <a:graphicData uri="http://schemas.openxmlformats.org/drawingml/2006/picture">
                      <pic:pic xmlns:pic="http://schemas.openxmlformats.org/drawingml/2006/picture">
                        <pic:nvPicPr>
                          <pic:cNvPr id="14" name="Line_2"/>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bdr w:val="single" w:color="000000" w:sz="4" w:space="0"/>
                <w:lang w:val="en-US" w:eastAsia="zh-CN" w:bidi="ar"/>
              </w:rPr>
              <w:drawing>
                <wp:anchor distT="0" distB="0" distL="114300" distR="114300" simplePos="0" relativeHeight="258049024" behindDoc="0" locked="0" layoutInCell="1" allowOverlap="1">
                  <wp:simplePos x="0" y="0"/>
                  <wp:positionH relativeFrom="column">
                    <wp:posOffset>0</wp:posOffset>
                  </wp:positionH>
                  <wp:positionV relativeFrom="paragraph">
                    <wp:posOffset>0</wp:posOffset>
                  </wp:positionV>
                  <wp:extent cx="635" cy="0"/>
                  <wp:effectExtent l="0" t="0" r="0" b="0"/>
                  <wp:wrapNone/>
                  <wp:docPr id="15" name="Line_5"/>
                  <wp:cNvGraphicFramePr/>
                  <a:graphic xmlns:a="http://schemas.openxmlformats.org/drawingml/2006/main">
                    <a:graphicData uri="http://schemas.openxmlformats.org/drawingml/2006/picture">
                      <pic:pic xmlns:pic="http://schemas.openxmlformats.org/drawingml/2006/picture">
                        <pic:nvPicPr>
                          <pic:cNvPr id="15" name="Line_5"/>
                          <pic:cNvPicPr/>
                        </pic:nvPicPr>
                        <pic:blipFill>
                          <a:blip r:embed="rId13"/>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0"/>
                <w:szCs w:val="20"/>
                <w:u w:val="none"/>
                <w:lang w:val="en-US" w:eastAsia="zh-CN" w:bidi="ar"/>
              </w:rPr>
              <w:t>（6分）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绩效目标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目标内容</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项目预期提供的产品、服务、效益或其他目标明确</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进度计划</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项目计划实施进度明确</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55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设定精度</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绩效目标设定符合实际需求的抽样项</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目点个数/抽样项目点总数×100%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不明确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基本明确</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49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决策依据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项目符合党中央、国务院和省委、省政府决策部署；</w:t>
            </w:r>
          </w:p>
          <w:p>
            <w:pPr>
              <w:keepNext w:val="0"/>
              <w:keepLines w:val="0"/>
              <w:widowControl/>
              <w:suppressLineNumbers w:val="0"/>
              <w:ind w:right="1092" w:rightChars="52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符合当前经济社会发展需要</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不明确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基本明确</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5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实施规划</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连续性项目根据需要制定中长期实施规划</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x＜70%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70%≤x＜80%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80%≤x＜90%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实施规划符合实际，并根据情况变化适时调整</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管理制度</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制定项目资金管理办法</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项目资金分配决策程序明确</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基本符合</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资金分配</w:t>
            </w:r>
          </w:p>
        </w:tc>
        <w:tc>
          <w:tcPr>
            <w:tcW w:w="8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分配方法</w:t>
            </w:r>
          </w:p>
        </w:tc>
        <w:tc>
          <w:tcPr>
            <w:tcW w:w="4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资金分配方法是否科学合理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分配过程</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分配过程符合相关规定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不明确</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基本明确</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分配时效</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县级主管部门按规定及时分配资金</w:t>
            </w:r>
          </w:p>
        </w:tc>
        <w:tc>
          <w:tcPr>
            <w:tcW w:w="10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5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县财政部门按规定及时分配资金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8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分配结果</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审核把关</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符合申报条件的抽样项目点个数/抽样项目点总数×100%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不及时</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资金集中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（均衡）</w:t>
            </w:r>
          </w:p>
        </w:tc>
        <w:tc>
          <w:tcPr>
            <w:tcW w:w="49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集中</w:t>
            </w:r>
          </w:p>
        </w:tc>
        <w:tc>
          <w:tcPr>
            <w:tcW w:w="3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按实际分配结果对单个分配对象分配额度进行分档，以每档分配对象数量判断是否集中安排（2分）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不及时</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6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均衡</w:t>
            </w:r>
          </w:p>
        </w:tc>
        <w:tc>
          <w:tcPr>
            <w:tcW w:w="3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按实际分配结果选择客观因素测算验证资金分配方法制定、分配要素设定、基础数据应用、测算依据选取等是否科学合理（2分）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x＜70%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70%≤x＜80%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80%≤x＜90%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x＝100%</w:t>
            </w:r>
          </w:p>
        </w:tc>
        <w:tc>
          <w:tcPr>
            <w:tcW w:w="3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525"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项目管理</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（4分）资金到位</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资金配套</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项目单位配套资金到位率</w:t>
            </w:r>
          </w:p>
        </w:tc>
        <w:tc>
          <w:tcPr>
            <w:tcW w:w="3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实际到位单位配套资金/计划投入单位配套资金×100%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不集中</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较集中</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2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按规定及时拨付资金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不合理</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较合理</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4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资金管理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使用范围</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专款专用</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x＜80%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80%≤x＜85%</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85%≤x＜90%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90%≤x＜95%</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x≥95%</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34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支付依据</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资金支付依据符合规定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严重滞后</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滞后</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较滞后</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较及时</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4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开支标准</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资金开支标准符合规定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财务管理</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财务制度</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财务制度健全，管理规范</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不合规</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较合规</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合规</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54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会计核算</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会计核算规范</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较符合</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组织实施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项目调整</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项目调整严格履行相关手续</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不规范</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较规范</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37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投资变更</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项目投资变更额/项目总投入×100%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不规范</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较规范</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270"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制度执行</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严格执行项目有关制度规定</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未履行</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履行</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1275" w:hRule="atLeast"/>
        </w:trPr>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目标完成  </w:t>
            </w: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完成数量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项目规模</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实际完成任务量/绩效目标任务量×100%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x＞20%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20%≥x＞15%</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15%≥x＞10%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10%≥x＞5%</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x≤5%</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Layout w:type="fixed"/>
          <w:tblCellMar>
            <w:top w:w="0" w:type="dxa"/>
            <w:left w:w="0" w:type="dxa"/>
            <w:bottom w:w="0" w:type="dxa"/>
            <w:right w:w="0" w:type="dxa"/>
          </w:tblCellMar>
        </w:tblPrEx>
        <w:trPr>
          <w:trHeight w:val="103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完成质量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项目标准</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符合绩效目标设定的验收标准，达到行业基准水平</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不严格</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较严格</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严格</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1095" w:hRule="atLeast"/>
        </w:trPr>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完成时间  </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项目时限</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（实际完成时间-绩效目标设定完成时间）/绩效目标设定完成时间×100%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x＜85%</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85%≤x＜90%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90%≤x＜95%</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95%≤x＜100%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x＝100%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142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项目效果  </w:t>
            </w:r>
          </w:p>
        </w:tc>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旺苍县项目支出绩效评价指标体系（二）</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Layout w:type="fixed"/>
          <w:tblCellMar>
            <w:top w:w="0" w:type="dxa"/>
            <w:left w:w="0" w:type="dxa"/>
            <w:bottom w:w="0" w:type="dxa"/>
            <w:right w:w="0" w:type="dxa"/>
          </w:tblCellMar>
        </w:tblPrEx>
        <w:trPr>
          <w:trHeight w:val="465"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668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x＞15%</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15%≥x＞10%</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10%≥x＞5%</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5%≥x＞0</w:t>
            </w:r>
          </w:p>
        </w:tc>
        <w:tc>
          <w:tcPr>
            <w:tcW w:w="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x≤0</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bl>
    <w:p>
      <w:pPr>
        <w:spacing w:line="580" w:lineRule="exact"/>
        <w:jc w:val="lef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根据《国务院地方志工作条例》《四川省地方志工作条例》</w:t>
      </w:r>
      <w:r>
        <w:rPr>
          <w:rFonts w:hint="eastAsia" w:ascii="仿宋_GB2312" w:hAnsi="仿宋_GB2312" w:eastAsia="仿宋_GB2312" w:cs="仿宋_GB2312"/>
          <w:sz w:val="32"/>
          <w:szCs w:val="32"/>
        </w:rPr>
        <w:t>《四川省地方志工作条例</w:t>
      </w:r>
      <w:r>
        <w:rPr>
          <w:rFonts w:hint="eastAsia" w:ascii="仿宋_GB2312" w:hAnsi="仿宋_GB2312" w:eastAsia="仿宋_GB2312" w:cs="仿宋_GB2312"/>
          <w:sz w:val="32"/>
          <w:szCs w:val="32"/>
          <w:lang w:eastAsia="zh-CN"/>
        </w:rPr>
        <w:t>实施办法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，县委政府高度重视年鉴志书编纂，在财力、物力上投入保障，满足县域内的政治、经济、社会发展需要，绩效目标设置包括数量、质量、时效、成本指标。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纲目制作150份1.08万元；乡镇部门志指导2部2万元；完成到印务公司校阅稿400多万字3.6万元。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b/>
          <w:bCs/>
          <w:color w:val="FF0000"/>
          <w:sz w:val="32"/>
          <w:szCs w:val="32"/>
        </w:rPr>
      </w:pPr>
      <w:r>
        <w:rPr>
          <w:rFonts w:hint="eastAsia" w:ascii="仿宋_GB2312" w:hAnsi="仿宋_GB2312" w:eastAsia="仿宋_GB2312" w:cs="仿宋_GB2312"/>
          <w:sz w:val="32"/>
          <w:szCs w:val="32"/>
          <w:lang w:val="en-US" w:eastAsia="zh-CN"/>
        </w:rPr>
        <w:t>数量指标：纲目制作150份、乡镇部门志指导2部、完成到印务公司校阅稿400多万字；质量指标：完成率≥95%；时效指标：2018年12月前；成本指标：纲目制作150份，72元/份，乡镇部门志指导2部，1万元/部，完成到印务公司校阅稿400多万字3.6万元。；社会效益：促进社会发展，系统记述本县域自然、政治、经济、文化、社会等方面情况；可持续效益：资料使用年限永久；受益群体满意度：≥90%。</w:t>
      </w:r>
      <w:r>
        <w:rPr>
          <w:rFonts w:hint="eastAsia" w:ascii="仿宋" w:hAnsi="仿宋" w:eastAsia="仿宋" w:cs="仿宋_GB2312"/>
          <w:sz w:val="32"/>
          <w:szCs w:val="32"/>
          <w:lang w:val="en-US" w:eastAsia="zh-CN"/>
        </w:rPr>
        <w:t xml:space="preserve"> </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（1）编辑人员业务能力提升培训不够。（2）书籍印刷装帧质量有待提高。</w:t>
      </w:r>
    </w:p>
    <w:p>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四、</w:t>
      </w:r>
      <w:r>
        <w:rPr>
          <w:rFonts w:ascii="仿宋" w:hAnsi="仿宋" w:eastAsia="仿宋" w:cs="仿宋_GB2312"/>
          <w:sz w:val="32"/>
          <w:szCs w:val="32"/>
        </w:rPr>
        <w:t>相关措施建议</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组织修志人员参加相关学习培训，提高业务能力水平；加大人力、物力、财力投入，提高年鉴志书印刷质量。</w:t>
      </w:r>
    </w:p>
    <w:bookmarkEnd w:id="57"/>
    <w:bookmarkEnd w:id="62"/>
    <w:p>
      <w:pPr>
        <w:pStyle w:val="3"/>
        <w:rPr>
          <w:rFonts w:hint="eastAsia" w:ascii="仿宋" w:hAnsi="仿宋" w:eastAsia="仿宋"/>
          <w:b w:val="0"/>
          <w:color w:val="000000"/>
        </w:rPr>
      </w:pPr>
      <w:bookmarkStart w:id="63" w:name="_Toc15396619"/>
      <w:r>
        <w:rPr>
          <w:rFonts w:hint="eastAsia" w:ascii="仿宋" w:hAnsi="仿宋" w:eastAsia="仿宋"/>
          <w:b w:val="0"/>
          <w:color w:val="000000"/>
        </w:rPr>
        <w:t>第五部分 附表</w:t>
      </w:r>
    </w:p>
    <w:p>
      <w:pPr>
        <w:pStyle w:val="3"/>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仿宋_GB2312"/>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Tahoma">
    <w:panose1 w:val="020B0604030504040204"/>
    <w:charset w:val="00"/>
    <w:family w:val="auto"/>
    <w:pitch w:val="default"/>
    <w:sig w:usb0="61007A87" w:usb1="80000000" w:usb2="00000008" w:usb3="00000000" w:csb0="200101FF" w:csb1="20280000"/>
  </w:font>
  <w:font w:name="Calibri 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B28F638"/>
    <w:multiLevelType w:val="singleLevel"/>
    <w:tmpl w:val="EB28F638"/>
    <w:lvl w:ilvl="0" w:tentative="0">
      <w:start w:val="2"/>
      <w:numFmt w:val="chineseCounting"/>
      <w:suff w:val="nothing"/>
      <w:lvlText w:val="（%1）"/>
      <w:lvlJc w:val="left"/>
      <w:rPr>
        <w:rFonts w:hint="eastAsia"/>
      </w:rPr>
    </w:lvl>
  </w:abstractNum>
  <w:abstractNum w:abstractNumId="4">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7D8E247D"/>
    <w:multiLevelType w:val="singleLevel"/>
    <w:tmpl w:val="7D8E247D"/>
    <w:lvl w:ilvl="0" w:tentative="0">
      <w:start w:val="2"/>
      <w:numFmt w:val="chineseCounting"/>
      <w:suff w:val="space"/>
      <w:lvlText w:val="第%1部分"/>
      <w:lvlJc w:val="left"/>
      <w:rPr>
        <w:rFonts w:hint="eastAsia"/>
      </w:rPr>
    </w:lvl>
  </w:abstractNum>
  <w:num w:numId="1">
    <w:abstractNumId w:val="7"/>
  </w:num>
  <w:num w:numId="2">
    <w:abstractNumId w:val="5"/>
  </w:num>
  <w:num w:numId="3">
    <w:abstractNumId w:val="1"/>
  </w:num>
  <w:num w:numId="4">
    <w:abstractNumId w:val="6"/>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9D6A6D"/>
    <w:rsid w:val="04944E55"/>
    <w:rsid w:val="08BE49E1"/>
    <w:rsid w:val="098B118A"/>
    <w:rsid w:val="0F191EDC"/>
    <w:rsid w:val="10C055FF"/>
    <w:rsid w:val="13547AE7"/>
    <w:rsid w:val="16BB723D"/>
    <w:rsid w:val="19786E82"/>
    <w:rsid w:val="1A5C4831"/>
    <w:rsid w:val="23DD2A7E"/>
    <w:rsid w:val="240371BF"/>
    <w:rsid w:val="24ED316C"/>
    <w:rsid w:val="29FD04D3"/>
    <w:rsid w:val="2D385843"/>
    <w:rsid w:val="30334EE2"/>
    <w:rsid w:val="319F7F4E"/>
    <w:rsid w:val="32375FE8"/>
    <w:rsid w:val="32A76491"/>
    <w:rsid w:val="342A667E"/>
    <w:rsid w:val="3592482F"/>
    <w:rsid w:val="366E1BFA"/>
    <w:rsid w:val="3AB326B9"/>
    <w:rsid w:val="4234353B"/>
    <w:rsid w:val="43B0102E"/>
    <w:rsid w:val="4B4A2142"/>
    <w:rsid w:val="52062222"/>
    <w:rsid w:val="64FF5AA3"/>
    <w:rsid w:val="664B7C21"/>
    <w:rsid w:val="68B95393"/>
    <w:rsid w:val="69DE382F"/>
    <w:rsid w:val="6A8E3C16"/>
    <w:rsid w:val="6B303925"/>
    <w:rsid w:val="6FD532CC"/>
    <w:rsid w:val="6FE7252D"/>
    <w:rsid w:val="72E13F7E"/>
    <w:rsid w:val="74424421"/>
    <w:rsid w:val="78906E05"/>
    <w:rsid w:val="78955CC3"/>
    <w:rsid w:val="78A60549"/>
    <w:rsid w:val="798F6B64"/>
    <w:rsid w:val="7F5B2E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uiPriority w:val="99"/>
    <w:rPr>
      <w:rFonts w:ascii="Times New Roman" w:hAnsi="Times New Roman"/>
      <w:sz w:val="18"/>
      <w:szCs w:val="18"/>
    </w:rPr>
  </w:style>
  <w:style w:type="character" w:customStyle="1" w:styleId="19">
    <w:name w:val="页脚 Char"/>
    <w:link w:val="8"/>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四号正文"/>
    <w:basedOn w:val="1"/>
    <w:qFormat/>
    <w:uiPriority w:val="0"/>
    <w:pPr>
      <w:spacing w:line="360" w:lineRule="auto"/>
    </w:pPr>
    <w:rPr>
      <w:rFonts w:ascii="??" w:hAnsi="??" w:eastAsia="宋体" w:cs="宋体"/>
      <w:color w:val="00000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Documents%20and%20Settings\Administrator\&#26700;&#38754;\&#26032;&#24314;%20XLSX%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Documents%20and%20Settings\Administrator\&#26700;&#38754;\&#26032;&#24314;%20XLSX%20&#24037;&#20316;&#34920;%20(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Documents%20and%20Settings\Administrator\&#26700;&#38754;\&#26032;&#24314;%20XLSX%20&#24037;&#20316;&#34920;%20(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Documents%20and%20Settings\Administrator\&#26700;&#38754;\&#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Documents%20and%20Settings\Administrator\&#26700;&#38754;\&#26032;&#24314;%20XLSX%20&#24037;&#20316;&#34920;%20(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Documents%20and%20Settings\Administrator\&#26700;&#38754;\&#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Documents%20and%20Settings\Administrator\&#26700;&#38754;\&#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收、支决算总计（万元</a:t>
            </a:r>
            <a:r>
              <a:rPr lang="en-US" altLang="zh-CN"/>
              <a:t>)</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lt1">
                          <a:lumMod val="95000"/>
                          <a:alpha val="54000"/>
                        </a:schemeClr>
                      </a:solidFill>
                    </a:ln>
                    <a:effectLst/>
                  </c:spPr>
                </c15:leaderLines>
              </c:ext>
            </c:extLst>
          </c:dLbls>
          <c:cat>
            <c:numRef>
              <c:f>Sheet1!$A$2:$A$3</c:f>
              <c:numCache>
                <c:formatCode>General</c:formatCode>
                <c:ptCount val="2"/>
              </c:numCache>
            </c:numRef>
          </c:cat>
          <c:val>
            <c:numRef>
              <c:f>Sheet1!$B$2:$B$3</c:f>
              <c:numCache>
                <c:formatCode>General</c:formatCode>
                <c:ptCount val="2"/>
                <c:pt idx="0">
                  <c:v>91.54</c:v>
                </c:pt>
              </c:numCache>
            </c:numRef>
          </c:val>
        </c:ser>
        <c:ser>
          <c:idx val="1"/>
          <c:order val="1"/>
          <c:tx>
            <c:strRef>
              <c:f>Sheet1!$C$1</c:f>
              <c:strCache>
                <c:ptCount val="1"/>
                <c:pt idx="0">
                  <c:v>2017年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lt1">
                          <a:lumMod val="95000"/>
                          <a:alpha val="54000"/>
                        </a:schemeClr>
                      </a:solidFill>
                    </a:ln>
                    <a:effectLst/>
                  </c:spPr>
                </c15:leaderLines>
              </c:ext>
            </c:extLst>
          </c:dLbls>
          <c:cat>
            <c:numRef>
              <c:f>Sheet1!$A$2:$A$3</c:f>
              <c:numCache>
                <c:formatCode>General</c:formatCode>
                <c:ptCount val="2"/>
              </c:numCache>
            </c:numRef>
          </c:cat>
          <c:val>
            <c:numRef>
              <c:f>Sheet1!$C$2:$C$3</c:f>
              <c:numCache>
                <c:formatCode>General</c:formatCode>
                <c:ptCount val="2"/>
                <c:pt idx="0">
                  <c:v>71.2</c:v>
                </c:pt>
              </c:numCache>
            </c:numRef>
          </c:val>
        </c:ser>
        <c:dLbls>
          <c:showLegendKey val="0"/>
          <c:showVal val="1"/>
          <c:showCatName val="0"/>
          <c:showSerName val="0"/>
          <c:showPercent val="0"/>
          <c:showBubbleSize val="0"/>
        </c:dLbls>
        <c:gapWidth val="100"/>
        <c:overlap val="-24"/>
        <c:axId val="199890525"/>
        <c:axId val="570982192"/>
      </c:barChart>
      <c:catAx>
        <c:axId val="199890525"/>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570982192"/>
        <c:crosses val="autoZero"/>
        <c:auto val="1"/>
        <c:lblAlgn val="ctr"/>
        <c:lblOffset val="100"/>
        <c:noMultiLvlLbl val="0"/>
      </c:catAx>
      <c:valAx>
        <c:axId val="5709821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1998905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收入决算结构图</a:t>
            </a:r>
          </a:p>
        </c:rich>
      </c:tx>
      <c:layout>
        <c:manualLayout>
          <c:xMode val="edge"/>
          <c:yMode val="edge"/>
          <c:x val="0.27064886050225"/>
          <c:y val="0.00728862973760933"/>
        </c:manualLayout>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{"一般公共预算财政拨款收入","政府性基金预算财政拨款收入","国有资本经营预算财政拨款收入","经营收入","事业收入","附属单位上缴收入","其他收入"}</c:f>
              <c:strCache>
                <c:ptCount val="7"/>
                <c:pt idx="0">
                  <c:v>一般公共预算财政拨款收入</c:v>
                </c:pt>
                <c:pt idx="1">
                  <c:v>政府性基金预算财政拨款收入</c:v>
                </c:pt>
                <c:pt idx="2">
                  <c:v>国有资本经营预算财政拨款收入</c:v>
                </c:pt>
                <c:pt idx="3">
                  <c:v>经营收入</c:v>
                </c:pt>
                <c:pt idx="4">
                  <c:v>事业收入</c:v>
                </c:pt>
                <c:pt idx="5">
                  <c:v>附属单位上缴收入</c:v>
                </c:pt>
                <c:pt idx="6">
                  <c:v>其他收入</c:v>
                </c:pt>
              </c:strCache>
            </c:strRef>
          </c:cat>
          <c:val>
            <c:numRef>
              <c:f>{68.4,0,0,0,0,0,#N/A}</c:f>
              <c:numCache>
                <c:formatCode>General</c:formatCode>
                <c:ptCount val="7"/>
                <c:pt idx="0">
                  <c:v>68.4</c:v>
                </c:pt>
                <c:pt idx="1">
                  <c:v>0</c:v>
                </c:pt>
                <c:pt idx="2">
                  <c:v>0</c:v>
                </c:pt>
                <c:pt idx="3">
                  <c:v>0</c:v>
                </c:pt>
                <c:pt idx="4">
                  <c:v>0</c:v>
                </c:pt>
                <c:pt idx="5">
                  <c:v>0</c:v>
                </c:pt>
                <c:pt idx="6">
                  <c:v>#N/A</c:v>
                </c:pt>
              </c:numCache>
            </c:numRef>
          </c:val>
        </c:ser>
        <c:ser>
          <c:idx val="1"/>
          <c:order val="1"/>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{"一般公共预算财政拨款收入","政府性基金预算财政拨款收入","国有资本经营预算财政拨款收入","经营收入","事业收入","附属单位上缴收入","其他收入"}</c:f>
              <c:strCache>
                <c:ptCount val="7"/>
                <c:pt idx="0">
                  <c:v>一般公共预算财政拨款收入</c:v>
                </c:pt>
                <c:pt idx="1">
                  <c:v>政府性基金预算财政拨款收入</c:v>
                </c:pt>
                <c:pt idx="2">
                  <c:v>国有资本经营预算财政拨款收入</c:v>
                </c:pt>
                <c:pt idx="3">
                  <c:v>经营收入</c:v>
                </c:pt>
                <c:pt idx="4">
                  <c:v>事业收入</c:v>
                </c:pt>
                <c:pt idx="5">
                  <c:v>附属单位上缴收入</c:v>
                </c:pt>
                <c:pt idx="6">
                  <c:v>其他收入</c:v>
                </c:pt>
              </c:strCache>
            </c:strRef>
          </c:cat>
          <c:val>
            <c:numRef>
              <c:f>{#N/A,#N/A,#N/A,#N/A,#N/A,#N/A,#N/A}</c:f>
              <c:numCache>
                <c:formatCode>General</c:formatCode>
                <c:ptCount val="7"/>
                <c:pt idx="0">
                  <c:v>#N/A</c:v>
                </c:pt>
                <c:pt idx="1">
                  <c:v>#N/A</c:v>
                </c:pt>
                <c:pt idx="2">
                  <c:v>#N/A</c:v>
                </c:pt>
                <c:pt idx="3">
                  <c:v>#N/A</c:v>
                </c:pt>
                <c:pt idx="4">
                  <c:v>#N/A</c:v>
                </c:pt>
                <c:pt idx="5">
                  <c:v>#N/A</c:v>
                </c:pt>
                <c:pt idx="6">
                  <c:v>#N/A</c:v>
                </c:pt>
              </c:numCache>
            </c:numRef>
          </c:val>
        </c:ser>
        <c:ser>
          <c:idx val="2"/>
          <c:order val="2"/>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{"一般公共预算财政拨款收入","政府性基金预算财政拨款收入","国有资本经营预算财政拨款收入","经营收入","事业收入","附属单位上缴收入","其他收入"}</c:f>
              <c:strCache>
                <c:ptCount val="7"/>
                <c:pt idx="0">
                  <c:v>一般公共预算财政拨款收入</c:v>
                </c:pt>
                <c:pt idx="1">
                  <c:v>政府性基金预算财政拨款收入</c:v>
                </c:pt>
                <c:pt idx="2">
                  <c:v>国有资本经营预算财政拨款收入</c:v>
                </c:pt>
                <c:pt idx="3">
                  <c:v>经营收入</c:v>
                </c:pt>
                <c:pt idx="4">
                  <c:v>事业收入</c:v>
                </c:pt>
                <c:pt idx="5">
                  <c:v>附属单位上缴收入</c:v>
                </c:pt>
                <c:pt idx="6">
                  <c:v>其他收入</c:v>
                </c:pt>
              </c:strCache>
            </c:strRef>
          </c:cat>
          <c:val>
            <c:numRef>
              <c:f>{#N/A,#N/A,#N/A,#N/A,#N/A,#N/A,#N/A}</c:f>
              <c:numCache>
                <c:formatCode>General</c:formatCode>
                <c:ptCount val="7"/>
                <c:pt idx="0">
                  <c:v>#N/A</c:v>
                </c:pt>
                <c:pt idx="1">
                  <c:v>#N/A</c:v>
                </c:pt>
                <c:pt idx="2">
                  <c:v>#N/A</c:v>
                </c:pt>
                <c:pt idx="3">
                  <c:v>#N/A</c:v>
                </c:pt>
                <c:pt idx="4">
                  <c:v>#N/A</c:v>
                </c:pt>
                <c:pt idx="5">
                  <c:v>#N/A</c:v>
                </c:pt>
                <c:pt idx="6">
                  <c:v>#N/A</c:v>
                </c:pt>
              </c:numCache>
            </c:numRef>
          </c:val>
        </c:ser>
        <c:ser>
          <c:idx val="3"/>
          <c:order val="3"/>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{"一般公共预算财政拨款收入","政府性基金预算财政拨款收入","国有资本经营预算财政拨款收入","经营收入","事业收入","附属单位上缴收入","其他收入"}</c:f>
              <c:strCache>
                <c:ptCount val="7"/>
                <c:pt idx="0">
                  <c:v>一般公共预算财政拨款收入</c:v>
                </c:pt>
                <c:pt idx="1">
                  <c:v>政府性基金预算财政拨款收入</c:v>
                </c:pt>
                <c:pt idx="2">
                  <c:v>国有资本经营预算财政拨款收入</c:v>
                </c:pt>
                <c:pt idx="3">
                  <c:v>经营收入</c:v>
                </c:pt>
                <c:pt idx="4">
                  <c:v>事业收入</c:v>
                </c:pt>
                <c:pt idx="5">
                  <c:v>附属单位上缴收入</c:v>
                </c:pt>
                <c:pt idx="6">
                  <c:v>其他收入</c:v>
                </c:pt>
              </c:strCache>
            </c:strRef>
          </c:cat>
          <c:val>
            <c:numRef>
              <c:f>{#N/A,#N/A,#N/A,#N/A,#N/A,#N/A,#N/A}</c:f>
              <c:numCache>
                <c:formatCode>General</c:formatCode>
                <c:ptCount val="7"/>
                <c:pt idx="0">
                  <c:v>#N/A</c:v>
                </c:pt>
                <c:pt idx="1">
                  <c:v>#N/A</c:v>
                </c:pt>
                <c:pt idx="2">
                  <c:v>#N/A</c:v>
                </c:pt>
                <c:pt idx="3">
                  <c:v>#N/A</c:v>
                </c:pt>
                <c:pt idx="4">
                  <c:v>#N/A</c:v>
                </c:pt>
                <c:pt idx="5">
                  <c:v>#N/A</c:v>
                </c:pt>
                <c:pt idx="6">
                  <c:v>#N/A</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5172048703017"/>
          <c:y val="0.0264429911856696"/>
        </c:manualLayout>
      </c:layout>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p>
      </c:txPr>
    </c:title>
    <c:autoTitleDeleted val="0"/>
    <c:plotArea>
      <c:layout/>
      <c:pieChart>
        <c:varyColors val="1"/>
        <c:ser>
          <c:idx val="0"/>
          <c:order val="0"/>
          <c:tx>
            <c:strRef>
              <c:f>'[新建 XLSX 工作表 (2).xlsx]Sheet1'!$K$23</c:f>
              <c:strCache>
                <c:ptCount val="1"/>
                <c:pt idx="0">
                  <c:v>支出决算结构图</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'[新建 XLSX 工作表 (2).xlsx]Sheet1'!$J$24:$J$26</c:f>
              <c:strCache>
                <c:ptCount val="3"/>
                <c:pt idx="0">
                  <c:v>基本支出</c:v>
                </c:pt>
                <c:pt idx="1">
                  <c:v>项目支出</c:v>
                </c:pt>
              </c:strCache>
            </c:strRef>
          </c:cat>
          <c:val>
            <c:numRef>
              <c:f>'[新建 XLSX 工作表 (2).xlsx]Sheet1'!$K$24:$K$26</c:f>
              <c:numCache>
                <c:formatCode>0%</c:formatCode>
                <c:ptCount val="3"/>
                <c:pt idx="0">
                  <c:v>0.93</c:v>
                </c:pt>
                <c:pt idx="1">
                  <c:v>0.07</c:v>
                </c:pt>
              </c:numCache>
            </c:numRef>
          </c:val>
        </c:ser>
        <c:ser>
          <c:idx val="1"/>
          <c:order val="1"/>
          <c:tx>
            <c:strRef>
              <c:f>'[新建 XLSX 工作表 (2).xlsx]Sheet1'!$L$23</c:f>
              <c:strCache>
                <c:ptCount val="1"/>
                <c:pt idx="0">
                  <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'[新建 XLSX 工作表 (2).xlsx]Sheet1'!$J$24:$J$26</c:f>
              <c:strCache>
                <c:ptCount val="3"/>
                <c:pt idx="0">
                  <c:v>基本支出</c:v>
                </c:pt>
                <c:pt idx="1">
                  <c:v>项目支出</c:v>
                </c:pt>
              </c:strCache>
            </c:strRef>
          </c:cat>
          <c:val>
            <c:numRef>
              <c:f>'[新建 XLSX 工作表 (2).xlsx]Sheet1'!$L$24:$L$26</c:f>
              <c:numCache>
                <c:formatCode>General</c:formatCode>
                <c:ptCount val="3"/>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t>财政拨款收、支决算总计（万元</a:t>
            </a:r>
            <a:r>
              <a:rPr lang="en-US" altLang="zh-CN"/>
              <a:t>)</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2018年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lt1">
                          <a:lumMod val="95000"/>
                          <a:alpha val="54000"/>
                        </a:schemeClr>
                      </a:solidFill>
                    </a:ln>
                    <a:effectLst/>
                  </c:spPr>
                </c15:leaderLines>
              </c:ext>
            </c:extLst>
          </c:dLbls>
          <c:cat>
            <c:numRef>
              <c:f>Sheet1!$A$2:$A$3</c:f>
              <c:numCache>
                <c:formatCode>General</c:formatCode>
                <c:ptCount val="2"/>
              </c:numCache>
            </c:numRef>
          </c:cat>
          <c:val>
            <c:numRef>
              <c:f>Sheet1!$B$2:$B$3</c:f>
              <c:numCache>
                <c:formatCode>General</c:formatCode>
                <c:ptCount val="2"/>
                <c:pt idx="0">
                  <c:v>91.54</c:v>
                </c:pt>
              </c:numCache>
            </c:numRef>
          </c:val>
        </c:ser>
        <c:ser>
          <c:idx val="1"/>
          <c:order val="1"/>
          <c:tx>
            <c:strRef>
              <c:f>Sheet1!$C$1</c:f>
              <c:strCache>
                <c:ptCount val="1"/>
                <c:pt idx="0">
                  <c:v>2017年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lt1">
                          <a:lumMod val="95000"/>
                          <a:alpha val="54000"/>
                        </a:schemeClr>
                      </a:solidFill>
                    </a:ln>
                    <a:effectLst/>
                  </c:spPr>
                </c15:leaderLines>
              </c:ext>
            </c:extLst>
          </c:dLbls>
          <c:cat>
            <c:numRef>
              <c:f>Sheet1!$A$2:$A$3</c:f>
              <c:numCache>
                <c:formatCode>General</c:formatCode>
                <c:ptCount val="2"/>
              </c:numCache>
            </c:numRef>
          </c:cat>
          <c:val>
            <c:numRef>
              <c:f>Sheet1!$C$2:$C$3</c:f>
              <c:numCache>
                <c:formatCode>General</c:formatCode>
                <c:ptCount val="2"/>
                <c:pt idx="0">
                  <c:v>71.2</c:v>
                </c:pt>
              </c:numCache>
            </c:numRef>
          </c:val>
        </c:ser>
        <c:dLbls>
          <c:showLegendKey val="0"/>
          <c:showVal val="1"/>
          <c:showCatName val="0"/>
          <c:showSerName val="0"/>
          <c:showPercent val="0"/>
          <c:showBubbleSize val="0"/>
        </c:dLbls>
        <c:gapWidth val="100"/>
        <c:overlap val="-24"/>
        <c:axId val="199890525"/>
        <c:axId val="570982192"/>
      </c:barChart>
      <c:catAx>
        <c:axId val="199890525"/>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570982192"/>
        <c:crosses val="autoZero"/>
        <c:auto val="1"/>
        <c:lblAlgn val="ctr"/>
        <c:lblOffset val="100"/>
        <c:noMultiLvlLbl val="0"/>
      </c:catAx>
      <c:valAx>
        <c:axId val="5709821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1998905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p>
      </c:txPr>
    </c:title>
    <c:autoTitleDeleted val="0"/>
    <c:plotArea>
      <c:layout>
        <c:manualLayout>
          <c:layoutTarget val="inner"/>
          <c:xMode val="edge"/>
          <c:yMode val="edge"/>
          <c:x val="0.0684166666666667"/>
          <c:y val="0.180092592592593"/>
          <c:w val="0.903111111111111"/>
          <c:h val="0.708657407407407"/>
        </c:manualLayout>
      </c:layout>
      <c:barChart>
        <c:barDir val="col"/>
        <c:grouping val="clustered"/>
        <c:varyColors val="0"/>
        <c:ser>
          <c:idx val="0"/>
          <c:order val="0"/>
          <c:tx>
            <c:strRef>
              <c:f>'[新建 XLSX 工作表 (2).xlsx]Sheet1'!$K$44</c:f>
              <c:strCache>
                <c:ptCount val="1"/>
                <c:pt idx="0">
                  <c:v>一般公共预算财政拨款支出（万元）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'[新建 XLSX 工作表 (2).xlsx]Sheet1'!$J$45:$J$46</c:f>
              <c:strCache>
                <c:ptCount val="2"/>
                <c:pt idx="0">
                  <c:v>2017年</c:v>
                </c:pt>
                <c:pt idx="1">
                  <c:v>2018年</c:v>
                </c:pt>
              </c:strCache>
            </c:strRef>
          </c:cat>
          <c:val>
            <c:numRef>
              <c:f>'[新建 XLSX 工作表 (2).xlsx]Sheet1'!$K$45:$K$46</c:f>
              <c:numCache>
                <c:formatCode>General</c:formatCode>
                <c:ptCount val="2"/>
                <c:pt idx="0">
                  <c:v>72.07</c:v>
                </c:pt>
                <c:pt idx="1">
                  <c:v>83.58</c:v>
                </c:pt>
              </c:numCache>
            </c:numRef>
          </c:val>
        </c:ser>
        <c:dLbls>
          <c:showLegendKey val="0"/>
          <c:showVal val="0"/>
          <c:showCatName val="0"/>
          <c:showSerName val="0"/>
          <c:showPercent val="0"/>
          <c:showBubbleSize val="0"/>
        </c:dLbls>
        <c:gapWidth val="100"/>
        <c:overlap val="-24"/>
        <c:axId val="391783478"/>
        <c:axId val="577056413"/>
      </c:barChart>
      <c:catAx>
        <c:axId val="391783478"/>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577056413"/>
        <c:crosses val="autoZero"/>
        <c:auto val="1"/>
        <c:lblAlgn val="ctr"/>
        <c:lblOffset val="100"/>
        <c:noMultiLvlLbl val="0"/>
      </c:catAx>
      <c:valAx>
        <c:axId val="57705641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crossAx val="39178347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p>
      </c:txPr>
    </c:title>
    <c:autoTitleDeleted val="0"/>
    <c:plotArea>
      <c:layout/>
      <c:pieChart>
        <c:varyColors val="1"/>
        <c:ser>
          <c:idx val="0"/>
          <c:order val="0"/>
          <c:tx>
            <c:strRef>
              <c:f>'[新建 XLSX 工作表 (2).xlsx]Sheet1'!$T$49</c:f>
              <c:strCache>
                <c:ptCount val="1"/>
                <c:pt idx="0">
                  <c:v>一般公共预算财政拨款支出(万元）</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'[新建 XLSX 工作表 (2).xlsx]Sheet1'!$S$50:$S$53</c:f>
              <c:strCache>
                <c:ptCount val="4"/>
                <c:pt idx="0">
                  <c:v>一般公共服务（类）支出</c:v>
                </c:pt>
                <c:pt idx="1">
                  <c:v>社会保障和就业（类）支出</c:v>
                </c:pt>
                <c:pt idx="2">
                  <c:v>医疗卫生支出</c:v>
                </c:pt>
                <c:pt idx="3">
                  <c:v>住房保障支出</c:v>
                </c:pt>
              </c:strCache>
            </c:strRef>
          </c:cat>
          <c:val>
            <c:numRef>
              <c:f>'[新建 XLSX 工作表 (2).xlsx]Sheet1'!$T$50:$T$53</c:f>
              <c:numCache>
                <c:formatCode>General</c:formatCode>
                <c:ptCount val="4"/>
                <c:pt idx="0">
                  <c:v>78.09</c:v>
                </c:pt>
                <c:pt idx="1">
                  <c:v>1.7</c:v>
                </c:pt>
                <c:pt idx="2">
                  <c:v>0.67</c:v>
                </c:pt>
                <c:pt idx="3">
                  <c:v>3.11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ltLang="zh-CN"/>
              <a:t>“</a:t>
            </a:r>
            <a:r>
              <a:rPr altLang="en-US"/>
              <a:t>三公</a:t>
            </a:r>
            <a:r>
              <a:rPr lang="en-US" altLang="zh-CN"/>
              <a:t>”</a:t>
            </a:r>
            <a:r>
              <a:rPr altLang="en-US"/>
              <a:t>经费财政拨款支出</a:t>
            </a:r>
            <a:endParaRPr altLang="en-US"/>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lumMod val="8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'[新建 XLSX 工作表 (2).xlsx]Sheet1'!$R$66:$R$68</c:f>
              <c:strCache>
                <c:ptCount val="3"/>
                <c:pt idx="0">
                  <c:v>公务接待费</c:v>
                </c:pt>
                <c:pt idx="1">
                  <c:v>因公出国（境）费</c:v>
                </c:pt>
                <c:pt idx="2">
                  <c:v>公务用车购置及运行维护费</c:v>
                </c:pt>
              </c:strCache>
            </c:strRef>
          </c:cat>
          <c:val>
            <c:numRef>
              <c:f>'[新建 XLSX 工作表 (2).xlsx]Sheet1'!$S$66:$S$68</c:f>
              <c:numCache>
                <c:formatCode>0%</c:formatCode>
                <c:ptCount val="3"/>
                <c:pt idx="0">
                  <c:v>1</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8</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木     白</cp:lastModifiedBy>
  <cp:lastPrinted>2019-09-03T07:17:00Z</cp:lastPrinted>
  <dcterms:modified xsi:type="dcterms:W3CDTF">2019-09-05T02:24:11Z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