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adjustRightInd w:val="0"/>
        <w:snapToGrid w:val="0"/>
        <w:spacing w:line="600" w:lineRule="exact"/>
        <w:ind w:firstLine="0" w:firstLineChars="0"/>
        <w:jc w:val="center"/>
        <w:rPr>
          <w:rFonts w:ascii="方正小标宋简体" w:eastAsia="方正小标宋简体" w:cs="Times New Roman"/>
          <w:sz w:val="44"/>
          <w:szCs w:val="36"/>
        </w:rPr>
      </w:pPr>
    </w:p>
    <w:p>
      <w:pPr>
        <w:pStyle w:val="30"/>
        <w:adjustRightInd w:val="0"/>
        <w:snapToGrid w:val="0"/>
        <w:spacing w:line="600" w:lineRule="exact"/>
        <w:ind w:firstLine="0" w:firstLineChars="0"/>
        <w:jc w:val="center"/>
        <w:rPr>
          <w:rFonts w:ascii="方正小标宋简体" w:eastAsia="方正小标宋简体" w:cs="Times New Roman"/>
          <w:sz w:val="44"/>
          <w:szCs w:val="36"/>
        </w:rPr>
      </w:pPr>
    </w:p>
    <w:p>
      <w:pPr>
        <w:pStyle w:val="30"/>
        <w:adjustRightInd w:val="0"/>
        <w:snapToGrid w:val="0"/>
        <w:spacing w:line="600" w:lineRule="exact"/>
        <w:ind w:firstLine="0" w:firstLineChars="0"/>
        <w:jc w:val="center"/>
        <w:rPr>
          <w:rFonts w:ascii="方正小标宋简体" w:eastAsia="方正小标宋简体" w:cs="Times New Roman"/>
          <w:sz w:val="44"/>
          <w:szCs w:val="36"/>
        </w:rPr>
      </w:pPr>
    </w:p>
    <w:p>
      <w:pPr>
        <w:pStyle w:val="30"/>
        <w:adjustRightInd w:val="0"/>
        <w:snapToGrid w:val="0"/>
        <w:spacing w:line="600" w:lineRule="exact"/>
        <w:ind w:firstLine="0" w:firstLineChars="0"/>
        <w:jc w:val="center"/>
        <w:rPr>
          <w:rFonts w:ascii="方正小标宋简体" w:eastAsia="方正小标宋简体" w:cs="Times New Roman"/>
          <w:sz w:val="44"/>
          <w:szCs w:val="36"/>
        </w:rPr>
      </w:pPr>
    </w:p>
    <w:p>
      <w:pPr>
        <w:pStyle w:val="30"/>
        <w:adjustRightInd w:val="0"/>
        <w:snapToGrid w:val="0"/>
        <w:spacing w:line="600" w:lineRule="exact"/>
        <w:ind w:firstLine="0" w:firstLineChars="0"/>
        <w:jc w:val="center"/>
        <w:rPr>
          <w:rFonts w:ascii="方正小标宋简体" w:eastAsia="方正小标宋简体" w:cs="Times New Roman"/>
          <w:sz w:val="44"/>
          <w:szCs w:val="36"/>
        </w:rPr>
      </w:pPr>
    </w:p>
    <w:p>
      <w:pPr>
        <w:pStyle w:val="30"/>
        <w:adjustRightInd w:val="0"/>
        <w:snapToGrid w:val="0"/>
        <w:spacing w:line="600" w:lineRule="exact"/>
        <w:ind w:firstLine="0" w:firstLineChars="0"/>
        <w:jc w:val="center"/>
        <w:rPr>
          <w:rFonts w:ascii="方正小标宋简体" w:eastAsia="方正小标宋简体" w:cs="Times New Roman"/>
          <w:sz w:val="44"/>
          <w:szCs w:val="36"/>
        </w:rPr>
      </w:pPr>
    </w:p>
    <w:p>
      <w:pPr>
        <w:pStyle w:val="30"/>
        <w:adjustRightInd w:val="0"/>
        <w:snapToGrid w:val="0"/>
        <w:spacing w:line="600" w:lineRule="exact"/>
        <w:ind w:firstLine="0" w:firstLineChars="0"/>
        <w:jc w:val="center"/>
        <w:rPr>
          <w:rFonts w:ascii="方正小标宋简体" w:eastAsia="方正小标宋简体" w:cs="Times New Roman"/>
          <w:sz w:val="44"/>
          <w:szCs w:val="36"/>
        </w:rPr>
      </w:pPr>
    </w:p>
    <w:p>
      <w:pPr>
        <w:pStyle w:val="30"/>
        <w:adjustRightInd w:val="0"/>
        <w:snapToGrid w:val="0"/>
        <w:spacing w:line="600" w:lineRule="exact"/>
        <w:ind w:firstLine="0" w:firstLineChars="0"/>
        <w:jc w:val="center"/>
        <w:rPr>
          <w:rFonts w:ascii="方正小标宋简体" w:eastAsia="方正小标宋简体" w:cs="Times New Roman"/>
          <w:sz w:val="44"/>
          <w:szCs w:val="36"/>
        </w:rPr>
      </w:pPr>
    </w:p>
    <w:p>
      <w:pPr>
        <w:pStyle w:val="30"/>
        <w:adjustRightInd w:val="0"/>
        <w:snapToGrid w:val="0"/>
        <w:spacing w:line="600" w:lineRule="exact"/>
        <w:ind w:firstLine="0" w:firstLineChars="0"/>
        <w:jc w:val="center"/>
        <w:rPr>
          <w:rFonts w:ascii="方正小标宋简体" w:eastAsia="方正小标宋简体" w:cs="Times New Roman"/>
          <w:sz w:val="44"/>
          <w:szCs w:val="36"/>
        </w:rPr>
      </w:pPr>
    </w:p>
    <w:p>
      <w:pPr>
        <w:pStyle w:val="30"/>
        <w:adjustRightInd w:val="0"/>
        <w:snapToGrid w:val="0"/>
        <w:spacing w:line="600" w:lineRule="exact"/>
        <w:ind w:firstLine="0" w:firstLineChars="0"/>
        <w:jc w:val="center"/>
        <w:rPr>
          <w:rFonts w:hint="eastAsia" w:ascii="方正小标宋简体" w:eastAsia="方正小标宋简体" w:cs="Times New Roman"/>
          <w:sz w:val="44"/>
          <w:szCs w:val="44"/>
        </w:rPr>
      </w:pPr>
    </w:p>
    <w:p>
      <w:pPr>
        <w:pStyle w:val="30"/>
        <w:adjustRightInd w:val="0"/>
        <w:snapToGrid w:val="0"/>
        <w:spacing w:line="600" w:lineRule="exact"/>
        <w:ind w:firstLine="0" w:firstLineChars="0"/>
        <w:jc w:val="center"/>
        <w:rPr>
          <w:rFonts w:hint="eastAsia" w:ascii="方正小标宋简体" w:eastAsia="方正小标宋简体" w:cs="Times New Roman"/>
          <w:sz w:val="44"/>
          <w:szCs w:val="44"/>
        </w:rPr>
      </w:pPr>
    </w:p>
    <w:p>
      <w:pPr>
        <w:pStyle w:val="30"/>
        <w:adjustRightInd w:val="0"/>
        <w:snapToGrid w:val="0"/>
        <w:spacing w:line="600" w:lineRule="exact"/>
        <w:ind w:firstLine="0" w:firstLineChars="0"/>
        <w:jc w:val="center"/>
        <w:rPr>
          <w:rFonts w:hint="eastAsia" w:ascii="方正小标宋简体" w:eastAsia="方正小标宋简体" w:cs="Times New Roman"/>
          <w:sz w:val="44"/>
          <w:szCs w:val="44"/>
        </w:rPr>
      </w:pPr>
    </w:p>
    <w:p>
      <w:pPr>
        <w:pStyle w:val="30"/>
        <w:adjustRightInd w:val="0"/>
        <w:snapToGrid w:val="0"/>
        <w:spacing w:line="600" w:lineRule="exact"/>
        <w:ind w:firstLine="880" w:firstLineChars="200"/>
        <w:jc w:val="both"/>
        <w:rPr>
          <w:rFonts w:ascii="方正小标宋简体" w:eastAsia="方正小标宋简体" w:cs="Times New Roman"/>
          <w:sz w:val="44"/>
          <w:szCs w:val="44"/>
        </w:rPr>
      </w:pPr>
      <w:r>
        <w:rPr>
          <w:rFonts w:hint="eastAsia" w:ascii="方正小标宋简体" w:eastAsia="方正小标宋简体" w:cs="Times New Roman"/>
          <w:sz w:val="44"/>
          <w:szCs w:val="44"/>
        </w:rPr>
        <w:t>旺苍县“十四五”数字经济和网络安全</w:t>
      </w:r>
    </w:p>
    <w:p>
      <w:pPr>
        <w:pStyle w:val="30"/>
        <w:adjustRightInd w:val="0"/>
        <w:snapToGrid w:val="0"/>
        <w:spacing w:line="600" w:lineRule="exact"/>
        <w:ind w:firstLine="0" w:firstLineChars="0"/>
        <w:jc w:val="center"/>
        <w:rPr>
          <w:rFonts w:ascii="方正小标宋简体" w:eastAsia="方正小标宋简体" w:cs="Times New Roman"/>
          <w:sz w:val="44"/>
          <w:szCs w:val="36"/>
        </w:rPr>
      </w:pPr>
      <w:r>
        <w:rPr>
          <w:rFonts w:hint="eastAsia" w:ascii="方正小标宋简体" w:eastAsia="方正小标宋简体" w:cs="Times New Roman"/>
          <w:sz w:val="44"/>
          <w:szCs w:val="44"/>
        </w:rPr>
        <w:t>发 展 规 划</w:t>
      </w:r>
    </w:p>
    <w:p>
      <w:pPr>
        <w:pStyle w:val="29"/>
        <w:adjustRightInd w:val="0"/>
        <w:snapToGrid w:val="0"/>
        <w:spacing w:line="500" w:lineRule="exact"/>
        <w:ind w:left="0"/>
      </w:pPr>
    </w:p>
    <w:p/>
    <w:p>
      <w:pPr>
        <w:pStyle w:val="2"/>
        <w:ind w:firstLine="320"/>
      </w:pPr>
    </w:p>
    <w:p>
      <w:pPr>
        <w:pStyle w:val="2"/>
        <w:ind w:firstLine="320"/>
      </w:pPr>
    </w:p>
    <w:p>
      <w:pPr>
        <w:sectPr>
          <w:footerReference r:id="rId3" w:type="default"/>
          <w:footerReference r:id="rId4" w:type="even"/>
          <w:pgSz w:w="11906" w:h="16838"/>
          <w:pgMar w:top="1701" w:right="1474" w:bottom="1588" w:left="1588" w:header="851" w:footer="1418" w:gutter="0"/>
          <w:cols w:space="720" w:num="1"/>
          <w:docGrid w:type="lines" w:linePitch="312" w:charSpace="0"/>
        </w:sectPr>
      </w:pPr>
    </w:p>
    <w:p>
      <w:pPr>
        <w:pStyle w:val="29"/>
        <w:adjustRightInd w:val="0"/>
        <w:snapToGrid w:val="0"/>
        <w:spacing w:line="500" w:lineRule="exact"/>
        <w:ind w:left="0" w:firstLine="4000" w:firstLineChars="1000"/>
        <w:jc w:val="both"/>
        <w:rPr>
          <w:rFonts w:ascii="方正小标宋简体" w:hAnsi="Times New Roman" w:eastAsia="方正小标宋简体" w:cs="Times New Roman"/>
          <w:bCs/>
          <w:sz w:val="40"/>
          <w:szCs w:val="40"/>
          <w:lang w:val="zh-CN"/>
        </w:rPr>
      </w:pPr>
      <w:r>
        <w:rPr>
          <w:rFonts w:hint="eastAsia" w:ascii="方正小标宋简体" w:hAnsi="Times New Roman" w:eastAsia="方正小标宋简体" w:cs="Times New Roman"/>
          <w:bCs/>
          <w:sz w:val="40"/>
          <w:szCs w:val="40"/>
          <w:lang w:val="zh-CN"/>
        </w:rPr>
        <w:t>目  录</w:t>
      </w:r>
    </w:p>
    <w:p>
      <w:pPr>
        <w:adjustRightInd w:val="0"/>
        <w:snapToGrid w:val="0"/>
        <w:rPr>
          <w:lang w:val="zh-CN"/>
        </w:rPr>
      </w:pPr>
    </w:p>
    <w:p>
      <w:pPr>
        <w:pStyle w:val="15"/>
        <w:tabs>
          <w:tab w:val="right" w:leader="dot" w:pos="8834"/>
        </w:tabs>
        <w:spacing w:line="380" w:lineRule="exact"/>
        <w:rPr>
          <w:rFonts w:asciiTheme="minorHAnsi" w:hAnsiTheme="minorHAnsi" w:eastAsiaTheme="minorEastAsia" w:cstheme="minorBidi"/>
        </w:rPr>
      </w:pPr>
      <w:r>
        <w:rPr>
          <w:rFonts w:hint="eastAsia" w:ascii="楷体_GB2312" w:hAnsi="Times New Roman" w:eastAsia="楷体_GB2312" w:cs="Times New Roman"/>
          <w:sz w:val="32"/>
          <w:szCs w:val="32"/>
        </w:rPr>
        <w:fldChar w:fldCharType="begin"/>
      </w:r>
      <w:r>
        <w:rPr>
          <w:rFonts w:hint="eastAsia" w:ascii="楷体_GB2312" w:hAnsi="Times New Roman" w:eastAsia="楷体_GB2312" w:cs="Times New Roman"/>
          <w:sz w:val="32"/>
          <w:szCs w:val="32"/>
        </w:rPr>
        <w:instrText xml:space="preserve"> TOC \o "1-3" \h \z \u </w:instrText>
      </w:r>
      <w:r>
        <w:rPr>
          <w:rFonts w:hint="eastAsia" w:ascii="楷体_GB2312" w:hAnsi="Times New Roman" w:eastAsia="楷体_GB2312" w:cs="Times New Roman"/>
          <w:sz w:val="32"/>
          <w:szCs w:val="32"/>
        </w:rPr>
        <w:fldChar w:fldCharType="separate"/>
      </w:r>
      <w:r>
        <w:fldChar w:fldCharType="begin"/>
      </w:r>
      <w:r>
        <w:instrText xml:space="preserve"> HYPERLINK \l "_Toc99320413" </w:instrText>
      </w:r>
      <w:r>
        <w:fldChar w:fldCharType="separate"/>
      </w:r>
      <w:r>
        <w:rPr>
          <w:rStyle w:val="26"/>
          <w:rFonts w:hint="eastAsia" w:eastAsia="黑体" w:cs="Times New Roman"/>
        </w:rPr>
        <w:t>一、规划背景</w:t>
      </w:r>
      <w:r>
        <w:tab/>
      </w:r>
      <w:r>
        <w:fldChar w:fldCharType="begin"/>
      </w:r>
      <w:r>
        <w:instrText xml:space="preserve"> PAGEREF _Toc99320413 \h </w:instrText>
      </w:r>
      <w:r>
        <w:fldChar w:fldCharType="separate"/>
      </w:r>
      <w:r>
        <w:t>1</w:t>
      </w:r>
      <w:r>
        <w:fldChar w:fldCharType="end"/>
      </w:r>
      <w:r>
        <w:fldChar w:fldCharType="end"/>
      </w:r>
    </w:p>
    <w:p>
      <w:pPr>
        <w:pStyle w:val="17"/>
        <w:tabs>
          <w:tab w:val="right" w:leader="dot" w:pos="8834"/>
        </w:tabs>
        <w:spacing w:line="380" w:lineRule="exact"/>
        <w:ind w:left="420"/>
        <w:rPr>
          <w:rFonts w:asciiTheme="minorHAnsi" w:hAnsiTheme="minorHAnsi" w:eastAsiaTheme="minorEastAsia" w:cstheme="minorBidi"/>
        </w:rPr>
      </w:pPr>
      <w:r>
        <w:fldChar w:fldCharType="begin"/>
      </w:r>
      <w:r>
        <w:instrText xml:space="preserve"> HYPERLINK \l "_Toc99320414" </w:instrText>
      </w:r>
      <w:r>
        <w:fldChar w:fldCharType="separate"/>
      </w:r>
      <w:r>
        <w:rPr>
          <w:rStyle w:val="26"/>
          <w:rFonts w:hint="eastAsia" w:ascii="楷体_GB2312" w:eastAsia="楷体_GB2312" w:cs="Times New Roman"/>
        </w:rPr>
        <w:t>（一）发展基础</w:t>
      </w:r>
      <w:r>
        <w:tab/>
      </w:r>
      <w:r>
        <w:fldChar w:fldCharType="begin"/>
      </w:r>
      <w:r>
        <w:instrText xml:space="preserve"> PAGEREF _Toc99320414 \h </w:instrText>
      </w:r>
      <w:r>
        <w:fldChar w:fldCharType="separate"/>
      </w:r>
      <w:r>
        <w:t>1</w:t>
      </w:r>
      <w:r>
        <w:fldChar w:fldCharType="end"/>
      </w:r>
      <w:r>
        <w:fldChar w:fldCharType="end"/>
      </w:r>
    </w:p>
    <w:p>
      <w:pPr>
        <w:pStyle w:val="17"/>
        <w:tabs>
          <w:tab w:val="right" w:leader="dot" w:pos="8834"/>
        </w:tabs>
        <w:spacing w:line="380" w:lineRule="exact"/>
        <w:ind w:left="420"/>
        <w:rPr>
          <w:rFonts w:asciiTheme="minorHAnsi" w:hAnsiTheme="minorHAnsi" w:eastAsiaTheme="minorEastAsia" w:cstheme="minorBidi"/>
        </w:rPr>
      </w:pPr>
      <w:r>
        <w:fldChar w:fldCharType="begin"/>
      </w:r>
      <w:r>
        <w:instrText xml:space="preserve"> HYPERLINK \l "_Toc99320415" </w:instrText>
      </w:r>
      <w:r>
        <w:fldChar w:fldCharType="separate"/>
      </w:r>
      <w:r>
        <w:rPr>
          <w:rStyle w:val="26"/>
          <w:rFonts w:hint="eastAsia" w:ascii="楷体_GB2312" w:eastAsia="楷体_GB2312" w:cs="Times New Roman"/>
        </w:rPr>
        <w:t>（二）存在问题</w:t>
      </w:r>
      <w:r>
        <w:tab/>
      </w:r>
      <w:r>
        <w:fldChar w:fldCharType="begin"/>
      </w:r>
      <w:r>
        <w:instrText xml:space="preserve"> PAGEREF _Toc99320415 \h </w:instrText>
      </w:r>
      <w:r>
        <w:fldChar w:fldCharType="separate"/>
      </w:r>
      <w:r>
        <w:t>3</w:t>
      </w:r>
      <w:r>
        <w:fldChar w:fldCharType="end"/>
      </w:r>
      <w:r>
        <w:fldChar w:fldCharType="end"/>
      </w:r>
    </w:p>
    <w:p>
      <w:pPr>
        <w:pStyle w:val="17"/>
        <w:tabs>
          <w:tab w:val="right" w:leader="dot" w:pos="8834"/>
        </w:tabs>
        <w:spacing w:line="380" w:lineRule="exact"/>
        <w:ind w:left="420"/>
        <w:rPr>
          <w:rFonts w:asciiTheme="minorHAnsi" w:hAnsiTheme="minorHAnsi" w:eastAsiaTheme="minorEastAsia" w:cstheme="minorBidi"/>
        </w:rPr>
      </w:pPr>
      <w:r>
        <w:fldChar w:fldCharType="begin"/>
      </w:r>
      <w:r>
        <w:instrText xml:space="preserve"> HYPERLINK \l "_Toc99320416" </w:instrText>
      </w:r>
      <w:r>
        <w:fldChar w:fldCharType="separate"/>
      </w:r>
      <w:r>
        <w:rPr>
          <w:rStyle w:val="26"/>
          <w:rFonts w:hint="eastAsia" w:ascii="楷体_GB2312" w:eastAsia="楷体_GB2312" w:cs="Times New Roman"/>
        </w:rPr>
        <w:t>（三）面临形势</w:t>
      </w:r>
      <w:r>
        <w:tab/>
      </w:r>
      <w:r>
        <w:fldChar w:fldCharType="begin"/>
      </w:r>
      <w:r>
        <w:instrText xml:space="preserve"> PAGEREF _Toc99320416 \h </w:instrText>
      </w:r>
      <w:r>
        <w:fldChar w:fldCharType="separate"/>
      </w:r>
      <w:r>
        <w:t>4</w:t>
      </w:r>
      <w:r>
        <w:fldChar w:fldCharType="end"/>
      </w:r>
      <w:r>
        <w:fldChar w:fldCharType="end"/>
      </w:r>
    </w:p>
    <w:p>
      <w:pPr>
        <w:pStyle w:val="15"/>
        <w:tabs>
          <w:tab w:val="right" w:leader="dot" w:pos="8834"/>
        </w:tabs>
        <w:spacing w:line="380" w:lineRule="exact"/>
        <w:rPr>
          <w:rFonts w:asciiTheme="minorHAnsi" w:hAnsiTheme="minorHAnsi" w:eastAsiaTheme="minorEastAsia" w:cstheme="minorBidi"/>
        </w:rPr>
      </w:pPr>
      <w:r>
        <w:fldChar w:fldCharType="begin"/>
      </w:r>
      <w:r>
        <w:instrText xml:space="preserve"> HYPERLINK \l "_Toc99320417" </w:instrText>
      </w:r>
      <w:r>
        <w:fldChar w:fldCharType="separate"/>
      </w:r>
      <w:r>
        <w:rPr>
          <w:rStyle w:val="26"/>
          <w:rFonts w:hint="eastAsia" w:eastAsia="黑体" w:cs="Times New Roman"/>
        </w:rPr>
        <w:t>二、总体要求</w:t>
      </w:r>
      <w:r>
        <w:tab/>
      </w:r>
      <w:r>
        <w:fldChar w:fldCharType="begin"/>
      </w:r>
      <w:r>
        <w:instrText xml:space="preserve"> PAGEREF _Toc99320417 \h </w:instrText>
      </w:r>
      <w:r>
        <w:fldChar w:fldCharType="separate"/>
      </w:r>
      <w:r>
        <w:t>5</w:t>
      </w:r>
      <w:r>
        <w:fldChar w:fldCharType="end"/>
      </w:r>
      <w:r>
        <w:fldChar w:fldCharType="end"/>
      </w:r>
    </w:p>
    <w:p>
      <w:pPr>
        <w:pStyle w:val="17"/>
        <w:tabs>
          <w:tab w:val="right" w:leader="dot" w:pos="8834"/>
        </w:tabs>
        <w:spacing w:line="380" w:lineRule="exact"/>
        <w:ind w:left="420"/>
        <w:rPr>
          <w:rFonts w:asciiTheme="minorHAnsi" w:hAnsiTheme="minorHAnsi" w:eastAsiaTheme="minorEastAsia" w:cstheme="minorBidi"/>
        </w:rPr>
      </w:pPr>
      <w:r>
        <w:fldChar w:fldCharType="begin"/>
      </w:r>
      <w:r>
        <w:instrText xml:space="preserve"> HYPERLINK \l "_Toc99320418" </w:instrText>
      </w:r>
      <w:r>
        <w:fldChar w:fldCharType="separate"/>
      </w:r>
      <w:r>
        <w:rPr>
          <w:rStyle w:val="26"/>
          <w:rFonts w:hint="eastAsia" w:ascii="楷体_GB2312" w:eastAsia="楷体_GB2312" w:cs="Times New Roman"/>
        </w:rPr>
        <w:t>（一）指导思想</w:t>
      </w:r>
      <w:r>
        <w:tab/>
      </w:r>
      <w:r>
        <w:fldChar w:fldCharType="begin"/>
      </w:r>
      <w:r>
        <w:instrText xml:space="preserve"> PAGEREF _Toc99320418 \h </w:instrText>
      </w:r>
      <w:r>
        <w:fldChar w:fldCharType="separate"/>
      </w:r>
      <w:r>
        <w:t>5</w:t>
      </w:r>
      <w:r>
        <w:fldChar w:fldCharType="end"/>
      </w:r>
      <w:r>
        <w:fldChar w:fldCharType="end"/>
      </w:r>
    </w:p>
    <w:p>
      <w:pPr>
        <w:pStyle w:val="17"/>
        <w:tabs>
          <w:tab w:val="right" w:leader="dot" w:pos="8834"/>
        </w:tabs>
        <w:spacing w:line="380" w:lineRule="exact"/>
        <w:ind w:left="420"/>
        <w:rPr>
          <w:rFonts w:asciiTheme="minorHAnsi" w:hAnsiTheme="minorHAnsi" w:eastAsiaTheme="minorEastAsia" w:cstheme="minorBidi"/>
        </w:rPr>
      </w:pPr>
      <w:r>
        <w:fldChar w:fldCharType="begin"/>
      </w:r>
      <w:r>
        <w:instrText xml:space="preserve"> HYPERLINK \l "_Toc99320419" </w:instrText>
      </w:r>
      <w:r>
        <w:fldChar w:fldCharType="separate"/>
      </w:r>
      <w:r>
        <w:rPr>
          <w:rStyle w:val="26"/>
          <w:rFonts w:hint="eastAsia" w:ascii="楷体_GB2312" w:eastAsia="楷体_GB2312" w:cs="Times New Roman"/>
        </w:rPr>
        <w:t>（二）基本原则</w:t>
      </w:r>
      <w:r>
        <w:tab/>
      </w:r>
      <w:r>
        <w:fldChar w:fldCharType="begin"/>
      </w:r>
      <w:r>
        <w:instrText xml:space="preserve"> PAGEREF _Toc99320419 \h </w:instrText>
      </w:r>
      <w:r>
        <w:fldChar w:fldCharType="separate"/>
      </w:r>
      <w:r>
        <w:t>6</w:t>
      </w:r>
      <w:r>
        <w:fldChar w:fldCharType="end"/>
      </w:r>
      <w:r>
        <w:fldChar w:fldCharType="end"/>
      </w:r>
    </w:p>
    <w:p>
      <w:pPr>
        <w:pStyle w:val="17"/>
        <w:tabs>
          <w:tab w:val="right" w:leader="dot" w:pos="8834"/>
        </w:tabs>
        <w:spacing w:line="380" w:lineRule="exact"/>
        <w:ind w:left="420"/>
        <w:rPr>
          <w:rFonts w:asciiTheme="minorHAnsi" w:hAnsiTheme="minorHAnsi" w:eastAsiaTheme="minorEastAsia" w:cstheme="minorBidi"/>
        </w:rPr>
      </w:pPr>
      <w:r>
        <w:fldChar w:fldCharType="begin"/>
      </w:r>
      <w:r>
        <w:instrText xml:space="preserve"> HYPERLINK \l "_Toc99320420" </w:instrText>
      </w:r>
      <w:r>
        <w:fldChar w:fldCharType="separate"/>
      </w:r>
      <w:r>
        <w:rPr>
          <w:rStyle w:val="26"/>
          <w:rFonts w:hint="eastAsia" w:ascii="楷体_GB2312" w:eastAsia="楷体_GB2312" w:cs="Times New Roman"/>
        </w:rPr>
        <w:t>（三）主要目标</w:t>
      </w:r>
      <w:r>
        <w:tab/>
      </w:r>
      <w:r>
        <w:fldChar w:fldCharType="begin"/>
      </w:r>
      <w:r>
        <w:instrText xml:space="preserve"> PAGEREF _Toc99320420 \h </w:instrText>
      </w:r>
      <w:r>
        <w:fldChar w:fldCharType="separate"/>
      </w:r>
      <w:r>
        <w:t>7</w:t>
      </w:r>
      <w:r>
        <w:fldChar w:fldCharType="end"/>
      </w:r>
      <w:r>
        <w:fldChar w:fldCharType="end"/>
      </w:r>
    </w:p>
    <w:p>
      <w:pPr>
        <w:pStyle w:val="15"/>
        <w:tabs>
          <w:tab w:val="right" w:leader="dot" w:pos="8834"/>
        </w:tabs>
        <w:spacing w:line="380" w:lineRule="exact"/>
        <w:rPr>
          <w:rFonts w:asciiTheme="minorHAnsi" w:hAnsiTheme="minorHAnsi" w:eastAsiaTheme="minorEastAsia" w:cstheme="minorBidi"/>
        </w:rPr>
      </w:pPr>
      <w:r>
        <w:fldChar w:fldCharType="begin"/>
      </w:r>
      <w:r>
        <w:instrText xml:space="preserve"> HYPERLINK \l "_Toc99320421" </w:instrText>
      </w:r>
      <w:r>
        <w:fldChar w:fldCharType="separate"/>
      </w:r>
      <w:r>
        <w:rPr>
          <w:rStyle w:val="26"/>
          <w:rFonts w:hint="eastAsia" w:eastAsia="黑体" w:cs="Times New Roman"/>
        </w:rPr>
        <w:t>三、完善数字经济基础设施体系</w:t>
      </w:r>
      <w:r>
        <w:tab/>
      </w:r>
      <w:r>
        <w:fldChar w:fldCharType="begin"/>
      </w:r>
      <w:r>
        <w:instrText xml:space="preserve"> PAGEREF _Toc99320421 \h </w:instrText>
      </w:r>
      <w:r>
        <w:fldChar w:fldCharType="separate"/>
      </w:r>
      <w:r>
        <w:t>8</w:t>
      </w:r>
      <w:r>
        <w:fldChar w:fldCharType="end"/>
      </w:r>
      <w:r>
        <w:fldChar w:fldCharType="end"/>
      </w:r>
    </w:p>
    <w:p>
      <w:pPr>
        <w:pStyle w:val="17"/>
        <w:tabs>
          <w:tab w:val="right" w:leader="dot" w:pos="8834"/>
        </w:tabs>
        <w:spacing w:line="380" w:lineRule="exact"/>
        <w:ind w:left="420"/>
        <w:rPr>
          <w:rFonts w:asciiTheme="minorHAnsi" w:hAnsiTheme="minorHAnsi" w:eastAsiaTheme="minorEastAsia" w:cstheme="minorBidi"/>
        </w:rPr>
      </w:pPr>
      <w:r>
        <w:fldChar w:fldCharType="begin"/>
      </w:r>
      <w:r>
        <w:instrText xml:space="preserve"> HYPERLINK \l "_Toc99320422" </w:instrText>
      </w:r>
      <w:r>
        <w:fldChar w:fldCharType="separate"/>
      </w:r>
      <w:r>
        <w:rPr>
          <w:rStyle w:val="26"/>
          <w:rFonts w:hint="eastAsia" w:ascii="楷体_GB2312" w:eastAsia="楷体_GB2312" w:cs="Times New Roman"/>
        </w:rPr>
        <w:t>（一）加快信息基础设施演进与升级</w:t>
      </w:r>
      <w:r>
        <w:tab/>
      </w:r>
      <w:r>
        <w:fldChar w:fldCharType="begin"/>
      </w:r>
      <w:r>
        <w:instrText xml:space="preserve"> PAGEREF _Toc99320422 \h </w:instrText>
      </w:r>
      <w:r>
        <w:fldChar w:fldCharType="separate"/>
      </w:r>
      <w:r>
        <w:t>9</w:t>
      </w:r>
      <w:r>
        <w:fldChar w:fldCharType="end"/>
      </w:r>
      <w:r>
        <w:fldChar w:fldCharType="end"/>
      </w:r>
    </w:p>
    <w:p>
      <w:pPr>
        <w:pStyle w:val="17"/>
        <w:tabs>
          <w:tab w:val="right" w:leader="dot" w:pos="8834"/>
        </w:tabs>
        <w:spacing w:line="380" w:lineRule="exact"/>
        <w:ind w:left="420"/>
        <w:rPr>
          <w:rFonts w:asciiTheme="minorHAnsi" w:hAnsiTheme="minorHAnsi" w:eastAsiaTheme="minorEastAsia" w:cstheme="minorBidi"/>
        </w:rPr>
      </w:pPr>
      <w:r>
        <w:fldChar w:fldCharType="begin"/>
      </w:r>
      <w:r>
        <w:instrText xml:space="preserve"> HYPERLINK \l "_Toc99320423" </w:instrText>
      </w:r>
      <w:r>
        <w:fldChar w:fldCharType="separate"/>
      </w:r>
      <w:r>
        <w:rPr>
          <w:rStyle w:val="26"/>
          <w:rFonts w:hint="eastAsia" w:ascii="楷体_GB2312" w:eastAsia="楷体_GB2312" w:cs="Times New Roman"/>
        </w:rPr>
        <w:t>（二）加快新型数字化基础设施建设</w:t>
      </w:r>
      <w:r>
        <w:tab/>
      </w:r>
      <w:r>
        <w:fldChar w:fldCharType="begin"/>
      </w:r>
      <w:r>
        <w:instrText xml:space="preserve"> PAGEREF _Toc99320423 \h </w:instrText>
      </w:r>
      <w:r>
        <w:fldChar w:fldCharType="separate"/>
      </w:r>
      <w:r>
        <w:t>9</w:t>
      </w:r>
      <w:r>
        <w:fldChar w:fldCharType="end"/>
      </w:r>
      <w:r>
        <w:fldChar w:fldCharType="end"/>
      </w:r>
    </w:p>
    <w:p>
      <w:pPr>
        <w:pStyle w:val="15"/>
        <w:tabs>
          <w:tab w:val="right" w:leader="dot" w:pos="8834"/>
        </w:tabs>
        <w:spacing w:line="380" w:lineRule="exact"/>
        <w:rPr>
          <w:rFonts w:asciiTheme="minorHAnsi" w:hAnsiTheme="minorHAnsi" w:eastAsiaTheme="minorEastAsia" w:cstheme="minorBidi"/>
        </w:rPr>
      </w:pPr>
      <w:r>
        <w:fldChar w:fldCharType="begin"/>
      </w:r>
      <w:r>
        <w:instrText xml:space="preserve"> HYPERLINK \l "_Toc99320424" </w:instrText>
      </w:r>
      <w:r>
        <w:fldChar w:fldCharType="separate"/>
      </w:r>
      <w:r>
        <w:rPr>
          <w:rStyle w:val="26"/>
          <w:rFonts w:hint="eastAsia" w:eastAsia="黑体" w:cs="Times New Roman"/>
        </w:rPr>
        <w:t>四、推动产业数字化转型和升级</w:t>
      </w:r>
      <w:r>
        <w:tab/>
      </w:r>
      <w:r>
        <w:fldChar w:fldCharType="begin"/>
      </w:r>
      <w:r>
        <w:instrText xml:space="preserve"> PAGEREF _Toc99320424 \h </w:instrText>
      </w:r>
      <w:r>
        <w:fldChar w:fldCharType="separate"/>
      </w:r>
      <w:r>
        <w:t>11</w:t>
      </w:r>
      <w:r>
        <w:fldChar w:fldCharType="end"/>
      </w:r>
      <w:r>
        <w:fldChar w:fldCharType="end"/>
      </w:r>
    </w:p>
    <w:p>
      <w:pPr>
        <w:pStyle w:val="17"/>
        <w:tabs>
          <w:tab w:val="right" w:leader="dot" w:pos="8834"/>
        </w:tabs>
        <w:spacing w:line="380" w:lineRule="exact"/>
        <w:ind w:left="420"/>
        <w:rPr>
          <w:rFonts w:asciiTheme="minorHAnsi" w:hAnsiTheme="minorHAnsi" w:eastAsiaTheme="minorEastAsia" w:cstheme="minorBidi"/>
        </w:rPr>
      </w:pPr>
      <w:r>
        <w:fldChar w:fldCharType="begin"/>
      </w:r>
      <w:r>
        <w:instrText xml:space="preserve"> HYPERLINK \l "_Toc99320425" </w:instrText>
      </w:r>
      <w:r>
        <w:fldChar w:fldCharType="separate"/>
      </w:r>
      <w:r>
        <w:rPr>
          <w:rStyle w:val="26"/>
          <w:rFonts w:hint="eastAsia" w:ascii="楷体_GB2312" w:eastAsia="楷体_GB2312" w:cs="Times New Roman"/>
        </w:rPr>
        <w:t>（一）关键基础产业数字化升级改造</w:t>
      </w:r>
      <w:r>
        <w:tab/>
      </w:r>
      <w:r>
        <w:fldChar w:fldCharType="begin"/>
      </w:r>
      <w:r>
        <w:instrText xml:space="preserve"> PAGEREF _Toc99320425 \h </w:instrText>
      </w:r>
      <w:r>
        <w:fldChar w:fldCharType="separate"/>
      </w:r>
      <w:r>
        <w:t>11</w:t>
      </w:r>
      <w:r>
        <w:fldChar w:fldCharType="end"/>
      </w:r>
      <w:r>
        <w:fldChar w:fldCharType="end"/>
      </w:r>
    </w:p>
    <w:p>
      <w:pPr>
        <w:pStyle w:val="17"/>
        <w:tabs>
          <w:tab w:val="right" w:leader="dot" w:pos="8834"/>
        </w:tabs>
        <w:spacing w:line="380" w:lineRule="exact"/>
        <w:ind w:left="420"/>
        <w:rPr>
          <w:rFonts w:asciiTheme="minorHAnsi" w:hAnsiTheme="minorHAnsi" w:eastAsiaTheme="minorEastAsia" w:cstheme="minorBidi"/>
        </w:rPr>
      </w:pPr>
      <w:r>
        <w:fldChar w:fldCharType="begin"/>
      </w:r>
      <w:r>
        <w:instrText xml:space="preserve"> HYPERLINK \l "_Toc99320426" </w:instrText>
      </w:r>
      <w:r>
        <w:fldChar w:fldCharType="separate"/>
      </w:r>
      <w:r>
        <w:rPr>
          <w:rStyle w:val="26"/>
          <w:rFonts w:hint="eastAsia" w:ascii="楷体_GB2312" w:eastAsia="楷体_GB2312" w:cs="Times New Roman"/>
        </w:rPr>
        <w:t>（二）重点龙头产业数字化转型升级</w:t>
      </w:r>
      <w:r>
        <w:tab/>
      </w:r>
      <w:r>
        <w:fldChar w:fldCharType="begin"/>
      </w:r>
      <w:r>
        <w:instrText xml:space="preserve"> PAGEREF _Toc99320426 \h </w:instrText>
      </w:r>
      <w:r>
        <w:fldChar w:fldCharType="separate"/>
      </w:r>
      <w:r>
        <w:t>12</w:t>
      </w:r>
      <w:r>
        <w:fldChar w:fldCharType="end"/>
      </w:r>
      <w:r>
        <w:fldChar w:fldCharType="end"/>
      </w:r>
    </w:p>
    <w:p>
      <w:pPr>
        <w:pStyle w:val="15"/>
        <w:tabs>
          <w:tab w:val="right" w:leader="dot" w:pos="8834"/>
        </w:tabs>
        <w:spacing w:line="380" w:lineRule="exact"/>
        <w:rPr>
          <w:rFonts w:asciiTheme="minorHAnsi" w:hAnsiTheme="minorHAnsi" w:eastAsiaTheme="minorEastAsia" w:cstheme="minorBidi"/>
        </w:rPr>
      </w:pPr>
      <w:r>
        <w:fldChar w:fldCharType="begin"/>
      </w:r>
      <w:r>
        <w:instrText xml:space="preserve"> HYPERLINK \l "_Toc99320427" </w:instrText>
      </w:r>
      <w:r>
        <w:fldChar w:fldCharType="separate"/>
      </w:r>
      <w:r>
        <w:rPr>
          <w:rStyle w:val="26"/>
          <w:rFonts w:hint="eastAsia" w:eastAsia="黑体" w:cs="Times New Roman"/>
        </w:rPr>
        <w:t>五、提升数字社会综合治理能力</w:t>
      </w:r>
      <w:r>
        <w:tab/>
      </w:r>
      <w:r>
        <w:fldChar w:fldCharType="begin"/>
      </w:r>
      <w:r>
        <w:instrText xml:space="preserve"> PAGEREF _Toc99320427 \h </w:instrText>
      </w:r>
      <w:r>
        <w:fldChar w:fldCharType="separate"/>
      </w:r>
      <w:r>
        <w:t>14</w:t>
      </w:r>
      <w:r>
        <w:fldChar w:fldCharType="end"/>
      </w:r>
      <w:r>
        <w:fldChar w:fldCharType="end"/>
      </w:r>
    </w:p>
    <w:p>
      <w:pPr>
        <w:pStyle w:val="17"/>
        <w:tabs>
          <w:tab w:val="right" w:leader="dot" w:pos="8834"/>
        </w:tabs>
        <w:spacing w:line="380" w:lineRule="exact"/>
        <w:ind w:left="420"/>
        <w:rPr>
          <w:rFonts w:asciiTheme="minorHAnsi" w:hAnsiTheme="minorHAnsi" w:eastAsiaTheme="minorEastAsia" w:cstheme="minorBidi"/>
        </w:rPr>
      </w:pPr>
      <w:r>
        <w:fldChar w:fldCharType="begin"/>
      </w:r>
      <w:r>
        <w:instrText xml:space="preserve"> HYPERLINK \l "_Toc99320428" </w:instrText>
      </w:r>
      <w:r>
        <w:fldChar w:fldCharType="separate"/>
      </w:r>
      <w:r>
        <w:rPr>
          <w:rStyle w:val="26"/>
          <w:rFonts w:hint="eastAsia" w:ascii="楷体_GB2312" w:eastAsia="楷体_GB2312" w:cs="Times New Roman"/>
        </w:rPr>
        <w:t>（一）大力推进“互联网</w:t>
      </w:r>
      <w:r>
        <w:rPr>
          <w:rStyle w:val="26"/>
          <w:rFonts w:ascii="楷体_GB2312" w:eastAsia="楷体_GB2312" w:cs="Times New Roman"/>
        </w:rPr>
        <w:t>+</w:t>
      </w:r>
      <w:r>
        <w:rPr>
          <w:rStyle w:val="26"/>
          <w:rFonts w:hint="eastAsia" w:ascii="楷体_GB2312" w:eastAsia="楷体_GB2312" w:cs="Times New Roman"/>
        </w:rPr>
        <w:t>”政务服务</w:t>
      </w:r>
      <w:r>
        <w:tab/>
      </w:r>
      <w:r>
        <w:fldChar w:fldCharType="begin"/>
      </w:r>
      <w:r>
        <w:instrText xml:space="preserve"> PAGEREF _Toc99320428 \h </w:instrText>
      </w:r>
      <w:r>
        <w:fldChar w:fldCharType="separate"/>
      </w:r>
      <w:r>
        <w:t>14</w:t>
      </w:r>
      <w:r>
        <w:fldChar w:fldCharType="end"/>
      </w:r>
      <w:r>
        <w:fldChar w:fldCharType="end"/>
      </w:r>
    </w:p>
    <w:p>
      <w:pPr>
        <w:pStyle w:val="17"/>
        <w:tabs>
          <w:tab w:val="right" w:leader="dot" w:pos="8834"/>
        </w:tabs>
        <w:spacing w:line="380" w:lineRule="exact"/>
        <w:ind w:left="420"/>
        <w:rPr>
          <w:rFonts w:asciiTheme="minorHAnsi" w:hAnsiTheme="minorHAnsi" w:eastAsiaTheme="minorEastAsia" w:cstheme="minorBidi"/>
        </w:rPr>
      </w:pPr>
      <w:r>
        <w:fldChar w:fldCharType="begin"/>
      </w:r>
      <w:r>
        <w:instrText xml:space="preserve"> HYPERLINK \l "_Toc99320429" </w:instrText>
      </w:r>
      <w:r>
        <w:fldChar w:fldCharType="separate"/>
      </w:r>
      <w:r>
        <w:rPr>
          <w:rStyle w:val="26"/>
          <w:rFonts w:hint="eastAsia" w:ascii="楷体_GB2312" w:eastAsia="楷体_GB2312" w:cs="Times New Roman"/>
        </w:rPr>
        <w:t>（二）着力发展“互联网</w:t>
      </w:r>
      <w:r>
        <w:rPr>
          <w:rStyle w:val="26"/>
          <w:rFonts w:ascii="楷体_GB2312" w:eastAsia="楷体_GB2312" w:cs="Times New Roman"/>
        </w:rPr>
        <w:t>+</w:t>
      </w:r>
      <w:r>
        <w:rPr>
          <w:rStyle w:val="26"/>
          <w:rFonts w:hint="eastAsia" w:ascii="楷体_GB2312" w:eastAsia="楷体_GB2312" w:cs="Times New Roman"/>
        </w:rPr>
        <w:t>”民生服务</w:t>
      </w:r>
      <w:r>
        <w:tab/>
      </w:r>
      <w:r>
        <w:fldChar w:fldCharType="begin"/>
      </w:r>
      <w:r>
        <w:instrText xml:space="preserve"> PAGEREF _Toc99320429 \h </w:instrText>
      </w:r>
      <w:r>
        <w:fldChar w:fldCharType="separate"/>
      </w:r>
      <w:r>
        <w:t>14</w:t>
      </w:r>
      <w:r>
        <w:fldChar w:fldCharType="end"/>
      </w:r>
      <w:r>
        <w:fldChar w:fldCharType="end"/>
      </w:r>
    </w:p>
    <w:p>
      <w:pPr>
        <w:pStyle w:val="17"/>
        <w:tabs>
          <w:tab w:val="right" w:leader="dot" w:pos="8834"/>
        </w:tabs>
        <w:spacing w:line="380" w:lineRule="exact"/>
        <w:ind w:left="420"/>
        <w:rPr>
          <w:rFonts w:asciiTheme="minorHAnsi" w:hAnsiTheme="minorHAnsi" w:eastAsiaTheme="minorEastAsia" w:cstheme="minorBidi"/>
        </w:rPr>
      </w:pPr>
      <w:r>
        <w:fldChar w:fldCharType="begin"/>
      </w:r>
      <w:r>
        <w:instrText xml:space="preserve"> HYPERLINK \l "_Toc99320430" </w:instrText>
      </w:r>
      <w:r>
        <w:fldChar w:fldCharType="separate"/>
      </w:r>
      <w:r>
        <w:rPr>
          <w:rStyle w:val="26"/>
          <w:rFonts w:hint="eastAsia" w:ascii="楷体_GB2312" w:eastAsia="楷体_GB2312" w:cs="Times New Roman"/>
        </w:rPr>
        <w:t>（三）加快推进“互联网</w:t>
      </w:r>
      <w:r>
        <w:rPr>
          <w:rStyle w:val="26"/>
          <w:rFonts w:ascii="楷体_GB2312" w:eastAsia="楷体_GB2312" w:cs="Times New Roman"/>
        </w:rPr>
        <w:t>+</w:t>
      </w:r>
      <w:r>
        <w:rPr>
          <w:rStyle w:val="26"/>
          <w:rFonts w:hint="eastAsia" w:ascii="楷体_GB2312" w:eastAsia="楷体_GB2312" w:cs="Times New Roman"/>
        </w:rPr>
        <w:t>”监管服务</w:t>
      </w:r>
      <w:r>
        <w:tab/>
      </w:r>
      <w:r>
        <w:fldChar w:fldCharType="begin"/>
      </w:r>
      <w:r>
        <w:instrText xml:space="preserve"> PAGEREF _Toc99320430 \h </w:instrText>
      </w:r>
      <w:r>
        <w:fldChar w:fldCharType="separate"/>
      </w:r>
      <w:r>
        <w:t>15</w:t>
      </w:r>
      <w:r>
        <w:fldChar w:fldCharType="end"/>
      </w:r>
      <w:r>
        <w:fldChar w:fldCharType="end"/>
      </w:r>
    </w:p>
    <w:p>
      <w:pPr>
        <w:pStyle w:val="15"/>
        <w:tabs>
          <w:tab w:val="right" w:leader="dot" w:pos="8834"/>
        </w:tabs>
        <w:spacing w:line="380" w:lineRule="exact"/>
        <w:rPr>
          <w:rFonts w:asciiTheme="minorHAnsi" w:hAnsiTheme="minorHAnsi" w:eastAsiaTheme="minorEastAsia" w:cstheme="minorBidi"/>
        </w:rPr>
      </w:pPr>
      <w:r>
        <w:fldChar w:fldCharType="begin"/>
      </w:r>
      <w:r>
        <w:instrText xml:space="preserve"> HYPERLINK \l "_Toc99320431" </w:instrText>
      </w:r>
      <w:r>
        <w:fldChar w:fldCharType="separate"/>
      </w:r>
      <w:r>
        <w:rPr>
          <w:rStyle w:val="26"/>
          <w:rFonts w:hint="eastAsia" w:eastAsia="黑体" w:cs="Times New Roman"/>
        </w:rPr>
        <w:t>六、多通道把控网络安全防护关</w:t>
      </w:r>
      <w:r>
        <w:tab/>
      </w:r>
      <w:r>
        <w:fldChar w:fldCharType="begin"/>
      </w:r>
      <w:r>
        <w:instrText xml:space="preserve"> PAGEREF _Toc99320431 \h </w:instrText>
      </w:r>
      <w:r>
        <w:fldChar w:fldCharType="separate"/>
      </w:r>
      <w:r>
        <w:t>16</w:t>
      </w:r>
      <w:r>
        <w:fldChar w:fldCharType="end"/>
      </w:r>
      <w:r>
        <w:fldChar w:fldCharType="end"/>
      </w:r>
    </w:p>
    <w:p>
      <w:pPr>
        <w:pStyle w:val="17"/>
        <w:tabs>
          <w:tab w:val="right" w:leader="dot" w:pos="8834"/>
        </w:tabs>
        <w:spacing w:line="380" w:lineRule="exact"/>
        <w:ind w:left="420"/>
        <w:rPr>
          <w:rFonts w:asciiTheme="minorHAnsi" w:hAnsiTheme="minorHAnsi" w:eastAsiaTheme="minorEastAsia" w:cstheme="minorBidi"/>
        </w:rPr>
      </w:pPr>
      <w:r>
        <w:fldChar w:fldCharType="begin"/>
      </w:r>
      <w:r>
        <w:instrText xml:space="preserve"> HYPERLINK \l "_Toc99320432" </w:instrText>
      </w:r>
      <w:r>
        <w:fldChar w:fldCharType="separate"/>
      </w:r>
      <w:r>
        <w:rPr>
          <w:rStyle w:val="26"/>
          <w:rFonts w:hint="eastAsia" w:ascii="楷体_GB2312" w:eastAsia="楷体_GB2312" w:cs="Times New Roman"/>
        </w:rPr>
        <w:t>（一）推进依法治网体系建设</w:t>
      </w:r>
      <w:r>
        <w:tab/>
      </w:r>
      <w:r>
        <w:fldChar w:fldCharType="begin"/>
      </w:r>
      <w:r>
        <w:instrText xml:space="preserve"> PAGEREF _Toc99320432 \h </w:instrText>
      </w:r>
      <w:r>
        <w:fldChar w:fldCharType="separate"/>
      </w:r>
      <w:r>
        <w:t>16</w:t>
      </w:r>
      <w:r>
        <w:fldChar w:fldCharType="end"/>
      </w:r>
      <w:r>
        <w:fldChar w:fldCharType="end"/>
      </w:r>
    </w:p>
    <w:p>
      <w:pPr>
        <w:pStyle w:val="17"/>
        <w:tabs>
          <w:tab w:val="right" w:leader="dot" w:pos="8834"/>
        </w:tabs>
        <w:spacing w:line="380" w:lineRule="exact"/>
        <w:ind w:left="420"/>
        <w:rPr>
          <w:rFonts w:asciiTheme="minorHAnsi" w:hAnsiTheme="minorHAnsi" w:eastAsiaTheme="minorEastAsia" w:cstheme="minorBidi"/>
        </w:rPr>
      </w:pPr>
      <w:r>
        <w:fldChar w:fldCharType="begin"/>
      </w:r>
      <w:r>
        <w:instrText xml:space="preserve"> HYPERLINK \l "_Toc99320433" </w:instrText>
      </w:r>
      <w:r>
        <w:fldChar w:fldCharType="separate"/>
      </w:r>
      <w:r>
        <w:rPr>
          <w:rStyle w:val="26"/>
          <w:rFonts w:hint="eastAsia" w:ascii="楷体_GB2312" w:eastAsia="楷体_GB2312" w:cs="Times New Roman"/>
        </w:rPr>
        <w:t>（二）加强网络安全设施建设</w:t>
      </w:r>
      <w:r>
        <w:tab/>
      </w:r>
      <w:r>
        <w:fldChar w:fldCharType="begin"/>
      </w:r>
      <w:r>
        <w:instrText xml:space="preserve"> PAGEREF _Toc99320433 \h </w:instrText>
      </w:r>
      <w:r>
        <w:fldChar w:fldCharType="separate"/>
      </w:r>
      <w:r>
        <w:t>17</w:t>
      </w:r>
      <w:r>
        <w:fldChar w:fldCharType="end"/>
      </w:r>
      <w:r>
        <w:fldChar w:fldCharType="end"/>
      </w:r>
    </w:p>
    <w:p>
      <w:pPr>
        <w:pStyle w:val="17"/>
        <w:tabs>
          <w:tab w:val="right" w:leader="dot" w:pos="8834"/>
        </w:tabs>
        <w:spacing w:line="380" w:lineRule="exact"/>
        <w:ind w:left="420"/>
        <w:rPr>
          <w:rFonts w:asciiTheme="minorHAnsi" w:hAnsiTheme="minorHAnsi" w:eastAsiaTheme="minorEastAsia" w:cstheme="minorBidi"/>
        </w:rPr>
      </w:pPr>
      <w:r>
        <w:fldChar w:fldCharType="begin"/>
      </w:r>
      <w:r>
        <w:instrText xml:space="preserve"> HYPERLINK \l "_Toc99320434" </w:instrText>
      </w:r>
      <w:r>
        <w:fldChar w:fldCharType="separate"/>
      </w:r>
      <w:r>
        <w:rPr>
          <w:rStyle w:val="26"/>
          <w:rFonts w:hint="eastAsia" w:ascii="楷体_GB2312" w:eastAsia="楷体_GB2312" w:cs="Times New Roman"/>
        </w:rPr>
        <w:t>（三）强化意识形态安全监管</w:t>
      </w:r>
      <w:r>
        <w:tab/>
      </w:r>
      <w:r>
        <w:fldChar w:fldCharType="begin"/>
      </w:r>
      <w:r>
        <w:instrText xml:space="preserve"> PAGEREF _Toc99320434 \h </w:instrText>
      </w:r>
      <w:r>
        <w:fldChar w:fldCharType="separate"/>
      </w:r>
      <w:r>
        <w:t>17</w:t>
      </w:r>
      <w:r>
        <w:fldChar w:fldCharType="end"/>
      </w:r>
      <w:r>
        <w:fldChar w:fldCharType="end"/>
      </w:r>
    </w:p>
    <w:p>
      <w:pPr>
        <w:pStyle w:val="17"/>
        <w:tabs>
          <w:tab w:val="right" w:leader="dot" w:pos="8834"/>
        </w:tabs>
        <w:spacing w:line="380" w:lineRule="exact"/>
        <w:ind w:left="420"/>
        <w:rPr>
          <w:rFonts w:asciiTheme="minorHAnsi" w:hAnsiTheme="minorHAnsi" w:eastAsiaTheme="minorEastAsia" w:cstheme="minorBidi"/>
        </w:rPr>
      </w:pPr>
      <w:r>
        <w:fldChar w:fldCharType="begin"/>
      </w:r>
      <w:r>
        <w:instrText xml:space="preserve"> HYPERLINK \l "_Toc99320435" </w:instrText>
      </w:r>
      <w:r>
        <w:fldChar w:fldCharType="separate"/>
      </w:r>
      <w:r>
        <w:rPr>
          <w:rStyle w:val="26"/>
          <w:rFonts w:hint="eastAsia" w:ascii="楷体_GB2312" w:eastAsia="楷体_GB2312" w:cs="Times New Roman"/>
        </w:rPr>
        <w:t>（四）加强网络安全应急处置</w:t>
      </w:r>
      <w:r>
        <w:tab/>
      </w:r>
      <w:r>
        <w:fldChar w:fldCharType="begin"/>
      </w:r>
      <w:r>
        <w:instrText xml:space="preserve"> PAGEREF _Toc99320435 \h </w:instrText>
      </w:r>
      <w:r>
        <w:fldChar w:fldCharType="separate"/>
      </w:r>
      <w:r>
        <w:t>19</w:t>
      </w:r>
      <w:r>
        <w:fldChar w:fldCharType="end"/>
      </w:r>
      <w:r>
        <w:fldChar w:fldCharType="end"/>
      </w:r>
    </w:p>
    <w:p>
      <w:pPr>
        <w:pStyle w:val="15"/>
        <w:tabs>
          <w:tab w:val="right" w:leader="dot" w:pos="8834"/>
        </w:tabs>
        <w:spacing w:line="380" w:lineRule="exact"/>
        <w:rPr>
          <w:rFonts w:asciiTheme="minorHAnsi" w:hAnsiTheme="minorHAnsi" w:eastAsiaTheme="minorEastAsia" w:cstheme="minorBidi"/>
        </w:rPr>
      </w:pPr>
      <w:r>
        <w:fldChar w:fldCharType="begin"/>
      </w:r>
      <w:r>
        <w:instrText xml:space="preserve"> HYPERLINK \l "_Toc99320436" </w:instrText>
      </w:r>
      <w:r>
        <w:fldChar w:fldCharType="separate"/>
      </w:r>
      <w:r>
        <w:rPr>
          <w:rStyle w:val="26"/>
          <w:rFonts w:hint="eastAsia" w:eastAsia="黑体" w:cs="Times New Roman"/>
        </w:rPr>
        <w:t>七、保障措施</w:t>
      </w:r>
      <w:r>
        <w:tab/>
      </w:r>
      <w:r>
        <w:fldChar w:fldCharType="begin"/>
      </w:r>
      <w:r>
        <w:instrText xml:space="preserve"> PAGEREF _Toc99320436 \h </w:instrText>
      </w:r>
      <w:r>
        <w:fldChar w:fldCharType="separate"/>
      </w:r>
      <w:r>
        <w:t>20</w:t>
      </w:r>
      <w:r>
        <w:fldChar w:fldCharType="end"/>
      </w:r>
      <w:r>
        <w:fldChar w:fldCharType="end"/>
      </w:r>
    </w:p>
    <w:p>
      <w:pPr>
        <w:pStyle w:val="17"/>
        <w:tabs>
          <w:tab w:val="right" w:leader="dot" w:pos="8834"/>
        </w:tabs>
        <w:spacing w:line="380" w:lineRule="exact"/>
        <w:ind w:left="420"/>
        <w:rPr>
          <w:rFonts w:asciiTheme="minorHAnsi" w:hAnsiTheme="minorHAnsi" w:eastAsiaTheme="minorEastAsia" w:cstheme="minorBidi"/>
        </w:rPr>
      </w:pPr>
      <w:r>
        <w:fldChar w:fldCharType="begin"/>
      </w:r>
      <w:r>
        <w:instrText xml:space="preserve"> HYPERLINK \l "_Toc99320437" </w:instrText>
      </w:r>
      <w:r>
        <w:fldChar w:fldCharType="separate"/>
      </w:r>
      <w:r>
        <w:rPr>
          <w:rStyle w:val="26"/>
          <w:rFonts w:hint="eastAsia" w:ascii="楷体_GB2312" w:eastAsia="楷体_GB2312" w:cs="Times New Roman"/>
        </w:rPr>
        <w:t>（一）完善保障机制</w:t>
      </w:r>
      <w:r>
        <w:tab/>
      </w:r>
      <w:r>
        <w:fldChar w:fldCharType="begin"/>
      </w:r>
      <w:r>
        <w:instrText xml:space="preserve"> PAGEREF _Toc99320437 \h </w:instrText>
      </w:r>
      <w:r>
        <w:fldChar w:fldCharType="separate"/>
      </w:r>
      <w:r>
        <w:t>20</w:t>
      </w:r>
      <w:r>
        <w:fldChar w:fldCharType="end"/>
      </w:r>
      <w:r>
        <w:fldChar w:fldCharType="end"/>
      </w:r>
    </w:p>
    <w:p>
      <w:pPr>
        <w:pStyle w:val="17"/>
        <w:tabs>
          <w:tab w:val="right" w:leader="dot" w:pos="8834"/>
        </w:tabs>
        <w:spacing w:line="380" w:lineRule="exact"/>
        <w:ind w:left="420"/>
        <w:rPr>
          <w:rFonts w:asciiTheme="minorHAnsi" w:hAnsiTheme="minorHAnsi" w:eastAsiaTheme="minorEastAsia" w:cstheme="minorBidi"/>
        </w:rPr>
      </w:pPr>
      <w:r>
        <w:fldChar w:fldCharType="begin"/>
      </w:r>
      <w:r>
        <w:instrText xml:space="preserve"> HYPERLINK \l "_Toc99320438" </w:instrText>
      </w:r>
      <w:r>
        <w:fldChar w:fldCharType="separate"/>
      </w:r>
      <w:r>
        <w:rPr>
          <w:rStyle w:val="26"/>
          <w:rFonts w:hint="eastAsia" w:ascii="楷体_GB2312" w:eastAsia="楷体_GB2312" w:cs="Times New Roman"/>
        </w:rPr>
        <w:t>（二）加强政策扶持</w:t>
      </w:r>
      <w:r>
        <w:tab/>
      </w:r>
      <w:r>
        <w:fldChar w:fldCharType="begin"/>
      </w:r>
      <w:r>
        <w:instrText xml:space="preserve"> PAGEREF _Toc99320438 \h </w:instrText>
      </w:r>
      <w:r>
        <w:fldChar w:fldCharType="separate"/>
      </w:r>
      <w:r>
        <w:t>20</w:t>
      </w:r>
      <w:r>
        <w:fldChar w:fldCharType="end"/>
      </w:r>
      <w:r>
        <w:fldChar w:fldCharType="end"/>
      </w:r>
    </w:p>
    <w:p>
      <w:pPr>
        <w:pStyle w:val="17"/>
        <w:tabs>
          <w:tab w:val="right" w:leader="dot" w:pos="8834"/>
        </w:tabs>
        <w:spacing w:line="380" w:lineRule="exact"/>
        <w:ind w:left="420"/>
        <w:rPr>
          <w:rFonts w:asciiTheme="minorHAnsi" w:hAnsiTheme="minorHAnsi" w:eastAsiaTheme="minorEastAsia" w:cstheme="minorBidi"/>
        </w:rPr>
      </w:pPr>
      <w:r>
        <w:fldChar w:fldCharType="begin"/>
      </w:r>
      <w:r>
        <w:instrText xml:space="preserve"> HYPERLINK \l "_Toc99320439" </w:instrText>
      </w:r>
      <w:r>
        <w:fldChar w:fldCharType="separate"/>
      </w:r>
      <w:r>
        <w:rPr>
          <w:rStyle w:val="26"/>
          <w:rFonts w:hint="eastAsia" w:ascii="楷体_GB2312" w:eastAsia="楷体_GB2312" w:cs="Times New Roman"/>
        </w:rPr>
        <w:t>（三）突出创新提升</w:t>
      </w:r>
      <w:r>
        <w:tab/>
      </w:r>
      <w:r>
        <w:fldChar w:fldCharType="begin"/>
      </w:r>
      <w:r>
        <w:instrText xml:space="preserve"> PAGEREF _Toc99320439 \h </w:instrText>
      </w:r>
      <w:r>
        <w:fldChar w:fldCharType="separate"/>
      </w:r>
      <w:r>
        <w:t>20</w:t>
      </w:r>
      <w:r>
        <w:fldChar w:fldCharType="end"/>
      </w:r>
      <w:r>
        <w:fldChar w:fldCharType="end"/>
      </w:r>
    </w:p>
    <w:p>
      <w:pPr>
        <w:pStyle w:val="17"/>
        <w:tabs>
          <w:tab w:val="right" w:leader="dot" w:pos="8834"/>
        </w:tabs>
        <w:spacing w:line="380" w:lineRule="exact"/>
        <w:ind w:left="420"/>
        <w:rPr>
          <w:rFonts w:asciiTheme="minorHAnsi" w:hAnsiTheme="minorHAnsi" w:eastAsiaTheme="minorEastAsia" w:cstheme="minorBidi"/>
        </w:rPr>
      </w:pPr>
      <w:r>
        <w:fldChar w:fldCharType="begin"/>
      </w:r>
      <w:r>
        <w:instrText xml:space="preserve"> HYPERLINK \l "_Toc99320440" </w:instrText>
      </w:r>
      <w:r>
        <w:fldChar w:fldCharType="separate"/>
      </w:r>
      <w:r>
        <w:rPr>
          <w:rStyle w:val="26"/>
          <w:rFonts w:hint="eastAsia" w:ascii="楷体_GB2312" w:eastAsia="楷体_GB2312" w:cs="Times New Roman"/>
        </w:rPr>
        <w:t>（四）强化人才支撑</w:t>
      </w:r>
      <w:r>
        <w:tab/>
      </w:r>
      <w:r>
        <w:fldChar w:fldCharType="begin"/>
      </w:r>
      <w:r>
        <w:instrText xml:space="preserve"> PAGEREF _Toc99320440 \h </w:instrText>
      </w:r>
      <w:r>
        <w:fldChar w:fldCharType="separate"/>
      </w:r>
      <w:r>
        <w:t>21</w:t>
      </w:r>
      <w:r>
        <w:fldChar w:fldCharType="end"/>
      </w:r>
      <w:r>
        <w:fldChar w:fldCharType="end"/>
      </w:r>
    </w:p>
    <w:p>
      <w:pPr>
        <w:pStyle w:val="17"/>
        <w:tabs>
          <w:tab w:val="right" w:leader="dot" w:pos="8834"/>
        </w:tabs>
        <w:spacing w:line="380" w:lineRule="exact"/>
        <w:ind w:left="420"/>
        <w:rPr>
          <w:rFonts w:asciiTheme="minorHAnsi" w:hAnsiTheme="minorHAnsi" w:eastAsiaTheme="minorEastAsia" w:cstheme="minorBidi"/>
        </w:rPr>
      </w:pPr>
      <w:r>
        <w:fldChar w:fldCharType="begin"/>
      </w:r>
      <w:r>
        <w:instrText xml:space="preserve"> HYPERLINK \l "_Toc99320441" </w:instrText>
      </w:r>
      <w:r>
        <w:fldChar w:fldCharType="separate"/>
      </w:r>
      <w:r>
        <w:rPr>
          <w:rStyle w:val="26"/>
          <w:rFonts w:hint="eastAsia" w:ascii="楷体_GB2312" w:eastAsia="楷体_GB2312" w:cs="楷体_GB2312"/>
          <w:lang w:bidi="ar"/>
        </w:rPr>
        <w:t>（五）做好监测统计</w:t>
      </w:r>
      <w:r>
        <w:tab/>
      </w:r>
      <w:r>
        <w:fldChar w:fldCharType="begin"/>
      </w:r>
      <w:r>
        <w:instrText xml:space="preserve"> PAGEREF _Toc99320441 \h </w:instrText>
      </w:r>
      <w:r>
        <w:fldChar w:fldCharType="separate"/>
      </w:r>
      <w:r>
        <w:t>21</w:t>
      </w:r>
      <w:r>
        <w:fldChar w:fldCharType="end"/>
      </w:r>
      <w:r>
        <w:fldChar w:fldCharType="end"/>
      </w:r>
    </w:p>
    <w:p>
      <w:pPr>
        <w:pStyle w:val="15"/>
        <w:tabs>
          <w:tab w:val="right" w:leader="dot" w:pos="8834"/>
        </w:tabs>
        <w:spacing w:line="380" w:lineRule="exact"/>
        <w:rPr>
          <w:rFonts w:asciiTheme="minorHAnsi" w:hAnsiTheme="minorHAnsi" w:eastAsiaTheme="minorEastAsia" w:cstheme="minorBidi"/>
        </w:rPr>
      </w:pPr>
      <w:r>
        <w:fldChar w:fldCharType="begin"/>
      </w:r>
      <w:r>
        <w:instrText xml:space="preserve"> HYPERLINK \l "_Toc99320442" </w:instrText>
      </w:r>
      <w:r>
        <w:fldChar w:fldCharType="separate"/>
      </w:r>
      <w:r>
        <w:rPr>
          <w:rStyle w:val="26"/>
          <w:rFonts w:hint="eastAsia" w:ascii="黑体" w:eastAsia="黑体" w:cs="Times New Roman"/>
          <w:bCs/>
        </w:rPr>
        <w:t>附件</w:t>
      </w:r>
      <w:r>
        <w:tab/>
      </w:r>
      <w:r>
        <w:fldChar w:fldCharType="begin"/>
      </w:r>
      <w:r>
        <w:instrText xml:space="preserve"> PAGEREF _Toc99320442 \h </w:instrText>
      </w:r>
      <w:r>
        <w:fldChar w:fldCharType="separate"/>
      </w:r>
      <w:r>
        <w:t>22</w:t>
      </w:r>
      <w:r>
        <w:fldChar w:fldCharType="end"/>
      </w:r>
      <w:r>
        <w:fldChar w:fldCharType="end"/>
      </w:r>
    </w:p>
    <w:p>
      <w:pPr>
        <w:pStyle w:val="15"/>
        <w:tabs>
          <w:tab w:val="right" w:leader="dot" w:pos="8834"/>
        </w:tabs>
        <w:spacing w:line="380" w:lineRule="exact"/>
        <w:rPr>
          <w:rFonts w:asciiTheme="minorHAnsi" w:hAnsiTheme="minorHAnsi" w:eastAsiaTheme="minorEastAsia" w:cstheme="minorBidi"/>
        </w:rPr>
      </w:pPr>
      <w:r>
        <w:fldChar w:fldCharType="begin"/>
      </w:r>
      <w:r>
        <w:instrText xml:space="preserve"> HYPERLINK \l "_Toc99320443" </w:instrText>
      </w:r>
      <w:r>
        <w:fldChar w:fldCharType="separate"/>
      </w:r>
      <w:r>
        <w:rPr>
          <w:rStyle w:val="26"/>
          <w:rFonts w:hint="eastAsia" w:ascii="方正小标宋简体" w:eastAsia="方正小标宋简体" w:cs="Times New Roman"/>
          <w:kern w:val="0"/>
        </w:rPr>
        <w:t>“十四五”专项规划重大事项清单</w:t>
      </w:r>
      <w:r>
        <w:tab/>
      </w:r>
      <w:r>
        <w:fldChar w:fldCharType="begin"/>
      </w:r>
      <w:r>
        <w:instrText xml:space="preserve"> PAGEREF _Toc99320443 \h </w:instrText>
      </w:r>
      <w:r>
        <w:fldChar w:fldCharType="separate"/>
      </w:r>
      <w:r>
        <w:t>22</w:t>
      </w:r>
      <w:r>
        <w:fldChar w:fldCharType="end"/>
      </w:r>
      <w:r>
        <w:fldChar w:fldCharType="end"/>
      </w:r>
    </w:p>
    <w:p>
      <w:pPr>
        <w:adjustRightInd w:val="0"/>
        <w:snapToGrid w:val="0"/>
        <w:spacing w:line="380" w:lineRule="exact"/>
        <w:rPr>
          <w:rFonts w:ascii="Times New Roman" w:hAnsi="Times New Roman" w:cs="Times New Roman"/>
        </w:rPr>
        <w:sectPr>
          <w:footerReference r:id="rId5" w:type="default"/>
          <w:pgSz w:w="11906" w:h="16838"/>
          <w:pgMar w:top="1701" w:right="1474" w:bottom="1588" w:left="1588" w:header="851" w:footer="1418" w:gutter="0"/>
          <w:pgNumType w:fmt="upperRoman" w:start="1"/>
          <w:cols w:space="720" w:num="1"/>
          <w:docGrid w:type="lines" w:linePitch="312" w:charSpace="0"/>
        </w:sectPr>
      </w:pPr>
      <w:r>
        <w:rPr>
          <w:rFonts w:hint="eastAsia" w:ascii="楷体_GB2312" w:hAnsi="Times New Roman" w:eastAsia="楷体_GB2312" w:cs="Times New Roman"/>
          <w:b/>
          <w:bCs/>
          <w:sz w:val="32"/>
          <w:szCs w:val="32"/>
          <w:lang w:val="zh-CN"/>
        </w:rPr>
        <w:fldChar w:fldCharType="end"/>
      </w:r>
    </w:p>
    <w:p>
      <w:pPr>
        <w:adjustRightInd w:val="0"/>
        <w:snapToGrid w:val="0"/>
        <w:spacing w:line="576" w:lineRule="exact"/>
        <w:jc w:val="center"/>
        <w:rPr>
          <w:rFonts w:ascii="Times New Roman" w:hAnsi="Times New Roman" w:eastAsia="方正小标宋简体" w:cs="Times New Roman"/>
          <w:bCs/>
          <w:sz w:val="44"/>
          <w:szCs w:val="44"/>
        </w:rPr>
      </w:pPr>
      <w:bookmarkStart w:id="0" w:name="_Toc6877_WPSOffice_Level1"/>
      <w:bookmarkStart w:id="1" w:name="_Toc22167_WPSOffice_Level1"/>
      <w:bookmarkStart w:id="2" w:name="_Toc20399_WPSOffice_Level1"/>
      <w:r>
        <w:rPr>
          <w:rFonts w:hint="eastAsia" w:ascii="Times New Roman" w:hAnsi="Times New Roman" w:eastAsia="方正小标宋简体" w:cs="Times New Roman"/>
          <w:bCs/>
          <w:sz w:val="44"/>
          <w:szCs w:val="44"/>
          <w:lang w:val="en-US" w:eastAsia="zh-CN"/>
        </w:rPr>
        <w:t xml:space="preserve">  </w:t>
      </w:r>
      <w:r>
        <w:rPr>
          <w:rFonts w:ascii="Times New Roman" w:hAnsi="Times New Roman" w:eastAsia="方正小标宋简体" w:cs="Times New Roman"/>
          <w:bCs/>
          <w:sz w:val="44"/>
          <w:szCs w:val="44"/>
        </w:rPr>
        <w:t>旺苍县</w:t>
      </w:r>
      <w:r>
        <w:rPr>
          <w:rFonts w:hint="eastAsia" w:ascii="Times New Roman" w:hAnsi="Times New Roman" w:eastAsia="方正小标宋简体" w:cs="Times New Roman"/>
          <w:bCs/>
          <w:sz w:val="44"/>
          <w:szCs w:val="44"/>
        </w:rPr>
        <w:t>“</w:t>
      </w:r>
      <w:r>
        <w:rPr>
          <w:rFonts w:ascii="Times New Roman" w:hAnsi="Times New Roman" w:eastAsia="方正小标宋简体" w:cs="Times New Roman"/>
          <w:bCs/>
          <w:sz w:val="44"/>
          <w:szCs w:val="44"/>
        </w:rPr>
        <w:t>十四五</w:t>
      </w:r>
      <w:r>
        <w:rPr>
          <w:rFonts w:hint="eastAsia" w:ascii="Times New Roman" w:hAnsi="Times New Roman" w:eastAsia="方正小标宋简体" w:cs="Times New Roman"/>
          <w:bCs/>
          <w:sz w:val="44"/>
          <w:szCs w:val="44"/>
        </w:rPr>
        <w:t>”</w:t>
      </w:r>
      <w:r>
        <w:rPr>
          <w:rFonts w:ascii="Times New Roman" w:hAnsi="Times New Roman" w:eastAsia="方正小标宋简体" w:cs="Times New Roman"/>
          <w:bCs/>
          <w:sz w:val="44"/>
          <w:szCs w:val="44"/>
        </w:rPr>
        <w:t>数字经济和网络安全</w:t>
      </w:r>
    </w:p>
    <w:p>
      <w:pPr>
        <w:adjustRightInd w:val="0"/>
        <w:snapToGrid w:val="0"/>
        <w:spacing w:line="576"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发</w:t>
      </w:r>
      <w:r>
        <w:rPr>
          <w:rFonts w:hint="eastAsia" w:ascii="Times New Roman" w:hAnsi="Times New Roman" w:eastAsia="方正小标宋简体" w:cs="Times New Roman"/>
          <w:bCs/>
          <w:sz w:val="44"/>
          <w:szCs w:val="44"/>
        </w:rPr>
        <w:t xml:space="preserve"> </w:t>
      </w:r>
      <w:r>
        <w:rPr>
          <w:rFonts w:ascii="Times New Roman" w:hAnsi="Times New Roman" w:eastAsia="方正小标宋简体" w:cs="Times New Roman"/>
          <w:bCs/>
          <w:sz w:val="44"/>
          <w:szCs w:val="44"/>
        </w:rPr>
        <w:t>展</w:t>
      </w:r>
      <w:bookmarkEnd w:id="0"/>
      <w:bookmarkEnd w:id="1"/>
      <w:bookmarkEnd w:id="2"/>
      <w:bookmarkStart w:id="3" w:name="_Toc27105_WPSOffice_Level1"/>
      <w:bookmarkStart w:id="4" w:name="_Toc2646_WPSOffice_Level1"/>
      <w:bookmarkStart w:id="5" w:name="_Toc9184_WPSOffice_Level1"/>
      <w:r>
        <w:rPr>
          <w:rFonts w:hint="eastAsia" w:ascii="Times New Roman" w:hAnsi="Times New Roman" w:eastAsia="方正小标宋简体" w:cs="Times New Roman"/>
          <w:bCs/>
          <w:sz w:val="44"/>
          <w:szCs w:val="44"/>
        </w:rPr>
        <w:t xml:space="preserve"> </w:t>
      </w:r>
      <w:r>
        <w:rPr>
          <w:rFonts w:ascii="Times New Roman" w:hAnsi="Times New Roman" w:eastAsia="方正小标宋简体" w:cs="Times New Roman"/>
          <w:bCs/>
          <w:sz w:val="44"/>
          <w:szCs w:val="44"/>
        </w:rPr>
        <w:t>规</w:t>
      </w:r>
      <w:r>
        <w:rPr>
          <w:rFonts w:hint="eastAsia" w:ascii="Times New Roman" w:hAnsi="Times New Roman" w:eastAsia="方正小标宋简体" w:cs="Times New Roman"/>
          <w:bCs/>
          <w:sz w:val="44"/>
          <w:szCs w:val="44"/>
        </w:rPr>
        <w:t xml:space="preserve"> </w:t>
      </w:r>
      <w:r>
        <w:rPr>
          <w:rFonts w:ascii="Times New Roman" w:hAnsi="Times New Roman" w:eastAsia="方正小标宋简体" w:cs="Times New Roman"/>
          <w:bCs/>
          <w:sz w:val="44"/>
          <w:szCs w:val="44"/>
        </w:rPr>
        <w:t>划</w:t>
      </w:r>
      <w:bookmarkEnd w:id="3"/>
      <w:bookmarkEnd w:id="4"/>
      <w:bookmarkEnd w:id="5"/>
    </w:p>
    <w:p>
      <w:pPr>
        <w:adjustRightInd w:val="0"/>
        <w:snapToGrid w:val="0"/>
        <w:spacing w:line="546" w:lineRule="exact"/>
        <w:ind w:firstLine="640" w:firstLineChars="200"/>
        <w:rPr>
          <w:rFonts w:ascii="仿宋_GB2312" w:eastAsia="仿宋_GB2312" w:cs="Calibri"/>
          <w:smallCaps/>
          <w:kern w:val="0"/>
          <w:sz w:val="32"/>
          <w:szCs w:val="40"/>
        </w:rPr>
      </w:pPr>
    </w:p>
    <w:p>
      <w:pPr>
        <w:adjustRightInd w:val="0"/>
        <w:snapToGrid w:val="0"/>
        <w:spacing w:line="546" w:lineRule="exact"/>
        <w:ind w:firstLine="640" w:firstLineChars="200"/>
        <w:rPr>
          <w:rFonts w:ascii="仿宋_GB2312" w:eastAsia="仿宋_GB2312" w:cs="Calibri"/>
          <w:smallCaps/>
          <w:kern w:val="0"/>
          <w:sz w:val="32"/>
          <w:szCs w:val="40"/>
        </w:rPr>
      </w:pPr>
      <w:r>
        <w:rPr>
          <w:rFonts w:ascii="仿宋_GB2312" w:eastAsia="仿宋_GB2312" w:cs="Calibri"/>
          <w:smallCaps/>
          <w:kern w:val="0"/>
          <w:sz w:val="32"/>
          <w:szCs w:val="40"/>
        </w:rPr>
        <w:t>数字经济作为一种新的经济形态，是新发展阶段下，贯彻新发展理念、构建新发展格局的必经之路，是主动适应新时代，培育发展新动能，构筑竞争新优势的必然选择。根据《四川省</w:t>
      </w:r>
      <w:r>
        <w:rPr>
          <w:rFonts w:hint="eastAsia" w:ascii="仿宋_GB2312" w:hAnsi="仿宋_GB2312" w:eastAsia="仿宋_GB2312" w:cs="仿宋_GB2312"/>
          <w:smallCaps/>
          <w:kern w:val="0"/>
          <w:sz w:val="32"/>
          <w:szCs w:val="40"/>
        </w:rPr>
        <w:t>“十四五”数</w:t>
      </w:r>
      <w:r>
        <w:rPr>
          <w:rFonts w:ascii="仿宋_GB2312" w:eastAsia="仿宋_GB2312" w:cs="Calibri"/>
          <w:smallCaps/>
          <w:kern w:val="0"/>
          <w:sz w:val="32"/>
          <w:szCs w:val="40"/>
        </w:rPr>
        <w:t>字经济发展规划》、《四川</w:t>
      </w:r>
      <w:r>
        <w:rPr>
          <w:rFonts w:hint="eastAsia" w:ascii="仿宋_GB2312" w:hAnsi="仿宋_GB2312" w:eastAsia="仿宋_GB2312" w:cs="仿宋_GB2312"/>
          <w:smallCaps/>
          <w:kern w:val="0"/>
          <w:sz w:val="32"/>
          <w:szCs w:val="40"/>
        </w:rPr>
        <w:t>省“十四五”</w:t>
      </w:r>
      <w:r>
        <w:rPr>
          <w:rFonts w:ascii="仿宋_GB2312" w:eastAsia="仿宋_GB2312" w:cs="Calibri"/>
          <w:smallCaps/>
          <w:kern w:val="0"/>
          <w:sz w:val="32"/>
          <w:szCs w:val="40"/>
        </w:rPr>
        <w:t>网络安全和信息化发展规划》、《广元市国民经济和社会发展第十四个五年规划和二〇三五年远景目标纲要》、《</w:t>
      </w:r>
      <w:r>
        <w:rPr>
          <w:rFonts w:hint="eastAsia" w:ascii="仿宋_GB2312" w:eastAsia="仿宋_GB2312" w:cs="Calibri"/>
          <w:smallCaps/>
          <w:kern w:val="0"/>
          <w:sz w:val="32"/>
          <w:szCs w:val="40"/>
        </w:rPr>
        <w:t>广元市“十四五”数字经济和网络安全发展规划》</w:t>
      </w:r>
      <w:r>
        <w:rPr>
          <w:rFonts w:ascii="仿宋_GB2312" w:eastAsia="仿宋_GB2312" w:cs="Calibri"/>
          <w:smallCaps/>
          <w:kern w:val="0"/>
          <w:sz w:val="32"/>
          <w:szCs w:val="40"/>
        </w:rPr>
        <w:t>等文件精神，立足新时期面临的新格局、新定位、新形势，结合旺苍县数字经济和网络安全发展实际，特编制本规划。规划期限为2021-2025年。</w:t>
      </w:r>
    </w:p>
    <w:p>
      <w:pPr>
        <w:pStyle w:val="30"/>
        <w:adjustRightInd w:val="0"/>
        <w:snapToGrid w:val="0"/>
        <w:spacing w:line="546" w:lineRule="exact"/>
        <w:ind w:firstLine="640"/>
        <w:outlineLvl w:val="0"/>
        <w:rPr>
          <w:rFonts w:eastAsia="黑体" w:cs="Times New Roman"/>
        </w:rPr>
      </w:pPr>
      <w:bookmarkStart w:id="6" w:name="_Toc84612371"/>
      <w:bookmarkStart w:id="7" w:name="_Toc99320413"/>
      <w:r>
        <w:rPr>
          <w:rFonts w:eastAsia="黑体" w:cs="Times New Roman"/>
        </w:rPr>
        <w:t>一、规划背景</w:t>
      </w:r>
      <w:bookmarkEnd w:id="6"/>
      <w:bookmarkEnd w:id="7"/>
    </w:p>
    <w:p>
      <w:pPr>
        <w:pStyle w:val="30"/>
        <w:adjustRightInd w:val="0"/>
        <w:snapToGrid w:val="0"/>
        <w:spacing w:line="546" w:lineRule="exact"/>
        <w:ind w:firstLine="640"/>
        <w:outlineLvl w:val="1"/>
        <w:rPr>
          <w:rFonts w:ascii="楷体_GB2312" w:eastAsia="楷体_GB2312" w:cs="Times New Roman"/>
        </w:rPr>
      </w:pPr>
      <w:bookmarkStart w:id="8" w:name="_Toc84612372"/>
      <w:bookmarkStart w:id="9" w:name="_Toc99320414"/>
      <w:r>
        <w:rPr>
          <w:rFonts w:hint="eastAsia" w:ascii="楷体_GB2312" w:eastAsia="楷体_GB2312" w:cs="Times New Roman"/>
        </w:rPr>
        <w:t>（一）发展</w:t>
      </w:r>
      <w:bookmarkEnd w:id="8"/>
      <w:r>
        <w:rPr>
          <w:rFonts w:hint="eastAsia" w:ascii="楷体_GB2312" w:eastAsia="楷体_GB2312" w:cs="Times New Roman"/>
        </w:rPr>
        <w:t>基础</w:t>
      </w:r>
      <w:bookmarkEnd w:id="9"/>
    </w:p>
    <w:p>
      <w:pPr>
        <w:adjustRightInd w:val="0"/>
        <w:snapToGrid w:val="0"/>
        <w:spacing w:line="546" w:lineRule="exact"/>
        <w:ind w:firstLine="640" w:firstLineChars="200"/>
        <w:rPr>
          <w:rFonts w:hint="eastAsia" w:ascii="仿宋_GB2312" w:eastAsia="仿宋_GB2312" w:cs="Calibri"/>
          <w:smallCaps/>
          <w:kern w:val="0"/>
          <w:sz w:val="32"/>
          <w:szCs w:val="40"/>
        </w:rPr>
      </w:pPr>
      <w:r>
        <w:rPr>
          <w:rFonts w:hint="eastAsia" w:ascii="仿宋_GB2312" w:eastAsia="仿宋_GB2312" w:cs="Calibri"/>
          <w:smallCaps/>
          <w:kern w:val="0"/>
          <w:sz w:val="32"/>
          <w:szCs w:val="40"/>
        </w:rPr>
        <w:t>旺苍县地处四川盆地北缘、米仓山南麓，是“川北门户”。县域辖23个乡镇220个行政村，总人口</w:t>
      </w:r>
      <w:r>
        <w:rPr>
          <w:rFonts w:hint="eastAsia" w:ascii="仿宋_GB2312" w:eastAsia="仿宋_GB2312" w:cs="Calibri"/>
          <w:smallCaps/>
          <w:kern w:val="0"/>
          <w:sz w:val="32"/>
          <w:szCs w:val="40"/>
          <w:lang w:val="en-US" w:eastAsia="zh-CN"/>
        </w:rPr>
        <w:t>4</w:t>
      </w:r>
      <w:r>
        <w:rPr>
          <w:rFonts w:hint="eastAsia" w:ascii="仿宋_GB2312" w:eastAsia="仿宋_GB2312" w:cs="Calibri"/>
          <w:smallCaps/>
          <w:kern w:val="0"/>
          <w:sz w:val="32"/>
          <w:szCs w:val="40"/>
        </w:rPr>
        <w:t>3万。20</w:t>
      </w:r>
      <w:r>
        <w:rPr>
          <w:rFonts w:hint="eastAsia" w:ascii="仿宋_GB2312" w:eastAsia="仿宋_GB2312" w:cs="Calibri"/>
          <w:smallCaps/>
          <w:kern w:val="0"/>
          <w:sz w:val="32"/>
          <w:szCs w:val="40"/>
          <w:lang w:val="en-US" w:eastAsia="zh-CN"/>
        </w:rPr>
        <w:t>20</w:t>
      </w:r>
      <w:r>
        <w:rPr>
          <w:rFonts w:hint="eastAsia" w:ascii="仿宋_GB2312" w:eastAsia="仿宋_GB2312" w:cs="Calibri"/>
          <w:smallCaps/>
          <w:kern w:val="0"/>
          <w:sz w:val="32"/>
          <w:szCs w:val="40"/>
        </w:rPr>
        <w:t>年，</w:t>
      </w:r>
      <w:r>
        <w:rPr>
          <w:rFonts w:ascii="仿宋_GB2312" w:eastAsia="仿宋_GB2312" w:cs="Calibri"/>
          <w:smallCaps/>
          <w:kern w:val="0"/>
          <w:sz w:val="32"/>
          <w:szCs w:val="40"/>
        </w:rPr>
        <w:t>旺苍工业产业占</w:t>
      </w:r>
      <w:r>
        <w:rPr>
          <w:rFonts w:hint="eastAsia" w:ascii="仿宋_GB2312" w:eastAsia="仿宋_GB2312" w:cs="Calibri"/>
          <w:smallCaps/>
          <w:kern w:val="0"/>
          <w:sz w:val="32"/>
          <w:szCs w:val="40"/>
        </w:rPr>
        <w:t>县</w:t>
      </w:r>
      <w:r>
        <w:rPr>
          <w:rFonts w:ascii="仿宋_GB2312" w:eastAsia="仿宋_GB2312" w:cs="Calibri"/>
          <w:smallCaps/>
          <w:kern w:val="0"/>
          <w:sz w:val="32"/>
          <w:szCs w:val="40"/>
        </w:rPr>
        <w:t>生产总值的比重</w:t>
      </w:r>
      <w:r>
        <w:rPr>
          <w:rFonts w:hint="eastAsia" w:ascii="仿宋_GB2312" w:eastAsia="仿宋_GB2312" w:cs="Calibri"/>
          <w:smallCaps/>
          <w:kern w:val="0"/>
          <w:sz w:val="32"/>
          <w:szCs w:val="40"/>
        </w:rPr>
        <w:t>达</w:t>
      </w:r>
      <w:r>
        <w:rPr>
          <w:rFonts w:hint="eastAsia" w:ascii="仿宋_GB2312" w:eastAsia="仿宋_GB2312" w:cs="Calibri"/>
          <w:smallCaps/>
          <w:kern w:val="0"/>
          <w:sz w:val="32"/>
          <w:szCs w:val="40"/>
          <w:lang w:val="en-US" w:eastAsia="zh-CN"/>
        </w:rPr>
        <w:t>53.7</w:t>
      </w:r>
      <w:r>
        <w:rPr>
          <w:rFonts w:hint="eastAsia" w:ascii="仿宋_GB2312" w:eastAsia="仿宋_GB2312" w:cs="Calibri"/>
          <w:smallCaps/>
          <w:kern w:val="0"/>
          <w:sz w:val="32"/>
          <w:szCs w:val="40"/>
        </w:rPr>
        <w:t>%，现有规模以上企业79家，规上工业总产值实现12</w:t>
      </w:r>
      <w:r>
        <w:rPr>
          <w:rFonts w:hint="eastAsia" w:ascii="仿宋_GB2312" w:eastAsia="仿宋_GB2312" w:cs="Calibri"/>
          <w:smallCaps/>
          <w:kern w:val="0"/>
          <w:sz w:val="32"/>
          <w:szCs w:val="40"/>
          <w:lang w:val="en-US" w:eastAsia="zh-CN"/>
        </w:rPr>
        <w:t>5</w:t>
      </w:r>
      <w:r>
        <w:rPr>
          <w:rFonts w:hint="eastAsia" w:ascii="仿宋_GB2312" w:eastAsia="仿宋_GB2312" w:cs="Calibri"/>
          <w:smallCaps/>
          <w:kern w:val="0"/>
          <w:sz w:val="32"/>
          <w:szCs w:val="40"/>
        </w:rPr>
        <w:t>亿。</w:t>
      </w:r>
    </w:p>
    <w:p>
      <w:pPr>
        <w:adjustRightInd w:val="0"/>
        <w:snapToGrid w:val="0"/>
        <w:spacing w:line="546" w:lineRule="exact"/>
        <w:ind w:firstLine="640" w:firstLineChars="200"/>
        <w:rPr>
          <w:rFonts w:ascii="仿宋_GB2312" w:eastAsia="仿宋_GB2312" w:cs="Calibri"/>
          <w:smallCaps/>
          <w:kern w:val="0"/>
          <w:sz w:val="32"/>
          <w:szCs w:val="40"/>
        </w:rPr>
      </w:pPr>
      <w:r>
        <w:rPr>
          <w:rFonts w:hint="eastAsia" w:ascii="仿宋_GB2312" w:eastAsia="仿宋_GB2312" w:cs="Calibri"/>
          <w:smallCaps/>
          <w:kern w:val="0"/>
          <w:sz w:val="32"/>
          <w:szCs w:val="40"/>
        </w:rPr>
        <w:t>旺苍县立足“</w:t>
      </w:r>
      <w:r>
        <w:rPr>
          <w:rFonts w:hint="eastAsia" w:ascii="仿宋_GB2312" w:eastAsia="仿宋_GB2312" w:cs="Calibri"/>
          <w:smallCaps/>
          <w:kern w:val="0"/>
          <w:sz w:val="32"/>
          <w:szCs w:val="40"/>
          <w:lang w:val="en-US" w:eastAsia="zh-CN"/>
        </w:rPr>
        <w:t>生态优先、创新驱动、转型发展、共同富裕</w:t>
      </w:r>
      <w:r>
        <w:rPr>
          <w:rFonts w:hint="eastAsia" w:ascii="仿宋_GB2312" w:eastAsia="仿宋_GB2312" w:cs="Calibri"/>
          <w:smallCaps/>
          <w:kern w:val="0"/>
          <w:sz w:val="32"/>
          <w:szCs w:val="40"/>
        </w:rPr>
        <w:t>”的发展</w:t>
      </w:r>
      <w:r>
        <w:rPr>
          <w:rFonts w:hint="eastAsia" w:ascii="仿宋_GB2312" w:eastAsia="仿宋_GB2312" w:cs="Calibri"/>
          <w:smallCaps/>
          <w:kern w:val="0"/>
          <w:sz w:val="32"/>
          <w:szCs w:val="40"/>
          <w:lang w:val="en-US" w:eastAsia="zh-CN"/>
        </w:rPr>
        <w:t>思路</w:t>
      </w:r>
      <w:r>
        <w:rPr>
          <w:rFonts w:hint="eastAsia" w:ascii="仿宋_GB2312" w:eastAsia="仿宋_GB2312" w:cs="Calibri"/>
          <w:smallCaps/>
          <w:kern w:val="0"/>
          <w:sz w:val="32"/>
          <w:szCs w:val="40"/>
        </w:rPr>
        <w:t>，结合旺苍县实情，做好做细做优工业、旅游业等行业结构调整和数字化转型发展工作，为成功打造四川省新型智慧试点示范县打下了良好基础。</w:t>
      </w:r>
    </w:p>
    <w:p>
      <w:pPr>
        <w:adjustRightInd w:val="0"/>
        <w:snapToGrid w:val="0"/>
        <w:spacing w:line="546" w:lineRule="exact"/>
        <w:ind w:firstLine="642" w:firstLineChars="200"/>
        <w:rPr>
          <w:rFonts w:ascii="仿宋_GB2312" w:eastAsia="仿宋_GB2312" w:cs="Calibri"/>
          <w:smallCaps/>
          <w:kern w:val="0"/>
          <w:sz w:val="32"/>
          <w:szCs w:val="40"/>
        </w:rPr>
      </w:pPr>
      <w:r>
        <w:rPr>
          <w:rFonts w:hint="eastAsia" w:ascii="楷体_GB2312" w:eastAsia="楷体_GB2312" w:cs="Calibri"/>
          <w:b/>
          <w:smallCaps/>
          <w:kern w:val="0"/>
          <w:sz w:val="32"/>
          <w:szCs w:val="40"/>
        </w:rPr>
        <w:t>数字技术应用业稳步发展。</w:t>
      </w:r>
      <w:r>
        <w:rPr>
          <w:rFonts w:hint="eastAsia" w:ascii="仿宋_GB2312" w:eastAsia="仿宋_GB2312" w:cs="Calibri"/>
          <w:smallCaps/>
          <w:kern w:val="0"/>
          <w:sz w:val="32"/>
          <w:szCs w:val="40"/>
        </w:rPr>
        <w:t>抢抓全省首批新型智慧城县示范城县建设机遇，聚焦成渝地区双城经济圈、杭州萧山对口帮扶等平台，大力实施精准招商、产业链招商，提升数据承载能力。2021年10月，与杭州智库云泽网络科技有限公司签订物联网产业总部基地项目合作投资协议，</w:t>
      </w:r>
      <w:r>
        <w:rPr>
          <w:rFonts w:ascii="仿宋_GB2312" w:eastAsia="仿宋_GB2312" w:cs="Calibri"/>
          <w:smallCaps/>
          <w:kern w:val="0"/>
          <w:sz w:val="32"/>
          <w:szCs w:val="40"/>
        </w:rPr>
        <w:t>以</w:t>
      </w:r>
      <w:r>
        <w:rPr>
          <w:rFonts w:hint="eastAsia" w:ascii="仿宋_GB2312" w:eastAsia="仿宋_GB2312" w:cs="Calibri"/>
          <w:smallCaps/>
          <w:kern w:val="0"/>
          <w:sz w:val="32"/>
          <w:szCs w:val="40"/>
        </w:rPr>
        <w:t>旺苍县</w:t>
      </w:r>
      <w:r>
        <w:rPr>
          <w:rFonts w:ascii="仿宋_GB2312" w:eastAsia="仿宋_GB2312" w:cs="Calibri"/>
          <w:smallCaps/>
          <w:kern w:val="0"/>
          <w:sz w:val="32"/>
          <w:szCs w:val="40"/>
        </w:rPr>
        <w:t>为中心辐射</w:t>
      </w:r>
      <w:r>
        <w:rPr>
          <w:rFonts w:hint="eastAsia" w:ascii="仿宋_GB2312" w:eastAsia="仿宋_GB2312" w:cs="Calibri"/>
          <w:smallCaps/>
          <w:kern w:val="0"/>
          <w:sz w:val="32"/>
          <w:szCs w:val="40"/>
        </w:rPr>
        <w:t>广元</w:t>
      </w:r>
      <w:r>
        <w:rPr>
          <w:rFonts w:ascii="仿宋_GB2312" w:eastAsia="仿宋_GB2312" w:cs="Calibri"/>
          <w:smallCaps/>
          <w:kern w:val="0"/>
          <w:sz w:val="32"/>
          <w:szCs w:val="40"/>
        </w:rPr>
        <w:t>乃至</w:t>
      </w:r>
      <w:r>
        <w:rPr>
          <w:rFonts w:hint="eastAsia" w:ascii="仿宋_GB2312" w:eastAsia="仿宋_GB2312" w:cs="Calibri"/>
          <w:smallCaps/>
          <w:kern w:val="0"/>
          <w:sz w:val="32"/>
          <w:szCs w:val="40"/>
        </w:rPr>
        <w:t>四川</w:t>
      </w:r>
      <w:r>
        <w:rPr>
          <w:rFonts w:ascii="仿宋_GB2312" w:eastAsia="仿宋_GB2312" w:cs="Calibri"/>
          <w:smallCaps/>
          <w:kern w:val="0"/>
          <w:sz w:val="32"/>
          <w:szCs w:val="40"/>
        </w:rPr>
        <w:t>，全面服务区域内的产业园区和实体企业</w:t>
      </w:r>
      <w:r>
        <w:rPr>
          <w:rFonts w:hint="eastAsia" w:ascii="仿宋_GB2312" w:eastAsia="仿宋_GB2312" w:cs="Calibri"/>
          <w:smallCaps/>
          <w:kern w:val="0"/>
          <w:sz w:val="32"/>
          <w:szCs w:val="40"/>
        </w:rPr>
        <w:t>，培育承接通信设备、数字终端等数字产品制造业，赋能传统企业实现智能化升级。与中国移动通信集团四川有限公司广元分公司签订5G发展战略合作协议，组织10家企业参加2021年广元数字经济暨5G发展研讨会，有力推动全县5G应用场景、云计算、大数据等领域加速发展；2020年全县移动电话39.78余万户，电信主营业务收入2.3 余亿元。</w:t>
      </w:r>
    </w:p>
    <w:p>
      <w:pPr>
        <w:adjustRightInd w:val="0"/>
        <w:snapToGrid w:val="0"/>
        <w:spacing w:line="546" w:lineRule="exact"/>
        <w:ind w:firstLine="642" w:firstLineChars="200"/>
        <w:rPr>
          <w:rFonts w:ascii="仿宋_GB2312" w:eastAsia="仿宋_GB2312" w:cs="Calibri"/>
          <w:smallCaps/>
          <w:kern w:val="0"/>
          <w:sz w:val="32"/>
          <w:szCs w:val="40"/>
        </w:rPr>
      </w:pPr>
      <w:r>
        <w:rPr>
          <w:rFonts w:hint="eastAsia" w:ascii="楷体_GB2312" w:eastAsia="楷体_GB2312" w:cs="Calibri"/>
          <w:b/>
          <w:smallCaps/>
          <w:kern w:val="0"/>
          <w:sz w:val="32"/>
          <w:szCs w:val="40"/>
        </w:rPr>
        <w:t>数字要素驱动业有序推进。</w:t>
      </w:r>
      <w:r>
        <w:rPr>
          <w:rFonts w:hint="eastAsia" w:ascii="仿宋_GB2312" w:eastAsia="仿宋_GB2312" w:cs="Calibri"/>
          <w:smallCaps/>
          <w:kern w:val="0"/>
          <w:sz w:val="32"/>
          <w:szCs w:val="40"/>
        </w:rPr>
        <w:t>通信基础网络建设推进有力，结合县域通信基础设施建设情况，5G网络建设稳步实施，累计建成开通5G基站157余座，县区城区和重点乡镇基本实现5G网络连续覆盖。全县</w:t>
      </w:r>
      <w:r>
        <w:rPr>
          <w:rFonts w:hint="eastAsia" w:ascii="仿宋_GB2312" w:eastAsia="仿宋_GB2312" w:cs="Calibri"/>
          <w:smallCaps/>
          <w:kern w:val="0"/>
          <w:sz w:val="32"/>
          <w:szCs w:val="40"/>
          <w:lang w:val="en-US" w:eastAsia="zh-CN"/>
        </w:rPr>
        <w:t>现有</w:t>
      </w:r>
      <w:r>
        <w:rPr>
          <w:rFonts w:hint="eastAsia" w:ascii="仿宋_GB2312" w:eastAsia="仿宋_GB2312" w:cs="Calibri"/>
          <w:smallCaps/>
          <w:kern w:val="0"/>
          <w:sz w:val="32"/>
          <w:szCs w:val="40"/>
        </w:rPr>
        <w:t>4G基站900余座，实现所有行政村4G手机网络通达率和光纤宽带通达率100%</w:t>
      </w:r>
      <w:r>
        <w:rPr>
          <w:rFonts w:hint="eastAsia" w:ascii="仿宋_GB2312" w:eastAsia="仿宋_GB2312" w:cs="Calibri"/>
          <w:smallCaps/>
          <w:kern w:val="0"/>
          <w:sz w:val="32"/>
          <w:szCs w:val="40"/>
          <w:lang w:eastAsia="zh-CN"/>
        </w:rPr>
        <w:t>。</w:t>
      </w:r>
      <w:r>
        <w:rPr>
          <w:rFonts w:hint="eastAsia" w:ascii="仿宋_GB2312" w:eastAsia="仿宋_GB2312" w:cs="Calibri"/>
          <w:smallCaps/>
          <w:kern w:val="0"/>
          <w:sz w:val="32"/>
          <w:szCs w:val="40"/>
        </w:rPr>
        <w:t>建成268个益农信息社、乡镇电商服务站35个、村级电商服务点201个</w:t>
      </w:r>
      <w:r>
        <w:rPr>
          <w:rFonts w:hint="eastAsia" w:ascii="仿宋_GB2312" w:eastAsia="仿宋_GB2312" w:cs="Calibri"/>
          <w:smallCaps/>
          <w:kern w:val="0"/>
          <w:sz w:val="32"/>
          <w:szCs w:val="40"/>
          <w:lang w:eastAsia="zh-CN"/>
        </w:rPr>
        <w:t>，</w:t>
      </w:r>
      <w:r>
        <w:rPr>
          <w:rFonts w:hint="eastAsia" w:ascii="仿宋_GB2312" w:eastAsia="仿宋_GB2312" w:cs="Calibri"/>
          <w:smallCaps/>
          <w:kern w:val="0"/>
          <w:sz w:val="32"/>
          <w:szCs w:val="40"/>
        </w:rPr>
        <w:t>为产业数字化、数字政府和数字社会建设提供高质量的网络支撑。加速“双千兆”新型网络基础设施建设，推动固定和移动网络普遍具备“千兆到户”能力，提升网络安全保障能力。</w:t>
      </w:r>
    </w:p>
    <w:p>
      <w:pPr>
        <w:adjustRightInd w:val="0"/>
        <w:snapToGrid w:val="0"/>
        <w:spacing w:line="546" w:lineRule="exact"/>
        <w:ind w:firstLine="642" w:firstLineChars="200"/>
        <w:rPr>
          <w:rFonts w:ascii="仿宋_GB2312" w:eastAsia="仿宋_GB2312" w:cs="Calibri"/>
          <w:smallCaps/>
          <w:kern w:val="0"/>
          <w:sz w:val="32"/>
          <w:szCs w:val="40"/>
        </w:rPr>
      </w:pPr>
      <w:r>
        <w:rPr>
          <w:rFonts w:hint="eastAsia" w:ascii="楷体_GB2312" w:eastAsia="楷体_GB2312" w:cs="Calibri"/>
          <w:b/>
          <w:smallCaps/>
          <w:kern w:val="0"/>
          <w:sz w:val="32"/>
          <w:szCs w:val="40"/>
        </w:rPr>
        <w:t>数字化效率提升业成效明显。</w:t>
      </w:r>
      <w:r>
        <w:rPr>
          <w:rFonts w:hint="eastAsia" w:ascii="仿宋_GB2312" w:eastAsia="仿宋_GB2312" w:cs="Calibri"/>
          <w:smallCaps/>
          <w:kern w:val="0"/>
          <w:sz w:val="32"/>
          <w:szCs w:val="40"/>
        </w:rPr>
        <w:t>智慧城市建设有序推进，城市综合服务水平不断提高。2020年旺苍县成功申报为四川省新型智慧试点示范县，建设项目集政务、卫计司法等23个行业信息化建设应用，组织市级专家评审信息化项目39个共计1.72亿元。已建成县公安局“平安城市”、县教育局“智慧教育”、县卫生健康委“人口健康信息化平台”等智慧城市项目；广泛应用物联网技术，开展“物联旺苍”建设，支持各类物联网应用的信息传输与终端控制，包括气象、生态、资源、地理空间等环境感知，水、电力、气等公用事业行业推广应用物联网效果良好。</w:t>
      </w:r>
    </w:p>
    <w:p>
      <w:pPr>
        <w:adjustRightInd w:val="0"/>
        <w:snapToGrid w:val="0"/>
        <w:spacing w:line="546" w:lineRule="exact"/>
        <w:ind w:firstLine="642" w:firstLineChars="200"/>
        <w:rPr>
          <w:rFonts w:ascii="仿宋" w:hAnsi="仿宋" w:eastAsia="仿宋" w:cs="宋体"/>
          <w:color w:val="333333"/>
          <w:kern w:val="0"/>
          <w:sz w:val="32"/>
          <w:szCs w:val="32"/>
        </w:rPr>
      </w:pPr>
      <w:r>
        <w:rPr>
          <w:rFonts w:hint="eastAsia" w:ascii="楷体_GB2312" w:eastAsia="楷体_GB2312" w:cs="Calibri"/>
          <w:b/>
          <w:smallCaps/>
          <w:kern w:val="0"/>
          <w:sz w:val="32"/>
          <w:szCs w:val="40"/>
        </w:rPr>
        <w:t>数字产品服务业发展正在起步。</w:t>
      </w:r>
      <w:r>
        <w:rPr>
          <w:rFonts w:hint="eastAsia" w:ascii="仿宋_GB2312" w:eastAsia="仿宋_GB2312" w:cs="Calibri"/>
          <w:smallCaps/>
          <w:kern w:val="0"/>
          <w:sz w:val="32"/>
          <w:szCs w:val="40"/>
        </w:rPr>
        <w:t>数字产品服务业主要包括数字产品批发、零售、租赁及维修等。受制于我县数字产品制造业发展基础薄弱，该类产业类别缺乏规模企业，发展相对滞后，正处于起步阶段。积极发展智慧健康产业，大力培育网络体验、智能零售、平台经济等新业态。</w:t>
      </w:r>
    </w:p>
    <w:p>
      <w:pPr>
        <w:pStyle w:val="30"/>
        <w:adjustRightInd w:val="0"/>
        <w:snapToGrid w:val="0"/>
        <w:spacing w:line="546" w:lineRule="exact"/>
        <w:ind w:firstLine="640"/>
        <w:outlineLvl w:val="1"/>
        <w:rPr>
          <w:rFonts w:ascii="楷体_GB2312" w:eastAsia="楷体_GB2312" w:cs="Times New Roman"/>
        </w:rPr>
      </w:pPr>
      <w:bookmarkStart w:id="10" w:name="_Toc99320415"/>
      <w:bookmarkStart w:id="11" w:name="_Toc84612378"/>
      <w:r>
        <w:rPr>
          <w:rFonts w:ascii="楷体_GB2312" w:eastAsia="楷体_GB2312" w:cs="Times New Roman"/>
        </w:rPr>
        <w:t>（二）存在问题</w:t>
      </w:r>
      <w:bookmarkEnd w:id="10"/>
      <w:bookmarkEnd w:id="11"/>
    </w:p>
    <w:p>
      <w:pPr>
        <w:spacing w:line="576" w:lineRule="exact"/>
        <w:ind w:firstLine="642" w:firstLineChars="200"/>
        <w:textAlignment w:val="baseline"/>
        <w:rPr>
          <w:rFonts w:ascii="仿宋_GB2312" w:hAnsi="仿宋_GB2312" w:eastAsia="仿宋_GB2312" w:cs="仿宋_GB2312"/>
          <w:sz w:val="32"/>
          <w:szCs w:val="32"/>
        </w:rPr>
      </w:pPr>
      <w:bookmarkStart w:id="12" w:name="_Toc84612379"/>
      <w:r>
        <w:rPr>
          <w:rFonts w:hint="eastAsia" w:ascii="楷体_GB2312" w:eastAsia="楷体_GB2312" w:cs="Calibri"/>
          <w:b/>
          <w:smallCaps/>
          <w:kern w:val="0"/>
          <w:sz w:val="32"/>
          <w:szCs w:val="40"/>
        </w:rPr>
        <w:t>缺乏核心产业，产品档次不高。</w:t>
      </w:r>
      <w:r>
        <w:rPr>
          <w:rFonts w:hint="eastAsia" w:ascii="楷体_GB2312" w:hAnsi="仿宋_GB2312" w:eastAsia="楷体_GB2312" w:cs="仿宋_GB2312"/>
          <w:sz w:val="32"/>
          <w:szCs w:val="32"/>
        </w:rPr>
        <w:t>一是</w:t>
      </w:r>
      <w:r>
        <w:rPr>
          <w:rFonts w:ascii="Times New Roman" w:hAnsi="Times New Roman" w:eastAsia="仿宋_GB2312"/>
          <w:bCs/>
          <w:sz w:val="32"/>
          <w:szCs w:val="32"/>
        </w:rPr>
        <w:t>县域</w:t>
      </w:r>
      <w:r>
        <w:rPr>
          <w:rFonts w:hint="eastAsia" w:ascii="Times New Roman" w:hAnsi="Times New Roman" w:eastAsia="仿宋_GB2312"/>
          <w:bCs/>
          <w:sz w:val="32"/>
          <w:szCs w:val="32"/>
        </w:rPr>
        <w:t>数字经济</w:t>
      </w:r>
      <w:r>
        <w:rPr>
          <w:rFonts w:ascii="Times New Roman" w:hAnsi="Times New Roman" w:eastAsia="仿宋_GB2312"/>
          <w:bCs/>
          <w:sz w:val="32"/>
          <w:szCs w:val="32"/>
        </w:rPr>
        <w:t>起步较晚，标准、规范体系尚未形成，县</w:t>
      </w:r>
      <w:r>
        <w:rPr>
          <w:rFonts w:ascii="仿宋_GB2312" w:hAnsi="仿宋_GB2312" w:eastAsia="仿宋_GB2312" w:cs="仿宋_GB2312"/>
          <w:sz w:val="32"/>
          <w:szCs w:val="32"/>
        </w:rPr>
        <w:t>级经济发展水平有限，产业结构层次偏低，产业链条较短，缺乏能够起到产业带动和集聚作用的数字经济企业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尚未形成有效的市场化融资机制，难以撬动社会资本为产业发展提供有效支撑。</w:t>
      </w:r>
      <w:r>
        <w:rPr>
          <w:rFonts w:hint="eastAsia" w:ascii="Times New Roman" w:hAnsi="Times New Roman" w:eastAsia="仿宋_GB2312"/>
          <w:bCs/>
          <w:sz w:val="32"/>
          <w:szCs w:val="32"/>
        </w:rPr>
        <w:t>二是数字经济核心产业总量还很小，大多的中小企业受企业家意识、资金、人才储备等多种因素影响，数字化水平较弱。很多企业信息化只覆盖到财务、人力资源管理等业务，而生产制造环节数字化程度有较大的提升空间。</w:t>
      </w:r>
      <w:r>
        <w:rPr>
          <w:rFonts w:hint="eastAsia" w:ascii="仿宋_GB2312" w:hAnsi="仿宋_GB2312" w:eastAsia="仿宋_GB2312" w:cs="仿宋_GB2312"/>
          <w:sz w:val="32"/>
          <w:szCs w:val="32"/>
        </w:rPr>
        <w:t>三是数字产品服务业发展明显滞后。至今没有一家有工业软件研发能力、系统解决方案供给能力的本地企业，无法有效支撑我县企业数字化转型。</w:t>
      </w:r>
    </w:p>
    <w:p>
      <w:pPr>
        <w:spacing w:line="576" w:lineRule="exact"/>
        <w:ind w:firstLine="642" w:firstLineChars="200"/>
        <w:textAlignment w:val="baseline"/>
      </w:pPr>
      <w:r>
        <w:rPr>
          <w:rFonts w:hint="eastAsia" w:ascii="楷体_GB2312" w:eastAsia="楷体_GB2312" w:cs="Calibri"/>
          <w:b/>
          <w:smallCaps/>
          <w:kern w:val="0"/>
          <w:sz w:val="32"/>
          <w:szCs w:val="40"/>
        </w:rPr>
        <w:t>缺乏技术支撑，创新驱动不足。</w:t>
      </w:r>
      <w:r>
        <w:rPr>
          <w:rFonts w:hint="eastAsia" w:ascii="仿宋_GB2312" w:hAnsi="仿宋_GB2312" w:eastAsia="仿宋_GB2312" w:cs="仿宋_GB2312"/>
          <w:sz w:val="32"/>
          <w:szCs w:val="32"/>
        </w:rPr>
        <w:t>一是技术创新的关键驱动要素不足。我县企业“人才难引、引进难留”现象仍然突出，科技人才总体数量较少，成为制约数字经济创新发展的重要瓶颈。二是创新发展的生态构建难度大。本地企业完全自主研发能力弱，多以购买现有技术为主，自主开展新产品研发意识不足、动力不强，尚未形成创新发展的氛围。三是科创平台带动效应不强。我县服务数字经济发展的创新平台、孵化载体不足，在助推我县传统产业数字化转型升级方面作用发挥还不明显。</w:t>
      </w:r>
    </w:p>
    <w:p>
      <w:pPr>
        <w:adjustRightInd w:val="0"/>
        <w:snapToGrid w:val="0"/>
        <w:spacing w:line="546" w:lineRule="exact"/>
        <w:ind w:firstLine="642" w:firstLineChars="200"/>
        <w:rPr>
          <w:rFonts w:ascii="Times New Roman" w:hAnsi="Times New Roman" w:eastAsia="仿宋_GB2312" w:cs="Times New Roman"/>
          <w:sz w:val="32"/>
          <w:szCs w:val="32"/>
        </w:rPr>
      </w:pPr>
      <w:r>
        <w:rPr>
          <w:rFonts w:ascii="楷体_GB2312" w:eastAsia="楷体_GB2312" w:cs="Calibri"/>
          <w:b/>
          <w:smallCaps/>
          <w:kern w:val="0"/>
          <w:sz w:val="32"/>
          <w:szCs w:val="40"/>
        </w:rPr>
        <w:t>缺乏安全意识，保障体系不足。</w:t>
      </w:r>
      <w:bookmarkEnd w:id="12"/>
      <w:r>
        <w:rPr>
          <w:rFonts w:ascii="Times New Roman" w:hAnsi="Times New Roman" w:eastAsia="仿宋_GB2312" w:cs="Times New Roman"/>
          <w:sz w:val="32"/>
          <w:szCs w:val="32"/>
        </w:rPr>
        <w:t>县机关单位、工作人员对网络信息安全重视程度不足，且缺乏有效监管方式，监管效果较差。</w:t>
      </w:r>
      <w:r>
        <w:rPr>
          <w:rFonts w:hint="eastAsia" w:ascii="Times New Roman" w:hAnsi="Times New Roman" w:eastAsia="仿宋_GB2312" w:cs="Times New Roman"/>
          <w:sz w:val="32"/>
          <w:szCs w:val="32"/>
        </w:rPr>
        <w:t>一些</w:t>
      </w:r>
      <w:r>
        <w:rPr>
          <w:rFonts w:ascii="Times New Roman" w:hAnsi="Times New Roman" w:eastAsia="仿宋_GB2312" w:cs="Times New Roman"/>
          <w:sz w:val="32"/>
          <w:szCs w:val="32"/>
        </w:rPr>
        <w:t>事业单位、县域企业等站点存</w:t>
      </w:r>
      <w:r>
        <w:rPr>
          <w:rFonts w:hint="eastAsia" w:ascii="Times New Roman" w:hAnsi="Times New Roman" w:eastAsia="仿宋_GB2312" w:cs="Times New Roman"/>
          <w:sz w:val="32"/>
          <w:szCs w:val="32"/>
        </w:rPr>
        <w:t>在</w:t>
      </w:r>
      <w:r>
        <w:rPr>
          <w:rFonts w:ascii="Times New Roman" w:hAnsi="Times New Roman" w:eastAsia="仿宋_GB2312" w:cs="Times New Roman"/>
          <w:sz w:val="32"/>
          <w:szCs w:val="32"/>
        </w:rPr>
        <w:t>基础性安全隐患，域名劫持、服务器受控成为傀儡机等</w:t>
      </w:r>
      <w:r>
        <w:rPr>
          <w:rFonts w:hint="eastAsia" w:ascii="Times New Roman" w:hAnsi="Times New Roman" w:eastAsia="仿宋_GB2312" w:cs="Times New Roman"/>
          <w:sz w:val="32"/>
          <w:szCs w:val="32"/>
        </w:rPr>
        <w:t>现象还时有发生</w:t>
      </w:r>
      <w:r>
        <w:rPr>
          <w:rFonts w:ascii="Times New Roman" w:hAnsi="Times New Roman" w:eastAsia="仿宋_GB2312" w:cs="Times New Roman"/>
          <w:sz w:val="32"/>
          <w:szCs w:val="32"/>
        </w:rPr>
        <w:t>，</w:t>
      </w:r>
      <w:r>
        <w:rPr>
          <w:rFonts w:ascii="Times New Roman" w:hAnsi="Times New Roman" w:eastAsia="仿宋_GB2312" w:cs="Times New Roman"/>
          <w:spacing w:val="-8"/>
          <w:sz w:val="32"/>
          <w:szCs w:val="32"/>
        </w:rPr>
        <w:t>网络信息安全保障条件达不到国家对数据安全等级保护的要求。</w:t>
      </w:r>
    </w:p>
    <w:p>
      <w:pPr>
        <w:pStyle w:val="30"/>
        <w:adjustRightInd w:val="0"/>
        <w:snapToGrid w:val="0"/>
        <w:spacing w:line="540" w:lineRule="exact"/>
        <w:ind w:firstLine="640"/>
        <w:outlineLvl w:val="1"/>
        <w:rPr>
          <w:rFonts w:ascii="楷体_GB2312" w:eastAsia="楷体_GB2312" w:cs="Times New Roman"/>
        </w:rPr>
      </w:pPr>
      <w:bookmarkStart w:id="13" w:name="_Toc84612383"/>
      <w:bookmarkStart w:id="14" w:name="_Toc99320416"/>
      <w:r>
        <w:rPr>
          <w:rFonts w:ascii="楷体_GB2312" w:eastAsia="楷体_GB2312" w:cs="Times New Roman"/>
        </w:rPr>
        <w:t>（三）面临形势</w:t>
      </w:r>
      <w:bookmarkEnd w:id="13"/>
      <w:bookmarkEnd w:id="14"/>
    </w:p>
    <w:p>
      <w:pPr>
        <w:adjustRightInd w:val="0"/>
        <w:snapToGrid w:val="0"/>
        <w:spacing w:line="546" w:lineRule="exact"/>
        <w:ind w:firstLine="642" w:firstLineChars="200"/>
        <w:rPr>
          <w:rFonts w:ascii="仿宋_GB2312" w:eastAsia="仿宋_GB2312" w:cs="Calibri"/>
          <w:smallCaps/>
          <w:kern w:val="0"/>
          <w:sz w:val="32"/>
          <w:szCs w:val="40"/>
        </w:rPr>
      </w:pPr>
      <w:bookmarkStart w:id="15" w:name="_Toc84612384"/>
      <w:r>
        <w:rPr>
          <w:rFonts w:ascii="楷体_GB2312" w:eastAsia="楷体_GB2312" w:cs="Calibri"/>
          <w:b/>
          <w:smallCaps/>
          <w:kern w:val="0"/>
          <w:sz w:val="32"/>
          <w:szCs w:val="40"/>
        </w:rPr>
        <w:t>各级</w:t>
      </w:r>
      <w:r>
        <w:rPr>
          <w:rFonts w:hint="eastAsia" w:ascii="楷体_GB2312" w:eastAsia="楷体_GB2312" w:cs="Calibri"/>
          <w:b/>
          <w:smallCaps/>
          <w:kern w:val="0"/>
          <w:sz w:val="32"/>
          <w:szCs w:val="40"/>
        </w:rPr>
        <w:t>规划</w:t>
      </w:r>
      <w:r>
        <w:rPr>
          <w:rFonts w:ascii="楷体_GB2312" w:eastAsia="楷体_GB2312" w:cs="Calibri"/>
          <w:b/>
          <w:smallCaps/>
          <w:kern w:val="0"/>
          <w:sz w:val="32"/>
          <w:szCs w:val="40"/>
        </w:rPr>
        <w:t>引领指引</w:t>
      </w:r>
      <w:bookmarkEnd w:id="15"/>
      <w:r>
        <w:rPr>
          <w:rFonts w:ascii="楷体_GB2312" w:eastAsia="楷体_GB2312" w:cs="Calibri"/>
          <w:b/>
          <w:smallCaps/>
          <w:kern w:val="0"/>
          <w:sz w:val="32"/>
          <w:szCs w:val="40"/>
        </w:rPr>
        <w:t>。</w:t>
      </w:r>
      <w:r>
        <w:rPr>
          <w:rFonts w:hint="eastAsia" w:ascii="仿宋_GB2312" w:eastAsia="仿宋_GB2312" w:cs="Calibri"/>
          <w:smallCaps/>
          <w:kern w:val="0"/>
          <w:sz w:val="32"/>
          <w:szCs w:val="40"/>
        </w:rPr>
        <w:t>2021年</w:t>
      </w:r>
      <w:r>
        <w:rPr>
          <w:rFonts w:ascii="仿宋_GB2312" w:eastAsia="仿宋_GB2312" w:cs="Calibri"/>
          <w:smallCaps/>
          <w:kern w:val="0"/>
          <w:sz w:val="32"/>
          <w:szCs w:val="40"/>
        </w:rPr>
        <w:t>11</w:t>
      </w:r>
      <w:r>
        <w:rPr>
          <w:rFonts w:hint="eastAsia" w:ascii="仿宋_GB2312" w:eastAsia="仿宋_GB2312" w:cs="Calibri"/>
          <w:smallCaps/>
          <w:kern w:val="0"/>
          <w:sz w:val="32"/>
          <w:szCs w:val="40"/>
        </w:rPr>
        <w:t>月</w:t>
      </w:r>
      <w:r>
        <w:rPr>
          <w:rFonts w:ascii="仿宋_GB2312" w:eastAsia="仿宋_GB2312" w:cs="Calibri"/>
          <w:smallCaps/>
          <w:kern w:val="0"/>
          <w:sz w:val="32"/>
          <w:szCs w:val="40"/>
        </w:rPr>
        <w:t>1</w:t>
      </w:r>
      <w:r>
        <w:rPr>
          <w:rFonts w:hint="eastAsia" w:ascii="仿宋_GB2312" w:eastAsia="仿宋_GB2312" w:cs="Calibri"/>
          <w:smallCaps/>
          <w:kern w:val="0"/>
          <w:sz w:val="32"/>
          <w:szCs w:val="40"/>
        </w:rPr>
        <w:t>日，四川省印发了《“十四五”数字经济发展规划》</w:t>
      </w:r>
      <w:r>
        <w:rPr>
          <w:rFonts w:ascii="仿宋_GB2312" w:eastAsia="仿宋_GB2312" w:cs="Calibri"/>
          <w:smallCaps/>
          <w:kern w:val="0"/>
          <w:sz w:val="32"/>
          <w:szCs w:val="40"/>
        </w:rPr>
        <w:t>川府发〔2021〕</w:t>
      </w:r>
      <w:r>
        <w:rPr>
          <w:rFonts w:hint="eastAsia" w:ascii="仿宋_GB2312" w:eastAsia="仿宋_GB2312" w:cs="Calibri"/>
          <w:smallCaps/>
          <w:kern w:val="0"/>
          <w:sz w:val="32"/>
          <w:szCs w:val="40"/>
        </w:rPr>
        <w:t>3</w:t>
      </w:r>
      <w:r>
        <w:rPr>
          <w:rFonts w:ascii="仿宋_GB2312" w:eastAsia="仿宋_GB2312" w:cs="Calibri"/>
          <w:smallCaps/>
          <w:kern w:val="0"/>
          <w:sz w:val="32"/>
          <w:szCs w:val="40"/>
        </w:rPr>
        <w:t>2号。</w:t>
      </w:r>
      <w:r>
        <w:rPr>
          <w:rFonts w:hint="eastAsia" w:ascii="仿宋_GB2312" w:eastAsia="仿宋_GB2312" w:cs="Calibri"/>
          <w:smallCaps/>
          <w:kern w:val="0"/>
          <w:sz w:val="32"/>
          <w:szCs w:val="40"/>
        </w:rPr>
        <w:t>202</w:t>
      </w:r>
      <w:r>
        <w:rPr>
          <w:rFonts w:ascii="仿宋_GB2312" w:eastAsia="仿宋_GB2312" w:cs="Calibri"/>
          <w:smallCaps/>
          <w:kern w:val="0"/>
          <w:sz w:val="32"/>
          <w:szCs w:val="40"/>
        </w:rPr>
        <w:t>2</w:t>
      </w:r>
      <w:r>
        <w:rPr>
          <w:rFonts w:hint="eastAsia" w:ascii="仿宋_GB2312" w:eastAsia="仿宋_GB2312" w:cs="Calibri"/>
          <w:smallCaps/>
          <w:kern w:val="0"/>
          <w:sz w:val="32"/>
          <w:szCs w:val="40"/>
        </w:rPr>
        <w:t>年</w:t>
      </w:r>
      <w:r>
        <w:rPr>
          <w:rFonts w:ascii="仿宋_GB2312" w:eastAsia="仿宋_GB2312" w:cs="Calibri"/>
          <w:smallCaps/>
          <w:kern w:val="0"/>
          <w:sz w:val="32"/>
          <w:szCs w:val="40"/>
        </w:rPr>
        <w:t>2</w:t>
      </w:r>
      <w:r>
        <w:rPr>
          <w:rFonts w:hint="eastAsia" w:ascii="仿宋_GB2312" w:eastAsia="仿宋_GB2312" w:cs="Calibri"/>
          <w:smallCaps/>
          <w:kern w:val="0"/>
          <w:sz w:val="32"/>
          <w:szCs w:val="40"/>
        </w:rPr>
        <w:t>月</w:t>
      </w:r>
      <w:r>
        <w:rPr>
          <w:rFonts w:ascii="仿宋_GB2312" w:eastAsia="仿宋_GB2312" w:cs="Calibri"/>
          <w:smallCaps/>
          <w:kern w:val="0"/>
          <w:sz w:val="32"/>
          <w:szCs w:val="40"/>
        </w:rPr>
        <w:t>14</w:t>
      </w:r>
      <w:r>
        <w:rPr>
          <w:rFonts w:hint="eastAsia" w:ascii="仿宋_GB2312" w:eastAsia="仿宋_GB2312" w:cs="Calibri"/>
          <w:smallCaps/>
          <w:kern w:val="0"/>
          <w:sz w:val="32"/>
          <w:szCs w:val="40"/>
        </w:rPr>
        <w:t>日，广元市印发了《十四五”数字经济和网络安全发展规划》广府发〔2022〕11号</w:t>
      </w:r>
      <w:r>
        <w:rPr>
          <w:rFonts w:ascii="仿宋_GB2312" w:eastAsia="仿宋_GB2312" w:cs="Calibri"/>
          <w:smallCaps/>
          <w:kern w:val="0"/>
          <w:sz w:val="32"/>
          <w:szCs w:val="40"/>
        </w:rPr>
        <w:t>。省、市级</w:t>
      </w:r>
      <w:r>
        <w:rPr>
          <w:rFonts w:hint="eastAsia" w:ascii="仿宋_GB2312" w:eastAsia="仿宋_GB2312" w:cs="Calibri"/>
          <w:smallCaps/>
          <w:kern w:val="0"/>
          <w:sz w:val="32"/>
          <w:szCs w:val="40"/>
        </w:rPr>
        <w:t>“</w:t>
      </w:r>
      <w:r>
        <w:rPr>
          <w:rFonts w:ascii="仿宋_GB2312" w:eastAsia="仿宋_GB2312" w:cs="Calibri"/>
          <w:smallCaps/>
          <w:kern w:val="0"/>
          <w:sz w:val="32"/>
          <w:szCs w:val="40"/>
        </w:rPr>
        <w:t>十四五</w:t>
      </w:r>
      <w:r>
        <w:rPr>
          <w:rFonts w:hint="eastAsia" w:ascii="仿宋_GB2312" w:eastAsia="仿宋_GB2312" w:cs="Calibri"/>
          <w:smallCaps/>
          <w:kern w:val="0"/>
          <w:sz w:val="32"/>
          <w:szCs w:val="40"/>
        </w:rPr>
        <w:t>”</w:t>
      </w:r>
      <w:r>
        <w:rPr>
          <w:rFonts w:ascii="仿宋_GB2312" w:eastAsia="仿宋_GB2312" w:cs="Calibri"/>
          <w:smallCaps/>
          <w:kern w:val="0"/>
          <w:sz w:val="32"/>
          <w:szCs w:val="40"/>
        </w:rPr>
        <w:t>规划明确将数字经济发展作为经济转型升级</w:t>
      </w:r>
      <w:r>
        <w:rPr>
          <w:rFonts w:ascii="仿宋_GB2312" w:eastAsia="仿宋_GB2312" w:cs="Calibri"/>
          <w:smallCaps/>
          <w:spacing w:val="-6"/>
          <w:kern w:val="0"/>
          <w:sz w:val="32"/>
          <w:szCs w:val="40"/>
        </w:rPr>
        <w:t>的重要手段，未来核心技术将逐步突破、涉及行业将不断拓展、产业应用逐步深入，为</w:t>
      </w:r>
      <w:r>
        <w:rPr>
          <w:rFonts w:hint="eastAsia" w:ascii="仿宋_GB2312" w:eastAsia="仿宋_GB2312" w:cs="Calibri"/>
          <w:smallCaps/>
          <w:spacing w:val="-6"/>
          <w:kern w:val="0"/>
          <w:sz w:val="32"/>
          <w:szCs w:val="40"/>
        </w:rPr>
        <w:t>旺苍</w:t>
      </w:r>
      <w:r>
        <w:rPr>
          <w:rFonts w:ascii="仿宋_GB2312" w:eastAsia="仿宋_GB2312" w:cs="Calibri"/>
          <w:smallCaps/>
          <w:spacing w:val="-6"/>
          <w:kern w:val="0"/>
          <w:sz w:val="32"/>
          <w:szCs w:val="40"/>
        </w:rPr>
        <w:t>县数字经济发展指明了方向、提供了思路。</w:t>
      </w:r>
    </w:p>
    <w:p>
      <w:pPr>
        <w:adjustRightInd w:val="0"/>
        <w:snapToGrid w:val="0"/>
        <w:spacing w:line="546" w:lineRule="exact"/>
        <w:ind w:firstLine="642" w:firstLineChars="200"/>
        <w:rPr>
          <w:rFonts w:ascii="仿宋_GB2312" w:eastAsia="仿宋_GB2312" w:cs="Calibri"/>
          <w:smallCaps/>
          <w:kern w:val="0"/>
          <w:sz w:val="32"/>
          <w:szCs w:val="40"/>
        </w:rPr>
      </w:pPr>
      <w:bookmarkStart w:id="16" w:name="_Toc84612385"/>
      <w:r>
        <w:rPr>
          <w:rFonts w:ascii="楷体_GB2312" w:eastAsia="楷体_GB2312" w:cs="Calibri"/>
          <w:b/>
          <w:smallCaps/>
          <w:kern w:val="0"/>
          <w:sz w:val="32"/>
          <w:szCs w:val="40"/>
        </w:rPr>
        <w:t>新兴技术加快突破</w:t>
      </w:r>
      <w:bookmarkEnd w:id="16"/>
      <w:r>
        <w:rPr>
          <w:rFonts w:ascii="楷体_GB2312" w:eastAsia="楷体_GB2312" w:cs="Calibri"/>
          <w:b/>
          <w:smallCaps/>
          <w:kern w:val="0"/>
          <w:sz w:val="32"/>
          <w:szCs w:val="40"/>
        </w:rPr>
        <w:t>。</w:t>
      </w:r>
      <w:r>
        <w:rPr>
          <w:rFonts w:ascii="仿宋_GB2312" w:eastAsia="仿宋_GB2312" w:cs="Calibri"/>
          <w:smallCaps/>
          <w:kern w:val="0"/>
          <w:sz w:val="32"/>
          <w:szCs w:val="40"/>
        </w:rPr>
        <w:t>云计算、大数据、物联网、移动互联网、人工智能等新一代信息技术快速演进，硬件、软件、服务等核心技术体系加速重构，单点技术和单一产品的创新正加速向多技术融合互动的系统化、集成化创新转变，创新周期大幅缩短。目前，国内人工智能、5G、区块链等领域尚未出现处于主导地位的生态掌控者，为</w:t>
      </w:r>
      <w:r>
        <w:rPr>
          <w:rFonts w:hint="eastAsia" w:ascii="仿宋_GB2312" w:eastAsia="仿宋_GB2312" w:cs="Calibri"/>
          <w:smallCaps/>
          <w:kern w:val="0"/>
          <w:sz w:val="32"/>
          <w:szCs w:val="40"/>
          <w:lang w:val="en-US" w:eastAsia="zh-CN"/>
        </w:rPr>
        <w:t>旺苍</w:t>
      </w:r>
      <w:r>
        <w:rPr>
          <w:rFonts w:ascii="仿宋_GB2312" w:eastAsia="仿宋_GB2312" w:cs="Calibri"/>
          <w:smallCaps/>
          <w:kern w:val="0"/>
          <w:sz w:val="32"/>
          <w:szCs w:val="40"/>
        </w:rPr>
        <w:t>参与下一轮生态竞争，实现跨越发展带来机遇。</w:t>
      </w:r>
    </w:p>
    <w:p>
      <w:pPr>
        <w:adjustRightInd w:val="0"/>
        <w:snapToGrid w:val="0"/>
        <w:spacing w:line="546" w:lineRule="exact"/>
        <w:ind w:firstLine="642" w:firstLineChars="200"/>
        <w:rPr>
          <w:rFonts w:ascii="Times New Roman" w:hAnsi="Times New Roman" w:eastAsia="仿宋_GB2312" w:cs="Times New Roman"/>
          <w:sz w:val="32"/>
          <w:szCs w:val="32"/>
        </w:rPr>
      </w:pPr>
      <w:bookmarkStart w:id="17" w:name="_Toc84612386"/>
      <w:r>
        <w:rPr>
          <w:rFonts w:ascii="楷体_GB2312" w:eastAsia="楷体_GB2312" w:cs="Calibri"/>
          <w:b/>
          <w:smallCaps/>
          <w:kern w:val="0"/>
          <w:sz w:val="32"/>
          <w:szCs w:val="40"/>
        </w:rPr>
        <w:t>数据成为生产要素</w:t>
      </w:r>
      <w:bookmarkEnd w:id="17"/>
      <w:r>
        <w:rPr>
          <w:rFonts w:ascii="楷体_GB2312" w:eastAsia="楷体_GB2312" w:cs="Calibri"/>
          <w:b/>
          <w:smallCaps/>
          <w:kern w:val="0"/>
          <w:sz w:val="32"/>
          <w:szCs w:val="40"/>
        </w:rPr>
        <w:t>。</w:t>
      </w:r>
      <w:r>
        <w:rPr>
          <w:rFonts w:ascii="Times New Roman" w:hAnsi="Times New Roman" w:eastAsia="仿宋_GB2312" w:cs="Times New Roman"/>
          <w:sz w:val="32"/>
          <w:szCs w:val="32"/>
        </w:rPr>
        <w:t>中共中央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国务院《关于构建更加完善的要素市场化配置体制机制的意见》明确，加快培育数据要素市场，推进政府数据开放共享、提升社会数据资源价值、加强数据资源整合和安全保护。数据作为一种新型生产要素写入中央文件中，体现了互联网大数据时代的新特征。为此，</w:t>
      </w:r>
      <w:r>
        <w:rPr>
          <w:rFonts w:hint="eastAsia" w:ascii="Times New Roman" w:hAnsi="Times New Roman" w:eastAsia="仿宋_GB2312" w:cs="Times New Roman"/>
          <w:sz w:val="32"/>
          <w:szCs w:val="32"/>
          <w:lang w:val="en-US" w:eastAsia="zh-CN"/>
        </w:rPr>
        <w:t>旺苍</w:t>
      </w:r>
      <w:r>
        <w:rPr>
          <w:rFonts w:ascii="Times New Roman" w:hAnsi="Times New Roman" w:eastAsia="仿宋_GB2312" w:cs="Times New Roman"/>
          <w:sz w:val="32"/>
          <w:szCs w:val="32"/>
        </w:rPr>
        <w:t>要顺应时代潮流和发展趋势，研究探索数据的共享责任、技术开发、管理制度和安全保护等各方面的治理规则，推动数据要素的高效配置。</w:t>
      </w:r>
    </w:p>
    <w:p>
      <w:pPr>
        <w:adjustRightInd w:val="0"/>
        <w:snapToGrid w:val="0"/>
        <w:spacing w:line="546" w:lineRule="exact"/>
        <w:ind w:firstLine="642" w:firstLineChars="200"/>
        <w:rPr>
          <w:rFonts w:ascii="Times New Roman" w:hAnsi="Times New Roman" w:eastAsia="仿宋_GB2312" w:cs="Times New Roman"/>
          <w:sz w:val="32"/>
          <w:szCs w:val="32"/>
        </w:rPr>
      </w:pPr>
      <w:bookmarkStart w:id="18" w:name="_Toc84612387"/>
      <w:r>
        <w:rPr>
          <w:rFonts w:ascii="楷体_GB2312" w:eastAsia="楷体_GB2312" w:cs="Calibri"/>
          <w:b/>
          <w:smallCaps/>
          <w:kern w:val="0"/>
          <w:sz w:val="32"/>
          <w:szCs w:val="40"/>
        </w:rPr>
        <w:t>融合发展成为趋势</w:t>
      </w:r>
      <w:bookmarkEnd w:id="18"/>
      <w:r>
        <w:rPr>
          <w:rFonts w:ascii="楷体_GB2312" w:eastAsia="楷体_GB2312" w:cs="Calibri"/>
          <w:b/>
          <w:smallCaps/>
          <w:kern w:val="0"/>
          <w:sz w:val="32"/>
          <w:szCs w:val="40"/>
        </w:rPr>
        <w:t>。</w:t>
      </w:r>
      <w:r>
        <w:rPr>
          <w:rFonts w:ascii="Times New Roman" w:hAnsi="Times New Roman" w:eastAsia="仿宋_GB2312" w:cs="Times New Roman"/>
          <w:sz w:val="32"/>
          <w:szCs w:val="32"/>
        </w:rPr>
        <w:t>信息技术与制造、材料、能源、生物等技术的交叉渗透日益深化，智能控制、智能材料、生物芯片等交叉融合创新方兴未艾，工业互联网、能源互联网等新业态加速突破，大规模个性化定制、网络化协同制造、共享经济等信息经济新模式快速涌现。为此，</w:t>
      </w:r>
      <w:r>
        <w:rPr>
          <w:rFonts w:hint="eastAsia" w:ascii="Times New Roman" w:hAnsi="Times New Roman" w:eastAsia="仿宋_GB2312" w:cs="Times New Roman"/>
          <w:sz w:val="32"/>
          <w:szCs w:val="32"/>
          <w:lang w:val="en-US" w:eastAsia="zh-CN"/>
        </w:rPr>
        <w:t>旺苍</w:t>
      </w:r>
      <w:r>
        <w:rPr>
          <w:rFonts w:ascii="Times New Roman" w:hAnsi="Times New Roman" w:eastAsia="仿宋_GB2312" w:cs="Times New Roman"/>
          <w:sz w:val="32"/>
          <w:szCs w:val="32"/>
        </w:rPr>
        <w:t>要深入推进数字技术与各行业的融合发展，引领经济社会高质量发展。</w:t>
      </w:r>
    </w:p>
    <w:p>
      <w:pPr>
        <w:adjustRightInd w:val="0"/>
        <w:snapToGrid w:val="0"/>
        <w:spacing w:line="546" w:lineRule="exact"/>
        <w:ind w:firstLine="642" w:firstLineChars="200"/>
        <w:rPr>
          <w:rFonts w:ascii="Times New Roman" w:hAnsi="Times New Roman" w:eastAsia="仿宋_GB2312" w:cs="Times New Roman"/>
          <w:sz w:val="32"/>
          <w:szCs w:val="32"/>
        </w:rPr>
      </w:pPr>
      <w:bookmarkStart w:id="19" w:name="_Toc84612388"/>
      <w:r>
        <w:rPr>
          <w:rFonts w:ascii="楷体_GB2312" w:eastAsia="楷体_GB2312" w:cs="Calibri"/>
          <w:b/>
          <w:smallCaps/>
          <w:kern w:val="0"/>
          <w:sz w:val="32"/>
          <w:szCs w:val="40"/>
        </w:rPr>
        <w:t>网络安全形势严峻</w:t>
      </w:r>
      <w:bookmarkEnd w:id="19"/>
      <w:r>
        <w:rPr>
          <w:rFonts w:ascii="楷体_GB2312" w:eastAsia="楷体_GB2312" w:cs="Calibri"/>
          <w:b/>
          <w:smallCaps/>
          <w:kern w:val="0"/>
          <w:sz w:val="32"/>
          <w:szCs w:val="40"/>
        </w:rPr>
        <w:t>。</w:t>
      </w:r>
      <w:r>
        <w:rPr>
          <w:rFonts w:ascii="Times New Roman" w:hAnsi="Times New Roman" w:eastAsia="仿宋_GB2312" w:cs="Times New Roman"/>
          <w:sz w:val="32"/>
          <w:szCs w:val="32"/>
        </w:rPr>
        <w:t>近年来，全球勒索软件攻击事件显著增多，大规模数据泄露趋于常态化，软件供应链攻击正在成为网络安全面临的突出威胁，新技术应用带来的安全风险和监管挑战隐现。在此背景下，国家明确将网络安全作为国家战略的重点方向，并聚焦数据安全、供应链安全等领域更新出台网络安全政策法规及标准指南，不断加码监管力度。为此，要加强网络安全战略部署，加强关键核心技术突破，创新服务模式，培育骨干企业，保障网络信息安全。</w:t>
      </w:r>
    </w:p>
    <w:p>
      <w:pPr>
        <w:pStyle w:val="30"/>
        <w:adjustRightInd w:val="0"/>
        <w:snapToGrid w:val="0"/>
        <w:spacing w:line="546" w:lineRule="exact"/>
        <w:ind w:firstLine="640"/>
        <w:outlineLvl w:val="0"/>
        <w:rPr>
          <w:rFonts w:eastAsia="黑体" w:cs="Times New Roman"/>
        </w:rPr>
      </w:pPr>
      <w:bookmarkStart w:id="20" w:name="_Toc99320417"/>
      <w:bookmarkStart w:id="21" w:name="_Toc84612389"/>
      <w:r>
        <w:rPr>
          <w:rFonts w:eastAsia="黑体" w:cs="Times New Roman"/>
        </w:rPr>
        <w:t>二、总体要求</w:t>
      </w:r>
      <w:bookmarkEnd w:id="20"/>
      <w:bookmarkEnd w:id="21"/>
    </w:p>
    <w:p>
      <w:pPr>
        <w:pStyle w:val="30"/>
        <w:adjustRightInd w:val="0"/>
        <w:snapToGrid w:val="0"/>
        <w:spacing w:line="540" w:lineRule="exact"/>
        <w:ind w:firstLine="640"/>
        <w:outlineLvl w:val="1"/>
        <w:rPr>
          <w:rFonts w:ascii="楷体_GB2312" w:eastAsia="楷体_GB2312" w:cs="Times New Roman"/>
        </w:rPr>
      </w:pPr>
      <w:bookmarkStart w:id="22" w:name="_Toc84612390"/>
      <w:bookmarkStart w:id="23" w:name="_Toc99320418"/>
      <w:r>
        <w:rPr>
          <w:rFonts w:ascii="楷体_GB2312" w:eastAsia="楷体_GB2312" w:cs="Times New Roman"/>
        </w:rPr>
        <w:t>（一）指导思想</w:t>
      </w:r>
      <w:bookmarkEnd w:id="22"/>
      <w:bookmarkEnd w:id="23"/>
    </w:p>
    <w:p>
      <w:pPr>
        <w:adjustRightInd w:val="0"/>
        <w:snapToGrid w:val="0"/>
        <w:spacing w:line="546" w:lineRule="exact"/>
        <w:ind w:firstLine="640" w:firstLineChars="200"/>
        <w:rPr>
          <w:rFonts w:ascii="仿宋_GB2312" w:eastAsia="仿宋_GB2312" w:cs="Calibri"/>
          <w:smallCaps/>
          <w:kern w:val="0"/>
          <w:sz w:val="32"/>
          <w:szCs w:val="40"/>
        </w:rPr>
      </w:pPr>
      <w:r>
        <w:rPr>
          <w:rFonts w:ascii="Times New Roman" w:hAnsi="Times New Roman" w:eastAsia="仿宋_GB2312" w:cs="Times New Roman"/>
          <w:sz w:val="32"/>
          <w:szCs w:val="32"/>
        </w:rPr>
        <w:t>以习近</w:t>
      </w:r>
      <w:r>
        <w:rPr>
          <w:rFonts w:ascii="仿宋_GB2312" w:eastAsia="仿宋_GB2312" w:cs="Calibri"/>
          <w:smallCaps/>
          <w:kern w:val="0"/>
          <w:sz w:val="32"/>
          <w:szCs w:val="40"/>
        </w:rPr>
        <w:t>平新时代中国特色社会主义思想为指导，深入贯彻习近平总书记对四川工作系列重要指示精神，紧扣省委省政府创建国家数字经济创新发展试验区的工作要求，</w:t>
      </w:r>
      <w:r>
        <w:rPr>
          <w:rFonts w:hint="eastAsia" w:ascii="仿宋_GB2312" w:eastAsia="仿宋_GB2312" w:cs="Calibri"/>
          <w:smallCaps/>
          <w:kern w:val="0"/>
          <w:sz w:val="32"/>
          <w:szCs w:val="40"/>
        </w:rPr>
        <w:t>以“聚力发展枢纽经济、生态经济、民营经济、数字经济”为</w:t>
      </w:r>
      <w:r>
        <w:rPr>
          <w:rFonts w:ascii="仿宋_GB2312" w:eastAsia="仿宋_GB2312" w:cs="Calibri"/>
          <w:smallCaps/>
          <w:kern w:val="0"/>
          <w:sz w:val="32"/>
          <w:szCs w:val="40"/>
        </w:rPr>
        <w:t>引领，</w:t>
      </w:r>
      <w:r>
        <w:rPr>
          <w:rFonts w:hint="eastAsia" w:ascii="仿宋_GB2312" w:eastAsia="仿宋_GB2312" w:cs="Calibri"/>
          <w:smallCaps/>
          <w:kern w:val="0"/>
          <w:sz w:val="32"/>
          <w:szCs w:val="40"/>
        </w:rPr>
        <w:t>把发展数字经济作为贯彻落实创新发展理念、培育发展新动能的重要抓手，聚焦聚力高质量、竞争力、现代化，抢抓地方数据经济发展机遇，做大做强县域数字经济，为确保数字经济高质量发展注入新引擎，紧紧围绕</w:t>
      </w:r>
      <w:r>
        <w:rPr>
          <w:rFonts w:ascii="仿宋_GB2312" w:eastAsia="仿宋_GB2312" w:cs="Calibri"/>
          <w:smallCaps/>
          <w:kern w:val="0"/>
          <w:sz w:val="32"/>
          <w:szCs w:val="40"/>
        </w:rPr>
        <w:t>新型基础设施</w:t>
      </w:r>
      <w:r>
        <w:rPr>
          <w:rFonts w:hint="eastAsia" w:ascii="仿宋_GB2312" w:eastAsia="仿宋_GB2312" w:cs="Calibri"/>
          <w:smallCaps/>
          <w:kern w:val="0"/>
          <w:sz w:val="32"/>
          <w:szCs w:val="40"/>
        </w:rPr>
        <w:t>建设</w:t>
      </w:r>
      <w:r>
        <w:rPr>
          <w:rFonts w:ascii="仿宋_GB2312" w:eastAsia="仿宋_GB2312" w:cs="Calibri"/>
          <w:smallCaps/>
          <w:kern w:val="0"/>
          <w:sz w:val="32"/>
          <w:szCs w:val="40"/>
        </w:rPr>
        <w:t>、数字产业</w:t>
      </w:r>
      <w:r>
        <w:rPr>
          <w:rFonts w:hint="eastAsia" w:ascii="仿宋_GB2312" w:eastAsia="仿宋_GB2312" w:cs="Calibri"/>
          <w:smallCaps/>
          <w:kern w:val="0"/>
          <w:sz w:val="32"/>
          <w:szCs w:val="40"/>
        </w:rPr>
        <w:t>发展</w:t>
      </w:r>
      <w:r>
        <w:rPr>
          <w:rFonts w:ascii="仿宋_GB2312" w:eastAsia="仿宋_GB2312" w:cs="Calibri"/>
          <w:smallCaps/>
          <w:kern w:val="0"/>
          <w:sz w:val="32"/>
          <w:szCs w:val="40"/>
        </w:rPr>
        <w:t>、</w:t>
      </w:r>
      <w:r>
        <w:rPr>
          <w:rFonts w:hint="eastAsia" w:ascii="仿宋_GB2312" w:eastAsia="仿宋_GB2312" w:cs="Calibri"/>
          <w:smallCaps/>
          <w:kern w:val="0"/>
          <w:sz w:val="32"/>
          <w:szCs w:val="40"/>
        </w:rPr>
        <w:t>传统</w:t>
      </w:r>
      <w:r>
        <w:rPr>
          <w:rFonts w:ascii="仿宋_GB2312" w:eastAsia="仿宋_GB2312" w:cs="Calibri"/>
          <w:smallCaps/>
          <w:kern w:val="0"/>
          <w:sz w:val="32"/>
          <w:szCs w:val="40"/>
        </w:rPr>
        <w:t>产业数字转型、数字综合治理、网络信息安全五大任务克难攻坚，</w:t>
      </w:r>
      <w:r>
        <w:rPr>
          <w:rFonts w:hint="eastAsia" w:ascii="仿宋_GB2312" w:eastAsia="仿宋_GB2312" w:cs="Calibri"/>
          <w:smallCaps/>
          <w:kern w:val="0"/>
          <w:sz w:val="32"/>
          <w:szCs w:val="40"/>
        </w:rPr>
        <w:t>加速构建现代化地方经济体系</w:t>
      </w:r>
      <w:r>
        <w:rPr>
          <w:rFonts w:ascii="仿宋_GB2312" w:eastAsia="仿宋_GB2312" w:cs="Calibri"/>
          <w:smallCaps/>
          <w:kern w:val="0"/>
          <w:sz w:val="32"/>
          <w:szCs w:val="40"/>
        </w:rPr>
        <w:t>，以优异成绩完成</w:t>
      </w:r>
      <w:r>
        <w:rPr>
          <w:rFonts w:hint="eastAsia" w:ascii="仿宋_GB2312" w:eastAsia="仿宋_GB2312" w:cs="Calibri"/>
          <w:smallCaps/>
          <w:kern w:val="0"/>
          <w:sz w:val="32"/>
          <w:szCs w:val="40"/>
        </w:rPr>
        <w:t>四川省新型智慧试点示范县建设</w:t>
      </w:r>
      <w:r>
        <w:rPr>
          <w:rFonts w:ascii="仿宋_GB2312" w:eastAsia="仿宋_GB2312" w:cs="Calibri"/>
          <w:smallCaps/>
          <w:kern w:val="0"/>
          <w:sz w:val="32"/>
          <w:szCs w:val="40"/>
        </w:rPr>
        <w:t>。</w:t>
      </w:r>
    </w:p>
    <w:p>
      <w:pPr>
        <w:pStyle w:val="30"/>
        <w:adjustRightInd w:val="0"/>
        <w:snapToGrid w:val="0"/>
        <w:spacing w:line="540" w:lineRule="exact"/>
        <w:ind w:firstLine="640"/>
        <w:outlineLvl w:val="1"/>
        <w:rPr>
          <w:rFonts w:ascii="楷体_GB2312" w:eastAsia="楷体_GB2312" w:cs="Times New Roman"/>
        </w:rPr>
      </w:pPr>
      <w:bookmarkStart w:id="24" w:name="_Toc84612391"/>
      <w:bookmarkStart w:id="25" w:name="_Toc99320419"/>
      <w:r>
        <w:rPr>
          <w:rFonts w:ascii="楷体_GB2312" w:eastAsia="楷体_GB2312" w:cs="Times New Roman"/>
        </w:rPr>
        <w:t>（二）基本原则</w:t>
      </w:r>
      <w:bookmarkEnd w:id="24"/>
      <w:bookmarkEnd w:id="25"/>
    </w:p>
    <w:p>
      <w:pPr>
        <w:adjustRightInd w:val="0"/>
        <w:snapToGrid w:val="0"/>
        <w:spacing w:line="546" w:lineRule="exact"/>
        <w:ind w:firstLine="642" w:firstLineChars="200"/>
        <w:rPr>
          <w:rFonts w:ascii="Times New Roman" w:hAnsi="Times New Roman" w:eastAsia="仿宋_GB2312" w:cs="Times New Roman"/>
          <w:sz w:val="32"/>
          <w:szCs w:val="32"/>
        </w:rPr>
      </w:pPr>
      <w:r>
        <w:rPr>
          <w:rFonts w:ascii="楷体_GB2312" w:eastAsia="楷体_GB2312" w:cs="Calibri"/>
          <w:b/>
          <w:smallCaps/>
          <w:kern w:val="0"/>
          <w:sz w:val="32"/>
          <w:szCs w:val="40"/>
        </w:rPr>
        <w:t>坚持统筹部署。</w:t>
      </w:r>
      <w:r>
        <w:rPr>
          <w:rFonts w:hint="eastAsia" w:ascii="Times New Roman" w:hAnsi="Times New Roman" w:eastAsia="仿宋_GB2312" w:cs="Times New Roman"/>
          <w:sz w:val="32"/>
          <w:szCs w:val="32"/>
        </w:rPr>
        <w:t>把握数字经济发展趋势，发挥数据作为关键生产要素的基础性、战略性作用，深化广元、旺苍区域联动，加强政、产、学、研、用协调发展，形成差异布局、协同共进、分工合作的良性局面。</w:t>
      </w:r>
    </w:p>
    <w:p>
      <w:pPr>
        <w:adjustRightInd w:val="0"/>
        <w:snapToGrid w:val="0"/>
        <w:spacing w:line="546" w:lineRule="exact"/>
        <w:ind w:firstLine="642" w:firstLineChars="200"/>
        <w:rPr>
          <w:rFonts w:ascii="仿宋" w:hAnsi="仿宋" w:eastAsia="仿宋" w:cs="宋体"/>
          <w:color w:val="000000"/>
          <w:kern w:val="0"/>
          <w:sz w:val="30"/>
          <w:szCs w:val="30"/>
        </w:rPr>
      </w:pPr>
      <w:r>
        <w:rPr>
          <w:rFonts w:hint="eastAsia" w:ascii="楷体_GB2312" w:eastAsia="楷体_GB2312" w:cs="Calibri"/>
          <w:b/>
          <w:smallCaps/>
          <w:kern w:val="0"/>
          <w:sz w:val="32"/>
          <w:szCs w:val="40"/>
        </w:rPr>
        <w:t>坚持创新驱动。</w:t>
      </w:r>
      <w:r>
        <w:rPr>
          <w:rFonts w:hint="eastAsia" w:ascii="仿宋" w:hAnsi="仿宋" w:eastAsia="仿宋" w:cs="宋体"/>
          <w:color w:val="000000"/>
          <w:kern w:val="0"/>
          <w:sz w:val="30"/>
          <w:szCs w:val="30"/>
        </w:rPr>
        <w:t>瞄准数字经济领域前沿技术，加强大数据技术开发和</w:t>
      </w:r>
      <w:r>
        <w:rPr>
          <w:rFonts w:hint="eastAsia" w:ascii="仿宋" w:hAnsi="仿宋" w:eastAsia="仿宋"/>
          <w:sz w:val="30"/>
          <w:szCs w:val="30"/>
        </w:rPr>
        <w:t>应用</w:t>
      </w:r>
      <w:r>
        <w:rPr>
          <w:rFonts w:hint="eastAsia" w:ascii="仿宋" w:hAnsi="仿宋" w:eastAsia="仿宋" w:cs="宋体"/>
          <w:color w:val="000000"/>
          <w:kern w:val="0"/>
          <w:sz w:val="30"/>
          <w:szCs w:val="30"/>
        </w:rPr>
        <w:t>创新，鼓励利用信息化技术开展创新创业，突出企业创新主体地位，打造政产学研用深度融合的创新体系。促进新一代数字经济技术与政务服务、社会治理、智慧城市等的深度融合，加快产业政策和机制创新，构建适应数字经济发展的软环境。</w:t>
      </w:r>
      <w:bookmarkStart w:id="26" w:name="_Toc31509"/>
      <w:bookmarkEnd w:id="26"/>
      <w:bookmarkStart w:id="27" w:name="_Toc24738"/>
      <w:bookmarkEnd w:id="27"/>
    </w:p>
    <w:p>
      <w:pPr>
        <w:adjustRightInd w:val="0"/>
        <w:snapToGrid w:val="0"/>
        <w:spacing w:line="546" w:lineRule="exact"/>
        <w:ind w:firstLine="642" w:firstLineChars="200"/>
        <w:rPr>
          <w:rFonts w:ascii="Times New Roman" w:hAnsi="Times New Roman" w:eastAsia="仿宋_GB2312" w:cs="Times New Roman"/>
          <w:sz w:val="32"/>
          <w:szCs w:val="32"/>
        </w:rPr>
      </w:pPr>
      <w:r>
        <w:rPr>
          <w:rFonts w:ascii="楷体_GB2312" w:eastAsia="楷体_GB2312" w:cs="Calibri"/>
          <w:b/>
          <w:smallCaps/>
          <w:kern w:val="0"/>
          <w:sz w:val="32"/>
          <w:szCs w:val="40"/>
        </w:rPr>
        <w:t>坚持数据赋能。</w:t>
      </w:r>
      <w:r>
        <w:rPr>
          <w:rFonts w:ascii="Times New Roman" w:hAnsi="Times New Roman" w:eastAsia="仿宋_GB2312" w:cs="Times New Roman"/>
          <w:sz w:val="32"/>
          <w:szCs w:val="32"/>
        </w:rPr>
        <w:t>把握数字经济发展趋势，发挥数据作为关键生产要素的基础性、战略性作用，打通政府数据壁垒，实现统一数据支撑，实现数据共享、数据交换、数据互通。以政务云建设为契机，汇聚全</w:t>
      </w:r>
      <w:r>
        <w:rPr>
          <w:rFonts w:hint="eastAsia" w:ascii="Times New Roman" w:hAnsi="Times New Roman" w:eastAsia="仿宋_GB2312" w:cs="Times New Roman"/>
          <w:sz w:val="32"/>
          <w:szCs w:val="32"/>
          <w:lang w:val="en-US" w:eastAsia="zh-CN"/>
        </w:rPr>
        <w:t>县</w:t>
      </w:r>
      <w:r>
        <w:rPr>
          <w:rFonts w:ascii="Times New Roman" w:hAnsi="Times New Roman" w:eastAsia="仿宋_GB2312" w:cs="Times New Roman"/>
          <w:sz w:val="32"/>
          <w:szCs w:val="32"/>
        </w:rPr>
        <w:t>各部门业务系统数据，实现数据入口的多元化、动态化、常态化管理和数据出口的统一化、规范化、唯一化管理，加快实现数据赋能。</w:t>
      </w:r>
    </w:p>
    <w:p>
      <w:pPr>
        <w:adjustRightInd w:val="0"/>
        <w:snapToGrid w:val="0"/>
        <w:spacing w:line="546" w:lineRule="exact"/>
        <w:ind w:firstLine="642" w:firstLineChars="200"/>
        <w:rPr>
          <w:rFonts w:ascii="Times New Roman" w:hAnsi="Times New Roman" w:eastAsia="仿宋_GB2312" w:cs="Times New Roman"/>
          <w:sz w:val="32"/>
          <w:szCs w:val="32"/>
        </w:rPr>
      </w:pPr>
      <w:r>
        <w:rPr>
          <w:rFonts w:ascii="楷体_GB2312" w:eastAsia="楷体_GB2312" w:cs="Calibri"/>
          <w:b/>
          <w:smallCaps/>
          <w:kern w:val="0"/>
          <w:sz w:val="32"/>
          <w:szCs w:val="40"/>
        </w:rPr>
        <w:t>坚持安全可控。</w:t>
      </w:r>
      <w:r>
        <w:rPr>
          <w:rFonts w:ascii="Times New Roman" w:hAnsi="Times New Roman" w:eastAsia="仿宋_GB2312" w:cs="Times New Roman"/>
          <w:sz w:val="32"/>
          <w:szCs w:val="32"/>
        </w:rPr>
        <w:t>立足当前网络安全形势，坚持数字化产品创新与网络安全可控并重，普及网络安全教育，建立健全数据安全防护体系，保障个人信息安全，促进数据资源有序流动与规范利用。加快建设数字经济安全保障体系，推动网络安全与数字经济发展良性互动，提升广大人民群众在网络空间的获得感、幸福感和安全感。</w:t>
      </w:r>
    </w:p>
    <w:p>
      <w:pPr>
        <w:pStyle w:val="30"/>
        <w:adjustRightInd w:val="0"/>
        <w:snapToGrid w:val="0"/>
        <w:spacing w:line="540" w:lineRule="exact"/>
        <w:ind w:firstLine="640"/>
        <w:outlineLvl w:val="1"/>
        <w:rPr>
          <w:rFonts w:ascii="楷体_GB2312" w:eastAsia="楷体_GB2312" w:cs="Times New Roman"/>
        </w:rPr>
      </w:pPr>
      <w:bookmarkStart w:id="28" w:name="_Toc99320420"/>
      <w:bookmarkStart w:id="29" w:name="_Toc84612392"/>
      <w:r>
        <w:rPr>
          <w:rFonts w:ascii="楷体_GB2312" w:eastAsia="楷体_GB2312" w:cs="Times New Roman"/>
        </w:rPr>
        <w:t>（三）主要目标</w:t>
      </w:r>
      <w:bookmarkEnd w:id="28"/>
      <w:bookmarkEnd w:id="29"/>
    </w:p>
    <w:p>
      <w:pPr>
        <w:adjustRightInd w:val="0"/>
        <w:snapToGrid w:val="0"/>
        <w:spacing w:line="540" w:lineRule="exact"/>
        <w:ind w:firstLine="640" w:firstLineChars="200"/>
        <w:rPr>
          <w:rFonts w:ascii="仿宋_GB2312" w:eastAsia="仿宋_GB2312" w:cs="Calibri"/>
          <w:smallCaps/>
          <w:kern w:val="0"/>
          <w:sz w:val="32"/>
          <w:szCs w:val="40"/>
        </w:rPr>
      </w:pPr>
      <w:r>
        <w:rPr>
          <w:rFonts w:ascii="仿宋_GB2312" w:eastAsia="仿宋_GB2312" w:cs="Calibri"/>
          <w:smallCaps/>
          <w:kern w:val="0"/>
          <w:sz w:val="32"/>
          <w:szCs w:val="40"/>
        </w:rPr>
        <w:t>到2025年，数字经济发展体系基本形成，各领域数字资源开放利用水平显著提升，数字经济前沿基础和关键技术创新能力显著增强，重点产业领域数字化转型基本完成，公共服务数字化水平和城市数字化治理能力不断增强，涌现一批标杆型龙头企业和引领型创新企业，赋能实体经济实现大幅跃升</w:t>
      </w:r>
      <w:r>
        <w:rPr>
          <w:rFonts w:hint="eastAsia" w:ascii="仿宋_GB2312" w:eastAsia="仿宋_GB2312" w:cs="Calibri"/>
          <w:smallCaps/>
          <w:kern w:val="0"/>
          <w:sz w:val="32"/>
          <w:szCs w:val="40"/>
        </w:rPr>
        <w:t>。</w:t>
      </w:r>
    </w:p>
    <w:p>
      <w:pPr>
        <w:adjustRightInd w:val="0"/>
        <w:snapToGrid w:val="0"/>
        <w:spacing w:line="540" w:lineRule="exact"/>
        <w:ind w:firstLine="640" w:firstLineChars="200"/>
        <w:rPr>
          <w:rFonts w:ascii="仿宋_GB2312" w:eastAsia="仿宋_GB2312" w:cs="Calibri"/>
          <w:smallCaps/>
          <w:kern w:val="0"/>
          <w:sz w:val="32"/>
          <w:szCs w:val="40"/>
        </w:rPr>
      </w:pPr>
      <w:r>
        <w:rPr>
          <w:rFonts w:hint="eastAsia" w:ascii="楷体_GB2312" w:eastAsia="楷体_GB2312" w:cs="Calibri"/>
          <w:smallCaps/>
          <w:kern w:val="0"/>
          <w:sz w:val="32"/>
          <w:szCs w:val="40"/>
        </w:rPr>
        <w:t>数字经济规模持续快速增长。</w:t>
      </w:r>
      <w:r>
        <w:rPr>
          <w:rFonts w:ascii="仿宋_GB2312" w:eastAsia="仿宋_GB2312" w:cs="Calibri"/>
          <w:smallCaps/>
          <w:kern w:val="0"/>
          <w:sz w:val="32"/>
          <w:szCs w:val="40"/>
        </w:rPr>
        <w:t>到2025年，</w:t>
      </w:r>
      <w:r>
        <w:rPr>
          <w:rFonts w:hint="eastAsia" w:ascii="仿宋_GB2312" w:eastAsia="仿宋_GB2312" w:cs="Calibri"/>
          <w:smallCaps/>
          <w:kern w:val="0"/>
          <w:sz w:val="32"/>
          <w:szCs w:val="40"/>
        </w:rPr>
        <w:t>数字经济规模</w:t>
      </w:r>
      <w:r>
        <w:rPr>
          <w:rFonts w:ascii="仿宋_GB2312" w:eastAsia="仿宋_GB2312" w:cs="Calibri"/>
          <w:smallCaps/>
          <w:kern w:val="0"/>
          <w:sz w:val="32"/>
          <w:szCs w:val="40"/>
        </w:rPr>
        <w:t>达50亿元，</w:t>
      </w:r>
      <w:r>
        <w:rPr>
          <w:rFonts w:hint="eastAsia" w:ascii="仿宋_GB2312" w:eastAsia="仿宋_GB2312" w:cs="Calibri"/>
          <w:smallCaps/>
          <w:kern w:val="0"/>
          <w:sz w:val="32"/>
          <w:szCs w:val="40"/>
          <w:lang w:val="en-US" w:eastAsia="zh-CN"/>
        </w:rPr>
        <w:t>占GDP比重为28</w:t>
      </w:r>
      <w:r>
        <w:rPr>
          <w:rFonts w:hint="eastAsia" w:ascii="仿宋_GB2312" w:eastAsia="仿宋_GB2312" w:cs="Calibri"/>
          <w:smallCaps/>
          <w:kern w:val="0"/>
          <w:sz w:val="32"/>
          <w:szCs w:val="40"/>
        </w:rPr>
        <w:t>%</w:t>
      </w:r>
      <w:r>
        <w:rPr>
          <w:rFonts w:hint="eastAsia" w:ascii="仿宋_GB2312" w:eastAsia="仿宋_GB2312" w:cs="Calibri"/>
          <w:smallCaps/>
          <w:kern w:val="0"/>
          <w:sz w:val="32"/>
          <w:szCs w:val="40"/>
          <w:lang w:eastAsia="zh-CN"/>
        </w:rPr>
        <w:t>，</w:t>
      </w:r>
      <w:r>
        <w:rPr>
          <w:rFonts w:hint="eastAsia" w:ascii="仿宋_GB2312" w:eastAsia="仿宋_GB2312" w:cs="Calibri"/>
          <w:smallCaps/>
          <w:kern w:val="0"/>
          <w:sz w:val="32"/>
          <w:szCs w:val="40"/>
        </w:rPr>
        <w:t>数字经济核心产业增加值年平均增长</w:t>
      </w:r>
      <w:r>
        <w:rPr>
          <w:rFonts w:ascii="仿宋_GB2312" w:eastAsia="仿宋_GB2312" w:cs="Calibri"/>
          <w:smallCaps/>
          <w:kern w:val="0"/>
          <w:sz w:val="32"/>
          <w:szCs w:val="40"/>
        </w:rPr>
        <w:t>5</w:t>
      </w:r>
      <w:r>
        <w:rPr>
          <w:rFonts w:hint="eastAsia" w:ascii="仿宋_GB2312" w:eastAsia="仿宋_GB2312" w:cs="Calibri"/>
          <w:smallCaps/>
          <w:kern w:val="0"/>
          <w:sz w:val="32"/>
          <w:szCs w:val="40"/>
        </w:rPr>
        <w:t>%以上，占GDP比重10%以上。</w:t>
      </w:r>
    </w:p>
    <w:p>
      <w:pPr>
        <w:adjustRightInd w:val="0"/>
        <w:snapToGrid w:val="0"/>
        <w:spacing w:line="540" w:lineRule="exact"/>
        <w:ind w:firstLine="640" w:firstLineChars="200"/>
        <w:rPr>
          <w:rFonts w:ascii="仿宋_GB2312" w:eastAsia="仿宋_GB2312" w:cs="Calibri"/>
          <w:smallCaps/>
          <w:kern w:val="0"/>
          <w:sz w:val="32"/>
          <w:szCs w:val="40"/>
        </w:rPr>
      </w:pPr>
      <w:r>
        <w:rPr>
          <w:rFonts w:ascii="楷体_GB2312" w:eastAsia="楷体_GB2312" w:cs="Calibri"/>
          <w:smallCaps/>
          <w:kern w:val="0"/>
          <w:sz w:val="32"/>
          <w:szCs w:val="40"/>
        </w:rPr>
        <w:t>数字基础设施支撑能力基本完善。</w:t>
      </w:r>
      <w:r>
        <w:rPr>
          <w:rFonts w:ascii="仿宋_GB2312" w:eastAsia="仿宋_GB2312" w:cs="Calibri"/>
          <w:smallCaps/>
          <w:kern w:val="0"/>
          <w:sz w:val="32"/>
          <w:szCs w:val="40"/>
        </w:rPr>
        <w:t>到2025年，</w:t>
      </w:r>
      <w:r>
        <w:rPr>
          <w:rFonts w:hint="eastAsia" w:ascii="仿宋_GB2312" w:eastAsia="仿宋_GB2312" w:cs="Calibri"/>
          <w:smallCaps/>
          <w:kern w:val="0"/>
          <w:sz w:val="32"/>
          <w:szCs w:val="40"/>
        </w:rPr>
        <w:t>年均</w:t>
      </w:r>
      <w:r>
        <w:rPr>
          <w:rFonts w:ascii="仿宋_GB2312" w:eastAsia="仿宋_GB2312" w:cs="Calibri"/>
          <w:smallCaps/>
          <w:kern w:val="0"/>
          <w:sz w:val="32"/>
          <w:szCs w:val="40"/>
        </w:rPr>
        <w:t>建成</w:t>
      </w:r>
      <w:r>
        <w:rPr>
          <w:rFonts w:hint="eastAsia" w:ascii="仿宋_GB2312" w:eastAsia="仿宋_GB2312" w:cs="Calibri"/>
          <w:smallCaps/>
          <w:kern w:val="0"/>
          <w:sz w:val="32"/>
          <w:szCs w:val="40"/>
        </w:rPr>
        <w:t>5G</w:t>
      </w:r>
      <w:r>
        <w:rPr>
          <w:rFonts w:ascii="仿宋_GB2312" w:eastAsia="仿宋_GB2312" w:cs="Calibri"/>
          <w:smallCaps/>
          <w:kern w:val="0"/>
          <w:sz w:val="32"/>
          <w:szCs w:val="40"/>
        </w:rPr>
        <w:t>基站100个，高速率有线宽带和无线网络实现城乡全面深度覆盖，窄带物联网（NB-IoT）实现</w:t>
      </w:r>
      <w:r>
        <w:rPr>
          <w:rFonts w:hint="eastAsia" w:ascii="仿宋_GB2312" w:eastAsia="仿宋_GB2312" w:cs="Calibri"/>
          <w:smallCaps/>
          <w:kern w:val="0"/>
          <w:sz w:val="32"/>
          <w:szCs w:val="40"/>
        </w:rPr>
        <w:t>县域全</w:t>
      </w:r>
      <w:r>
        <w:rPr>
          <w:rFonts w:ascii="仿宋_GB2312" w:eastAsia="仿宋_GB2312" w:cs="Calibri"/>
          <w:smallCaps/>
          <w:kern w:val="0"/>
          <w:sz w:val="32"/>
          <w:szCs w:val="40"/>
        </w:rPr>
        <w:t>，固定宽带家庭普及率达到95%，移动宽带用户普及率达到90%。</w:t>
      </w:r>
      <w:r>
        <w:rPr>
          <w:rFonts w:hint="eastAsia" w:ascii="仿宋_GB2312" w:eastAsia="仿宋_GB2312" w:cs="仿宋_GB2312"/>
          <w:sz w:val="32"/>
          <w:szCs w:val="32"/>
        </w:rPr>
        <w:t>全面落实</w:t>
      </w:r>
      <w:r>
        <w:rPr>
          <w:rFonts w:ascii="仿宋_GB2312" w:eastAsia="仿宋_GB2312" w:cs="Calibri"/>
          <w:smallCaps/>
          <w:kern w:val="0"/>
          <w:sz w:val="32"/>
          <w:szCs w:val="40"/>
        </w:rPr>
        <w:t>跨层级、跨部门数据资源共享机制形成，对社会治理、经济转型、科技创新的支撑作用日益明显。</w:t>
      </w:r>
    </w:p>
    <w:p>
      <w:pPr>
        <w:adjustRightInd w:val="0"/>
        <w:snapToGrid w:val="0"/>
        <w:spacing w:line="540" w:lineRule="exact"/>
        <w:ind w:firstLine="640" w:firstLineChars="200"/>
        <w:rPr>
          <w:rFonts w:hint="eastAsia" w:ascii="仿宋_GB2312" w:eastAsia="仿宋_GB2312" w:cs="Calibri"/>
          <w:smallCaps/>
          <w:kern w:val="0"/>
          <w:sz w:val="32"/>
          <w:szCs w:val="40"/>
          <w:lang w:eastAsia="zh-CN"/>
        </w:rPr>
      </w:pPr>
      <w:r>
        <w:rPr>
          <w:rFonts w:ascii="楷体_GB2312" w:eastAsia="楷体_GB2312" w:cs="Calibri"/>
          <w:smallCaps/>
          <w:kern w:val="0"/>
          <w:sz w:val="32"/>
          <w:szCs w:val="40"/>
        </w:rPr>
        <w:t>产业数字化转型成效明显。</w:t>
      </w:r>
      <w:r>
        <w:rPr>
          <w:rFonts w:ascii="仿宋_GB2312" w:eastAsia="仿宋_GB2312" w:cs="Calibri"/>
          <w:smallCaps/>
          <w:kern w:val="0"/>
          <w:sz w:val="32"/>
          <w:szCs w:val="40"/>
        </w:rPr>
        <w:t>到2025年，数字技术在一二三产业中实现深度融合应用，建设智能工厂（数字化车间）10家，新增上云企业10家，</w:t>
      </w:r>
      <w:r>
        <w:rPr>
          <w:rFonts w:hint="eastAsia" w:ascii="仿宋_GB2312" w:eastAsia="仿宋_GB2312" w:cs="Calibri"/>
          <w:smallCaps/>
          <w:kern w:val="0"/>
          <w:sz w:val="32"/>
          <w:szCs w:val="40"/>
          <w:lang w:val="en-US" w:eastAsia="zh-CN"/>
        </w:rPr>
        <w:t>建成白水镇卢家坝村、木门镇三合村等5个</w:t>
      </w:r>
      <w:r>
        <w:rPr>
          <w:rFonts w:hint="eastAsia" w:ascii="仿宋_GB2312" w:eastAsia="仿宋_GB2312" w:cs="Calibri"/>
          <w:smallCaps/>
          <w:kern w:val="0"/>
          <w:sz w:val="32"/>
          <w:szCs w:val="40"/>
        </w:rPr>
        <w:t>数字乡村</w:t>
      </w:r>
      <w:r>
        <w:rPr>
          <w:rFonts w:hint="eastAsia" w:ascii="仿宋_GB2312" w:eastAsia="仿宋_GB2312" w:cs="Calibri"/>
          <w:smallCaps/>
          <w:kern w:val="0"/>
          <w:sz w:val="32"/>
          <w:szCs w:val="40"/>
          <w:lang w:val="en-US" w:eastAsia="zh-CN"/>
        </w:rPr>
        <w:t>平台，</w:t>
      </w:r>
      <w:r>
        <w:rPr>
          <w:rFonts w:hint="eastAsia" w:ascii="仿宋_GB2312" w:eastAsia="仿宋_GB2312" w:cs="Calibri"/>
          <w:smallCaps/>
          <w:kern w:val="0"/>
          <w:sz w:val="32"/>
          <w:szCs w:val="40"/>
        </w:rPr>
        <w:t>建设各类物联网应用示范基地5个，</w:t>
      </w:r>
      <w:r>
        <w:rPr>
          <w:rFonts w:hint="eastAsia" w:ascii="仿宋_GB2312" w:eastAsia="仿宋_GB2312" w:cs="Calibri"/>
          <w:smallCaps/>
          <w:kern w:val="0"/>
          <w:sz w:val="32"/>
          <w:szCs w:val="40"/>
          <w:lang w:eastAsia="zh-CN"/>
        </w:rPr>
        <w:t>“</w:t>
      </w:r>
      <w:r>
        <w:rPr>
          <w:rFonts w:ascii="仿宋_GB2312" w:eastAsia="仿宋_GB2312" w:cs="Calibri"/>
          <w:smallCaps/>
          <w:kern w:val="0"/>
          <w:sz w:val="32"/>
          <w:szCs w:val="40"/>
        </w:rPr>
        <w:t>两化融合</w:t>
      </w:r>
      <w:r>
        <w:rPr>
          <w:rFonts w:hint="eastAsia" w:ascii="仿宋_GB2312" w:eastAsia="仿宋_GB2312" w:cs="Calibri"/>
          <w:smallCaps/>
          <w:kern w:val="0"/>
          <w:sz w:val="32"/>
          <w:szCs w:val="40"/>
          <w:lang w:eastAsia="zh-CN"/>
        </w:rPr>
        <w:t>”</w:t>
      </w:r>
      <w:r>
        <w:rPr>
          <w:rFonts w:ascii="仿宋_GB2312" w:eastAsia="仿宋_GB2312" w:cs="Calibri"/>
          <w:smallCaps/>
          <w:kern w:val="0"/>
          <w:sz w:val="32"/>
          <w:szCs w:val="40"/>
        </w:rPr>
        <w:t>水平显著提升，</w:t>
      </w:r>
      <w:r>
        <w:rPr>
          <w:rFonts w:hint="eastAsia" w:ascii="仿宋_GB2312" w:eastAsia="仿宋_GB2312" w:cs="Calibri"/>
          <w:smallCaps/>
          <w:kern w:val="0"/>
          <w:sz w:val="32"/>
          <w:szCs w:val="40"/>
        </w:rPr>
        <w:t>工业、</w:t>
      </w:r>
      <w:r>
        <w:rPr>
          <w:rFonts w:ascii="仿宋_GB2312" w:eastAsia="仿宋_GB2312" w:cs="Calibri"/>
          <w:smallCaps/>
          <w:kern w:val="0"/>
          <w:sz w:val="32"/>
          <w:szCs w:val="40"/>
        </w:rPr>
        <w:t>农业、商贸、物流等重点行业数字化、网络化、智能化蓬勃发展</w:t>
      </w:r>
      <w:r>
        <w:rPr>
          <w:rFonts w:hint="eastAsia" w:ascii="仿宋_GB2312" w:eastAsia="仿宋_GB2312" w:cs="Calibri"/>
          <w:smallCaps/>
          <w:kern w:val="0"/>
          <w:sz w:val="32"/>
          <w:szCs w:val="40"/>
          <w:lang w:eastAsia="zh-CN"/>
        </w:rPr>
        <w:t>。</w:t>
      </w:r>
    </w:p>
    <w:p>
      <w:pPr>
        <w:adjustRightInd w:val="0"/>
        <w:snapToGrid w:val="0"/>
        <w:spacing w:line="580" w:lineRule="exact"/>
        <w:ind w:firstLine="640" w:firstLineChars="200"/>
        <w:rPr>
          <w:rFonts w:ascii="仿宋_GB2312" w:eastAsia="仿宋_GB2312" w:cs="Calibri"/>
          <w:smallCaps/>
          <w:kern w:val="0"/>
          <w:sz w:val="32"/>
          <w:szCs w:val="40"/>
        </w:rPr>
      </w:pPr>
      <w:r>
        <w:rPr>
          <w:rFonts w:ascii="楷体_GB2312" w:eastAsia="楷体_GB2312" w:cs="Calibri"/>
          <w:smallCaps/>
          <w:kern w:val="0"/>
          <w:sz w:val="32"/>
          <w:szCs w:val="40"/>
        </w:rPr>
        <w:t>社会治理和服务数字化水平全面提升。</w:t>
      </w:r>
      <w:r>
        <w:rPr>
          <w:rFonts w:ascii="仿宋_GB2312" w:eastAsia="仿宋_GB2312" w:cs="Calibri"/>
          <w:smallCaps/>
          <w:kern w:val="0"/>
          <w:sz w:val="32"/>
          <w:szCs w:val="40"/>
        </w:rPr>
        <w:t>到2025年，新建智慧停车场10个、县城智慧平安小区达</w:t>
      </w:r>
      <w:r>
        <w:rPr>
          <w:rFonts w:hint="eastAsia" w:ascii="仿宋_GB2312" w:eastAsia="仿宋_GB2312" w:cs="Calibri"/>
          <w:smallCaps/>
          <w:kern w:val="0"/>
          <w:sz w:val="32"/>
          <w:szCs w:val="40"/>
        </w:rPr>
        <w:t>8</w:t>
      </w:r>
      <w:r>
        <w:rPr>
          <w:rFonts w:ascii="仿宋_GB2312" w:eastAsia="仿宋_GB2312" w:cs="Calibri"/>
          <w:smallCaps/>
          <w:kern w:val="0"/>
          <w:sz w:val="32"/>
          <w:szCs w:val="40"/>
        </w:rPr>
        <w:t>0%</w:t>
      </w:r>
      <w:r>
        <w:rPr>
          <w:rFonts w:hint="eastAsia" w:ascii="仿宋_GB2312" w:eastAsia="仿宋_GB2312" w:cs="Calibri"/>
          <w:smallCaps/>
          <w:kern w:val="0"/>
          <w:sz w:val="32"/>
          <w:szCs w:val="40"/>
        </w:rPr>
        <w:t>，</w:t>
      </w:r>
      <w:r>
        <w:rPr>
          <w:rFonts w:ascii="仿宋_GB2312" w:eastAsia="仿宋_GB2312" w:cs="Calibri"/>
          <w:smallCaps/>
          <w:kern w:val="0"/>
          <w:sz w:val="32"/>
          <w:szCs w:val="40"/>
        </w:rPr>
        <w:t>基本形成涵盖智慧政务、智慧医疗、智慧交通、智慧教育、智慧文旅、智慧城管等各类民生应用的数字社会服务新体系。</w:t>
      </w:r>
    </w:p>
    <w:p>
      <w:pPr>
        <w:adjustRightInd w:val="0"/>
        <w:snapToGrid w:val="0"/>
        <w:spacing w:line="580" w:lineRule="exact"/>
        <w:ind w:firstLine="640" w:firstLineChars="200"/>
        <w:rPr>
          <w:rFonts w:ascii="仿宋_GB2312" w:eastAsia="仿宋_GB2312" w:cs="Calibri"/>
          <w:smallCaps/>
          <w:kern w:val="0"/>
          <w:sz w:val="32"/>
          <w:szCs w:val="40"/>
        </w:rPr>
      </w:pPr>
      <w:r>
        <w:rPr>
          <w:rFonts w:ascii="楷体_GB2312" w:eastAsia="楷体_GB2312" w:cs="Calibri"/>
          <w:smallCaps/>
          <w:kern w:val="0"/>
          <w:sz w:val="32"/>
          <w:szCs w:val="40"/>
        </w:rPr>
        <w:t>网络安全综合保障能力显著增强。</w:t>
      </w:r>
      <w:r>
        <w:rPr>
          <w:rFonts w:ascii="仿宋_GB2312" w:eastAsia="仿宋_GB2312" w:cs="Calibri"/>
          <w:smallCaps/>
          <w:kern w:val="0"/>
          <w:sz w:val="32"/>
          <w:szCs w:val="40"/>
        </w:rPr>
        <w:t>到2025年，网络安全保障体系初步完善，重要数据和个人信息得到有效保护，新技术新应用安全实现常态化管控，网络安全监测预警和应急响应能力大幅提升。</w:t>
      </w:r>
    </w:p>
    <w:tbl>
      <w:tblPr>
        <w:tblStyle w:val="20"/>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9"/>
        <w:gridCol w:w="4652"/>
        <w:gridCol w:w="776"/>
        <w:gridCol w:w="1276"/>
        <w:gridCol w:w="1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9072" w:type="dxa"/>
            <w:gridSpan w:val="5"/>
            <w:tcBorders>
              <w:top w:val="single" w:color="000000" w:sz="4" w:space="0"/>
              <w:left w:val="single" w:color="000000" w:sz="4" w:space="0"/>
              <w:bottom w:val="single" w:color="000000" w:sz="4" w:space="0"/>
              <w:right w:val="single" w:color="000000" w:sz="4" w:space="0"/>
            </w:tcBorders>
            <w:noWrap/>
            <w:vAlign w:val="center"/>
          </w:tcPr>
          <w:p>
            <w:pPr>
              <w:pStyle w:val="48"/>
              <w:jc w:val="center"/>
              <w:rPr>
                <w:rFonts w:ascii="仿宋_GB2312" w:eastAsia="仿宋_GB2312" w:cs="仿宋_GB2312"/>
                <w:b/>
                <w:sz w:val="24"/>
              </w:rPr>
            </w:pPr>
            <w:bookmarkStart w:id="30" w:name="_Toc84612393"/>
            <w:r>
              <w:rPr>
                <w:rFonts w:hint="eastAsia" w:ascii="仿宋_GB2312" w:eastAsia="仿宋_GB2312" w:cs="仿宋_GB2312"/>
                <w:b/>
                <w:w w:val="95"/>
                <w:sz w:val="24"/>
              </w:rPr>
              <w:t>旺苍县“十四五”数字经济与网络安全发展主要指标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079" w:type="dxa"/>
            <w:tcBorders>
              <w:top w:val="single" w:color="000000" w:sz="4" w:space="0"/>
              <w:left w:val="single" w:color="000000" w:sz="4" w:space="0"/>
              <w:bottom w:val="single" w:color="000000" w:sz="4" w:space="0"/>
              <w:right w:val="single" w:color="000000" w:sz="4" w:space="0"/>
            </w:tcBorders>
            <w:noWrap/>
            <w:vAlign w:val="center"/>
          </w:tcPr>
          <w:p>
            <w:pPr>
              <w:pStyle w:val="48"/>
              <w:spacing w:before="28"/>
              <w:jc w:val="center"/>
              <w:rPr>
                <w:rFonts w:ascii="仿宋_GB2312" w:eastAsia="仿宋_GB2312" w:cs="仿宋_GB2312"/>
                <w:b/>
                <w:sz w:val="24"/>
              </w:rPr>
            </w:pPr>
            <w:r>
              <w:rPr>
                <w:rFonts w:hint="eastAsia" w:ascii="仿宋_GB2312" w:eastAsia="仿宋_GB2312" w:cs="仿宋_GB2312"/>
                <w:b/>
                <w:sz w:val="24"/>
              </w:rPr>
              <w:t>维度</w:t>
            </w:r>
          </w:p>
        </w:tc>
        <w:tc>
          <w:tcPr>
            <w:tcW w:w="4652" w:type="dxa"/>
            <w:tcBorders>
              <w:top w:val="single" w:color="000000" w:sz="4" w:space="0"/>
              <w:left w:val="single" w:color="000000" w:sz="4" w:space="0"/>
              <w:bottom w:val="single" w:color="000000" w:sz="4" w:space="0"/>
              <w:right w:val="single" w:color="000000" w:sz="4" w:space="0"/>
            </w:tcBorders>
            <w:noWrap/>
            <w:vAlign w:val="center"/>
          </w:tcPr>
          <w:p>
            <w:pPr>
              <w:pStyle w:val="48"/>
              <w:spacing w:before="28"/>
              <w:ind w:left="1866" w:right="1857"/>
              <w:jc w:val="center"/>
              <w:rPr>
                <w:rFonts w:ascii="仿宋_GB2312" w:eastAsia="仿宋_GB2312" w:cs="仿宋_GB2312"/>
                <w:b/>
                <w:sz w:val="24"/>
              </w:rPr>
            </w:pPr>
            <w:r>
              <w:rPr>
                <w:rFonts w:hint="eastAsia" w:ascii="仿宋_GB2312" w:eastAsia="仿宋_GB2312" w:cs="仿宋_GB2312"/>
                <w:b/>
                <w:sz w:val="24"/>
              </w:rPr>
              <w:t>指标</w:t>
            </w:r>
          </w:p>
        </w:tc>
        <w:tc>
          <w:tcPr>
            <w:tcW w:w="776" w:type="dxa"/>
            <w:tcBorders>
              <w:top w:val="single" w:color="000000" w:sz="4" w:space="0"/>
              <w:left w:val="single" w:color="000000" w:sz="4" w:space="0"/>
              <w:bottom w:val="single" w:color="000000" w:sz="4" w:space="0"/>
              <w:right w:val="single" w:color="000000" w:sz="4" w:space="0"/>
            </w:tcBorders>
            <w:noWrap/>
            <w:vAlign w:val="center"/>
          </w:tcPr>
          <w:p>
            <w:pPr>
              <w:pStyle w:val="48"/>
              <w:spacing w:before="28"/>
              <w:ind w:left="95" w:right="84"/>
              <w:jc w:val="center"/>
              <w:rPr>
                <w:rFonts w:ascii="仿宋_GB2312" w:eastAsia="仿宋_GB2312" w:cs="仿宋_GB2312"/>
                <w:sz w:val="24"/>
              </w:rPr>
            </w:pPr>
            <w:r>
              <w:rPr>
                <w:rFonts w:hint="eastAsia" w:ascii="仿宋_GB2312" w:eastAsia="仿宋_GB2312" w:cs="仿宋_GB2312"/>
                <w:sz w:val="24"/>
              </w:rPr>
              <w:t>单位</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pStyle w:val="48"/>
              <w:spacing w:before="28"/>
              <w:ind w:left="156" w:right="147"/>
              <w:jc w:val="center"/>
              <w:rPr>
                <w:rFonts w:ascii="仿宋_GB2312" w:eastAsia="仿宋_GB2312" w:cs="仿宋_GB2312"/>
                <w:sz w:val="24"/>
              </w:rPr>
            </w:pPr>
            <w:r>
              <w:rPr>
                <w:rFonts w:hint="eastAsia" w:ascii="仿宋_GB2312" w:eastAsia="仿宋_GB2312" w:cs="仿宋_GB2312"/>
                <w:sz w:val="24"/>
              </w:rPr>
              <w:t>2020年</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pStyle w:val="48"/>
              <w:spacing w:before="28"/>
              <w:ind w:left="197" w:right="186"/>
              <w:jc w:val="center"/>
              <w:rPr>
                <w:rFonts w:ascii="仿宋_GB2312" w:eastAsia="仿宋_GB2312" w:cs="仿宋_GB2312"/>
                <w:sz w:val="24"/>
              </w:rPr>
            </w:pPr>
            <w:r>
              <w:rPr>
                <w:rFonts w:hint="eastAsia" w:ascii="仿宋_GB2312" w:eastAsia="仿宋_GB2312" w:cs="仿宋_GB2312"/>
                <w:sz w:val="24"/>
              </w:rPr>
              <w:t>2025年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079" w:type="dxa"/>
            <w:vMerge w:val="restart"/>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eastAsia" w:ascii="仿宋_GB2312" w:eastAsia="仿宋_GB2312" w:cs="仿宋_GB2312"/>
                <w:spacing w:val="16"/>
                <w:sz w:val="24"/>
              </w:rPr>
            </w:pPr>
            <w:r>
              <w:rPr>
                <w:rFonts w:hint="eastAsia" w:ascii="仿宋_GB2312" w:eastAsia="仿宋_GB2312" w:cs="仿宋_GB2312"/>
                <w:spacing w:val="16"/>
                <w:sz w:val="24"/>
              </w:rPr>
              <w:t>总体发展指标</w:t>
            </w:r>
          </w:p>
        </w:tc>
        <w:tc>
          <w:tcPr>
            <w:tcW w:w="4652" w:type="dxa"/>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eastAsia" w:ascii="仿宋_GB2312" w:eastAsia="仿宋_GB2312" w:cs="仿宋_GB2312"/>
                <w:spacing w:val="16"/>
                <w:sz w:val="24"/>
              </w:rPr>
            </w:pPr>
            <w:r>
              <w:rPr>
                <w:rFonts w:hint="eastAsia" w:ascii="仿宋_GB2312" w:eastAsia="仿宋_GB2312" w:cs="仿宋_GB2312"/>
                <w:spacing w:val="16"/>
                <w:sz w:val="24"/>
              </w:rPr>
              <w:t>数字经济总量</w:t>
            </w:r>
          </w:p>
        </w:tc>
        <w:tc>
          <w:tcPr>
            <w:tcW w:w="776" w:type="dxa"/>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eastAsia" w:ascii="仿宋_GB2312" w:eastAsia="仿宋_GB2312" w:cs="仿宋_GB2312"/>
                <w:spacing w:val="16"/>
                <w:sz w:val="24"/>
              </w:rPr>
            </w:pPr>
            <w:r>
              <w:rPr>
                <w:rFonts w:hint="eastAsia" w:ascii="仿宋_GB2312" w:eastAsia="仿宋_GB2312" w:cs="仿宋_GB2312"/>
                <w:spacing w:val="16"/>
                <w:sz w:val="24"/>
              </w:rPr>
              <w:t>亿元</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eastAsia" w:ascii="仿宋_GB2312" w:eastAsia="仿宋_GB2312" w:cs="仿宋_GB2312"/>
                <w:spacing w:val="16"/>
                <w:sz w:val="24"/>
                <w:lang w:val="en-US" w:eastAsia="zh-CN"/>
              </w:rPr>
            </w:pPr>
            <w:r>
              <w:rPr>
                <w:rFonts w:hint="eastAsia" w:ascii="仿宋_GB2312" w:eastAsia="仿宋_GB2312" w:cs="仿宋_GB2312"/>
                <w:spacing w:val="16"/>
                <w:sz w:val="24"/>
                <w:lang w:val="en-US" w:eastAsia="zh-CN"/>
              </w:rPr>
              <w:t>-</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default" w:ascii="仿宋_GB2312" w:eastAsia="仿宋_GB2312" w:cs="仿宋_GB2312"/>
                <w:spacing w:val="16"/>
                <w:sz w:val="24"/>
                <w:lang w:val="en-US" w:eastAsia="zh-CN"/>
              </w:rPr>
            </w:pPr>
            <w:r>
              <w:rPr>
                <w:rFonts w:hint="eastAsia" w:ascii="仿宋_GB2312" w:eastAsia="仿宋_GB2312" w:cs="仿宋_GB2312"/>
                <w:spacing w:val="16"/>
                <w:sz w:val="24"/>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eastAsia" w:ascii="仿宋_GB2312" w:eastAsia="仿宋_GB2312" w:cs="仿宋_GB2312"/>
                <w:spacing w:val="16"/>
                <w:sz w:val="24"/>
              </w:rPr>
            </w:pPr>
          </w:p>
        </w:tc>
        <w:tc>
          <w:tcPr>
            <w:tcW w:w="4652" w:type="dxa"/>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eastAsia" w:ascii="仿宋_GB2312" w:eastAsia="仿宋_GB2312" w:cs="仿宋_GB2312"/>
                <w:spacing w:val="16"/>
                <w:sz w:val="24"/>
              </w:rPr>
            </w:pPr>
            <w:r>
              <w:rPr>
                <w:rFonts w:hint="eastAsia" w:ascii="仿宋_GB2312" w:eastAsia="仿宋_GB2312" w:cs="仿宋_GB2312"/>
                <w:spacing w:val="16"/>
                <w:sz w:val="24"/>
              </w:rPr>
              <w:t>数字经济占GDP比例</w:t>
            </w:r>
          </w:p>
        </w:tc>
        <w:tc>
          <w:tcPr>
            <w:tcW w:w="776" w:type="dxa"/>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eastAsia" w:ascii="仿宋_GB2312" w:eastAsia="仿宋_GB2312" w:cs="仿宋_GB2312"/>
                <w:spacing w:val="16"/>
                <w:sz w:val="24"/>
              </w:rPr>
            </w:pPr>
            <w:r>
              <w:rPr>
                <w:rFonts w:hint="eastAsia" w:ascii="仿宋_GB2312" w:eastAsia="仿宋_GB2312" w:cs="仿宋_GB2312"/>
                <w:spacing w:val="16"/>
                <w:sz w:val="24"/>
              </w:rPr>
              <w:t>%</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eastAsia" w:ascii="仿宋_GB2312" w:eastAsia="仿宋_GB2312" w:cs="仿宋_GB2312"/>
                <w:spacing w:val="16"/>
                <w:sz w:val="24"/>
                <w:lang w:val="en-US" w:eastAsia="zh-CN"/>
              </w:rPr>
            </w:pPr>
            <w:r>
              <w:rPr>
                <w:rFonts w:hint="eastAsia" w:ascii="仿宋_GB2312" w:eastAsia="仿宋_GB2312" w:cs="仿宋_GB2312"/>
                <w:spacing w:val="16"/>
                <w:sz w:val="24"/>
                <w:lang w:val="en-US" w:eastAsia="zh-CN"/>
              </w:rPr>
              <w:t>-</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default" w:ascii="仿宋_GB2312" w:eastAsia="仿宋_GB2312" w:cs="仿宋_GB2312"/>
                <w:spacing w:val="16"/>
                <w:sz w:val="24"/>
                <w:lang w:val="en-US" w:eastAsia="zh-CN"/>
              </w:rPr>
            </w:pPr>
            <w:r>
              <w:rPr>
                <w:rFonts w:hint="eastAsia" w:ascii="仿宋_GB2312" w:eastAsia="仿宋_GB2312" w:cs="仿宋_GB2312"/>
                <w:spacing w:val="16"/>
                <w:sz w:val="24"/>
                <w:lang w:val="en-US" w:eastAsia="zh-CN"/>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079" w:type="dxa"/>
            <w:vMerge w:val="restart"/>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eastAsia" w:ascii="仿宋_GB2312" w:eastAsia="仿宋_GB2312" w:cs="仿宋_GB2312"/>
                <w:spacing w:val="16"/>
                <w:sz w:val="24"/>
              </w:rPr>
            </w:pPr>
            <w:r>
              <w:rPr>
                <w:rFonts w:hint="eastAsia" w:ascii="仿宋_GB2312" w:eastAsia="仿宋_GB2312" w:cs="仿宋_GB2312"/>
                <w:spacing w:val="16"/>
                <w:sz w:val="24"/>
              </w:rPr>
              <w:t>数字产业化</w:t>
            </w:r>
          </w:p>
        </w:tc>
        <w:tc>
          <w:tcPr>
            <w:tcW w:w="4652" w:type="dxa"/>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eastAsia" w:ascii="仿宋_GB2312" w:eastAsia="仿宋_GB2312" w:cs="仿宋_GB2312"/>
                <w:spacing w:val="16"/>
                <w:sz w:val="24"/>
              </w:rPr>
            </w:pPr>
            <w:r>
              <w:rPr>
                <w:rFonts w:hint="eastAsia" w:ascii="仿宋_GB2312" w:eastAsia="仿宋_GB2312" w:cs="仿宋_GB2312"/>
                <w:spacing w:val="16"/>
                <w:sz w:val="24"/>
              </w:rPr>
              <w:t>数字经济核心产业增加值占GDP比重</w:t>
            </w:r>
          </w:p>
        </w:tc>
        <w:tc>
          <w:tcPr>
            <w:tcW w:w="776" w:type="dxa"/>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eastAsia" w:ascii="仿宋_GB2312" w:eastAsia="仿宋_GB2312" w:cs="仿宋_GB2312"/>
                <w:spacing w:val="16"/>
                <w:sz w:val="24"/>
              </w:rPr>
            </w:pPr>
            <w:r>
              <w:rPr>
                <w:rFonts w:hint="eastAsia" w:ascii="仿宋_GB2312" w:eastAsia="仿宋_GB2312" w:cs="仿宋_GB2312"/>
                <w:spacing w:val="16"/>
                <w:sz w:val="24"/>
              </w:rPr>
              <w:t>%</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default" w:ascii="仿宋_GB2312" w:eastAsia="仿宋_GB2312" w:cs="仿宋_GB2312"/>
                <w:spacing w:val="16"/>
                <w:sz w:val="24"/>
                <w:lang w:val="en-US" w:eastAsia="zh-CN"/>
              </w:rPr>
            </w:pPr>
            <w:r>
              <w:rPr>
                <w:rFonts w:hint="eastAsia" w:ascii="仿宋_GB2312" w:eastAsia="仿宋_GB2312" w:cs="仿宋_GB2312"/>
                <w:spacing w:val="16"/>
                <w:sz w:val="24"/>
                <w:lang w:val="en-US" w:eastAsia="zh-CN"/>
              </w:rPr>
              <w:t>-</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eastAsia" w:ascii="仿宋_GB2312" w:eastAsia="仿宋_GB2312" w:cs="仿宋_GB2312"/>
                <w:spacing w:val="16"/>
                <w:sz w:val="24"/>
              </w:rPr>
            </w:pPr>
            <w:r>
              <w:rPr>
                <w:rFonts w:hint="eastAsia" w:ascii="仿宋_GB2312" w:eastAsia="仿宋_GB2312" w:cs="仿宋_GB2312"/>
                <w:spacing w:val="16"/>
                <w:sz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eastAsia" w:ascii="仿宋_GB2312" w:eastAsia="仿宋_GB2312" w:cs="仿宋_GB2312"/>
                <w:spacing w:val="16"/>
                <w:sz w:val="24"/>
              </w:rPr>
            </w:pPr>
          </w:p>
        </w:tc>
        <w:tc>
          <w:tcPr>
            <w:tcW w:w="4652" w:type="dxa"/>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eastAsia" w:ascii="仿宋_GB2312" w:eastAsia="仿宋_GB2312" w:cs="仿宋_GB2312"/>
                <w:spacing w:val="16"/>
                <w:sz w:val="24"/>
              </w:rPr>
            </w:pPr>
            <w:r>
              <w:rPr>
                <w:rFonts w:hint="eastAsia" w:ascii="仿宋_GB2312" w:eastAsia="仿宋_GB2312" w:cs="仿宋_GB2312"/>
                <w:spacing w:val="16"/>
                <w:sz w:val="24"/>
              </w:rPr>
              <w:t>规上软件与信息服务业收入</w:t>
            </w:r>
          </w:p>
        </w:tc>
        <w:tc>
          <w:tcPr>
            <w:tcW w:w="776" w:type="dxa"/>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eastAsia" w:ascii="仿宋_GB2312" w:eastAsia="仿宋_GB2312" w:cs="仿宋_GB2312"/>
                <w:spacing w:val="16"/>
                <w:sz w:val="24"/>
              </w:rPr>
            </w:pPr>
            <w:r>
              <w:rPr>
                <w:rFonts w:hint="eastAsia" w:ascii="仿宋_GB2312" w:eastAsia="仿宋_GB2312" w:cs="仿宋_GB2312"/>
                <w:spacing w:val="16"/>
                <w:sz w:val="24"/>
              </w:rPr>
              <w:t>亿元</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eastAsia" w:ascii="仿宋_GB2312" w:eastAsia="仿宋_GB2312" w:cs="仿宋_GB2312"/>
                <w:spacing w:val="16"/>
                <w:sz w:val="24"/>
              </w:rPr>
            </w:pPr>
          </w:p>
        </w:tc>
        <w:tc>
          <w:tcPr>
            <w:tcW w:w="1289" w:type="dxa"/>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eastAsia" w:ascii="仿宋_GB2312" w:eastAsia="仿宋_GB2312" w:cs="仿宋_GB2312"/>
                <w:spacing w:val="16"/>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eastAsia" w:ascii="仿宋_GB2312" w:eastAsia="仿宋_GB2312" w:cs="仿宋_GB2312"/>
                <w:spacing w:val="16"/>
                <w:sz w:val="24"/>
              </w:rPr>
            </w:pPr>
          </w:p>
        </w:tc>
        <w:tc>
          <w:tcPr>
            <w:tcW w:w="4652" w:type="dxa"/>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eastAsia" w:ascii="仿宋_GB2312" w:eastAsia="仿宋_GB2312" w:cs="仿宋_GB2312"/>
                <w:spacing w:val="16"/>
                <w:sz w:val="24"/>
              </w:rPr>
            </w:pPr>
            <w:r>
              <w:rPr>
                <w:rFonts w:hint="eastAsia" w:ascii="仿宋_GB2312" w:eastAsia="仿宋_GB2312" w:cs="仿宋_GB2312"/>
                <w:spacing w:val="16"/>
                <w:sz w:val="24"/>
              </w:rPr>
              <w:t>规上电子信息制造业收入</w:t>
            </w:r>
          </w:p>
        </w:tc>
        <w:tc>
          <w:tcPr>
            <w:tcW w:w="776" w:type="dxa"/>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eastAsia" w:ascii="仿宋_GB2312" w:eastAsia="仿宋_GB2312" w:cs="仿宋_GB2312"/>
                <w:spacing w:val="16"/>
                <w:sz w:val="24"/>
              </w:rPr>
            </w:pPr>
            <w:r>
              <w:rPr>
                <w:rFonts w:hint="eastAsia" w:ascii="仿宋_GB2312" w:eastAsia="仿宋_GB2312" w:cs="仿宋_GB2312"/>
                <w:spacing w:val="16"/>
                <w:sz w:val="24"/>
              </w:rPr>
              <w:t>亿元</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eastAsia" w:ascii="仿宋_GB2312" w:eastAsia="仿宋_GB2312" w:cs="仿宋_GB2312"/>
                <w:spacing w:val="16"/>
                <w:sz w:val="24"/>
              </w:rPr>
            </w:pPr>
          </w:p>
        </w:tc>
        <w:tc>
          <w:tcPr>
            <w:tcW w:w="1289" w:type="dxa"/>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eastAsia" w:ascii="仿宋_GB2312" w:eastAsia="仿宋_GB2312" w:cs="仿宋_GB2312"/>
                <w:spacing w:val="16"/>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079" w:type="dxa"/>
            <w:vMerge w:val="restart"/>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eastAsia" w:ascii="仿宋_GB2312" w:eastAsia="仿宋_GB2312" w:cs="仿宋_GB2312"/>
                <w:spacing w:val="16"/>
                <w:sz w:val="24"/>
              </w:rPr>
            </w:pPr>
            <w:r>
              <w:rPr>
                <w:rFonts w:hint="eastAsia" w:ascii="仿宋_GB2312" w:eastAsia="仿宋_GB2312" w:cs="仿宋_GB2312"/>
                <w:spacing w:val="16"/>
                <w:sz w:val="24"/>
              </w:rPr>
              <w:t>产业数字化</w:t>
            </w:r>
          </w:p>
        </w:tc>
        <w:tc>
          <w:tcPr>
            <w:tcW w:w="4652" w:type="dxa"/>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eastAsia" w:ascii="仿宋_GB2312" w:eastAsia="仿宋_GB2312" w:cs="仿宋_GB2312"/>
                <w:spacing w:val="16"/>
                <w:sz w:val="24"/>
              </w:rPr>
            </w:pPr>
            <w:r>
              <w:rPr>
                <w:rFonts w:hint="eastAsia" w:ascii="仿宋_GB2312" w:eastAsia="仿宋_GB2312" w:cs="仿宋_GB2312"/>
                <w:spacing w:val="16"/>
                <w:sz w:val="24"/>
              </w:rPr>
              <w:t>企业上云数量</w:t>
            </w:r>
          </w:p>
        </w:tc>
        <w:tc>
          <w:tcPr>
            <w:tcW w:w="776" w:type="dxa"/>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eastAsia" w:ascii="仿宋_GB2312" w:eastAsia="仿宋_GB2312" w:cs="仿宋_GB2312"/>
                <w:spacing w:val="16"/>
                <w:sz w:val="24"/>
              </w:rPr>
            </w:pPr>
            <w:r>
              <w:rPr>
                <w:rFonts w:hint="eastAsia" w:ascii="仿宋_GB2312" w:eastAsia="仿宋_GB2312" w:cs="仿宋_GB2312"/>
                <w:spacing w:val="16"/>
                <w:sz w:val="24"/>
              </w:rPr>
              <w:t>家</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default" w:ascii="仿宋_GB2312" w:eastAsia="仿宋_GB2312" w:cs="仿宋_GB2312"/>
                <w:spacing w:val="16"/>
                <w:sz w:val="24"/>
                <w:lang w:val="en-US" w:eastAsia="zh-CN"/>
              </w:rPr>
            </w:pPr>
            <w:r>
              <w:rPr>
                <w:rFonts w:hint="eastAsia" w:ascii="仿宋_GB2312" w:eastAsia="仿宋_GB2312" w:cs="仿宋_GB2312"/>
                <w:spacing w:val="16"/>
                <w:sz w:val="24"/>
                <w:lang w:val="en-US" w:eastAsia="zh-CN"/>
              </w:rPr>
              <w:t>2</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default" w:ascii="仿宋_GB2312" w:eastAsia="仿宋_GB2312" w:cs="仿宋_GB2312"/>
                <w:spacing w:val="16"/>
                <w:sz w:val="24"/>
                <w:lang w:val="en-US" w:eastAsia="zh-CN"/>
              </w:rPr>
            </w:pPr>
            <w:r>
              <w:rPr>
                <w:rFonts w:hint="eastAsia" w:ascii="仿宋_GB2312" w:eastAsia="仿宋_GB2312" w:cs="仿宋_GB2312"/>
                <w:spacing w:val="16"/>
                <w:sz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eastAsia" w:ascii="仿宋_GB2312" w:eastAsia="仿宋_GB2312" w:cs="仿宋_GB2312"/>
                <w:spacing w:val="16"/>
                <w:sz w:val="24"/>
              </w:rPr>
            </w:pPr>
          </w:p>
        </w:tc>
        <w:tc>
          <w:tcPr>
            <w:tcW w:w="4652" w:type="dxa"/>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eastAsia" w:ascii="仿宋_GB2312" w:eastAsia="仿宋_GB2312" w:cs="仿宋_GB2312"/>
                <w:spacing w:val="16"/>
                <w:sz w:val="24"/>
              </w:rPr>
            </w:pPr>
            <w:r>
              <w:rPr>
                <w:rFonts w:hint="eastAsia" w:ascii="仿宋_GB2312" w:eastAsia="仿宋_GB2312" w:cs="仿宋_GB2312"/>
                <w:spacing w:val="16"/>
                <w:sz w:val="24"/>
              </w:rPr>
              <w:t>智能工厂/数字化车间数量</w:t>
            </w:r>
          </w:p>
        </w:tc>
        <w:tc>
          <w:tcPr>
            <w:tcW w:w="776" w:type="dxa"/>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eastAsia" w:ascii="仿宋_GB2312" w:eastAsia="仿宋_GB2312" w:cs="仿宋_GB2312"/>
                <w:spacing w:val="16"/>
                <w:sz w:val="24"/>
              </w:rPr>
            </w:pPr>
            <w:r>
              <w:rPr>
                <w:rFonts w:hint="eastAsia" w:ascii="仿宋_GB2312" w:eastAsia="仿宋_GB2312" w:cs="仿宋_GB2312"/>
                <w:spacing w:val="16"/>
                <w:sz w:val="24"/>
              </w:rPr>
              <w:t>家</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default" w:ascii="仿宋_GB2312" w:eastAsia="仿宋_GB2312" w:cs="仿宋_GB2312"/>
                <w:spacing w:val="16"/>
                <w:sz w:val="24"/>
                <w:lang w:val="en-US" w:eastAsia="zh-CN"/>
              </w:rPr>
            </w:pPr>
          </w:p>
        </w:tc>
        <w:tc>
          <w:tcPr>
            <w:tcW w:w="1289" w:type="dxa"/>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default" w:ascii="仿宋_GB2312" w:eastAsia="仿宋_GB2312" w:cs="仿宋_GB2312"/>
                <w:spacing w:val="16"/>
                <w:sz w:val="24"/>
                <w:lang w:val="en-US" w:eastAsia="zh-CN"/>
              </w:rPr>
            </w:pPr>
            <w:r>
              <w:rPr>
                <w:rFonts w:hint="eastAsia" w:ascii="仿宋_GB2312" w:eastAsia="仿宋_GB2312" w:cs="仿宋_GB2312"/>
                <w:spacing w:val="16"/>
                <w:sz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eastAsia" w:ascii="仿宋_GB2312" w:eastAsia="仿宋_GB2312" w:cs="仿宋_GB2312"/>
                <w:spacing w:val="16"/>
                <w:sz w:val="24"/>
              </w:rPr>
            </w:pPr>
          </w:p>
        </w:tc>
        <w:tc>
          <w:tcPr>
            <w:tcW w:w="4652" w:type="dxa"/>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eastAsia" w:ascii="仿宋_GB2312" w:eastAsia="仿宋_GB2312" w:cs="仿宋_GB2312"/>
                <w:spacing w:val="16"/>
                <w:sz w:val="24"/>
              </w:rPr>
            </w:pPr>
            <w:r>
              <w:rPr>
                <w:rFonts w:hint="eastAsia" w:ascii="仿宋_GB2312" w:eastAsia="仿宋_GB2312" w:cs="仿宋_GB2312"/>
                <w:spacing w:val="16"/>
                <w:sz w:val="24"/>
              </w:rPr>
              <w:t>电子商务交易额</w:t>
            </w:r>
          </w:p>
        </w:tc>
        <w:tc>
          <w:tcPr>
            <w:tcW w:w="776" w:type="dxa"/>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eastAsia" w:ascii="仿宋_GB2312" w:eastAsia="仿宋_GB2312" w:cs="仿宋_GB2312"/>
                <w:spacing w:val="16"/>
                <w:sz w:val="24"/>
              </w:rPr>
            </w:pPr>
            <w:r>
              <w:rPr>
                <w:rFonts w:hint="eastAsia" w:ascii="仿宋_GB2312" w:eastAsia="仿宋_GB2312" w:cs="仿宋_GB2312"/>
                <w:spacing w:val="16"/>
                <w:sz w:val="24"/>
              </w:rPr>
              <w:t>亿元</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default" w:ascii="仿宋_GB2312" w:eastAsia="仿宋_GB2312" w:cs="仿宋_GB2312"/>
                <w:spacing w:val="16"/>
                <w:sz w:val="24"/>
                <w:lang w:val="en-US" w:eastAsia="zh-CN"/>
              </w:rPr>
            </w:pPr>
            <w:r>
              <w:rPr>
                <w:rFonts w:hint="eastAsia" w:ascii="仿宋_GB2312" w:eastAsia="仿宋_GB2312" w:cs="仿宋_GB2312"/>
                <w:spacing w:val="16"/>
                <w:sz w:val="24"/>
                <w:lang w:val="en-US" w:eastAsia="zh-CN"/>
              </w:rPr>
              <w:t>11</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default" w:ascii="仿宋_GB2312" w:eastAsia="仿宋_GB2312" w:cs="仿宋_GB2312"/>
                <w:spacing w:val="16"/>
                <w:sz w:val="24"/>
                <w:lang w:val="en-US" w:eastAsia="zh-CN"/>
              </w:rPr>
            </w:pPr>
            <w:r>
              <w:rPr>
                <w:rFonts w:hint="eastAsia" w:ascii="仿宋_GB2312" w:eastAsia="仿宋_GB2312" w:cs="仿宋_GB2312"/>
                <w:spacing w:val="16"/>
                <w:sz w:val="24"/>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079" w:type="dxa"/>
            <w:vMerge w:val="restart"/>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eastAsia" w:ascii="仿宋_GB2312" w:eastAsia="仿宋_GB2312" w:cs="仿宋_GB2312"/>
                <w:spacing w:val="16"/>
                <w:sz w:val="24"/>
              </w:rPr>
            </w:pPr>
            <w:r>
              <w:rPr>
                <w:rFonts w:hint="eastAsia" w:ascii="仿宋_GB2312" w:eastAsia="仿宋_GB2312" w:cs="仿宋_GB2312"/>
                <w:spacing w:val="16"/>
                <w:sz w:val="24"/>
              </w:rPr>
              <w:t>创新驱动发展</w:t>
            </w:r>
          </w:p>
        </w:tc>
        <w:tc>
          <w:tcPr>
            <w:tcW w:w="4652" w:type="dxa"/>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eastAsia" w:ascii="仿宋_GB2312" w:eastAsia="仿宋_GB2312" w:cs="仿宋_GB2312"/>
                <w:spacing w:val="16"/>
                <w:sz w:val="24"/>
              </w:rPr>
            </w:pPr>
            <w:r>
              <w:rPr>
                <w:rFonts w:hint="eastAsia" w:ascii="仿宋_GB2312" w:eastAsia="仿宋_GB2312" w:cs="仿宋_GB2312"/>
                <w:spacing w:val="16"/>
                <w:sz w:val="24"/>
              </w:rPr>
              <w:t>研发经费投入强度</w:t>
            </w:r>
          </w:p>
        </w:tc>
        <w:tc>
          <w:tcPr>
            <w:tcW w:w="776" w:type="dxa"/>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eastAsia" w:ascii="仿宋_GB2312" w:eastAsia="仿宋_GB2312" w:cs="仿宋_GB2312"/>
                <w:spacing w:val="16"/>
                <w:sz w:val="24"/>
              </w:rPr>
            </w:pPr>
            <w:r>
              <w:rPr>
                <w:rFonts w:hint="eastAsia" w:ascii="仿宋_GB2312" w:eastAsia="仿宋_GB2312" w:cs="仿宋_GB2312"/>
                <w:spacing w:val="16"/>
                <w:sz w:val="24"/>
              </w:rPr>
              <w:t>%</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default" w:ascii="仿宋_GB2312" w:eastAsia="仿宋_GB2312" w:cs="仿宋_GB2312"/>
                <w:spacing w:val="16"/>
                <w:sz w:val="24"/>
                <w:lang w:val="en-US" w:eastAsia="zh-CN"/>
              </w:rPr>
            </w:pPr>
            <w:r>
              <w:rPr>
                <w:rFonts w:hint="eastAsia" w:ascii="仿宋_GB2312" w:eastAsia="仿宋_GB2312" w:cs="仿宋_GB2312"/>
                <w:spacing w:val="16"/>
                <w:sz w:val="24"/>
                <w:lang w:val="en-US" w:eastAsia="zh-CN"/>
              </w:rPr>
              <w:t>0.37</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default" w:ascii="仿宋_GB2312" w:eastAsia="仿宋_GB2312" w:cs="仿宋_GB2312"/>
                <w:spacing w:val="16"/>
                <w:sz w:val="24"/>
                <w:lang w:val="en-US" w:eastAsia="zh-CN"/>
              </w:rPr>
            </w:pPr>
            <w:r>
              <w:rPr>
                <w:rFonts w:hint="eastAsia" w:ascii="仿宋_GB2312" w:eastAsia="仿宋_GB2312" w:cs="仿宋_GB2312"/>
                <w:spacing w:val="16"/>
                <w:sz w:val="24"/>
                <w:lang w:val="en-US" w:eastAsia="zh-CN"/>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eastAsia" w:ascii="仿宋_GB2312" w:eastAsia="仿宋_GB2312" w:cs="仿宋_GB2312"/>
                <w:spacing w:val="16"/>
                <w:sz w:val="24"/>
              </w:rPr>
            </w:pPr>
          </w:p>
        </w:tc>
        <w:tc>
          <w:tcPr>
            <w:tcW w:w="4652" w:type="dxa"/>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eastAsia" w:ascii="仿宋_GB2312" w:eastAsia="仿宋_GB2312" w:cs="仿宋_GB2312"/>
                <w:spacing w:val="16"/>
                <w:sz w:val="24"/>
              </w:rPr>
            </w:pPr>
            <w:r>
              <w:rPr>
                <w:rFonts w:hint="eastAsia" w:ascii="仿宋_GB2312" w:eastAsia="仿宋_GB2312" w:cs="仿宋_GB2312"/>
                <w:spacing w:val="16"/>
                <w:sz w:val="24"/>
              </w:rPr>
              <w:t>每万人口高价值发明专利拥有量</w:t>
            </w:r>
          </w:p>
        </w:tc>
        <w:tc>
          <w:tcPr>
            <w:tcW w:w="776" w:type="dxa"/>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eastAsia" w:ascii="仿宋_GB2312" w:eastAsia="仿宋_GB2312" w:cs="仿宋_GB2312"/>
                <w:spacing w:val="16"/>
                <w:sz w:val="24"/>
              </w:rPr>
            </w:pPr>
            <w:r>
              <w:rPr>
                <w:rFonts w:hint="eastAsia" w:ascii="仿宋_GB2312" w:eastAsia="仿宋_GB2312" w:cs="仿宋_GB2312"/>
                <w:spacing w:val="16"/>
                <w:sz w:val="24"/>
              </w:rPr>
              <w:t>件</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default" w:ascii="仿宋_GB2312" w:eastAsia="仿宋_GB2312" w:cs="仿宋_GB2312"/>
                <w:spacing w:val="16"/>
                <w:sz w:val="24"/>
                <w:lang w:val="en-US" w:eastAsia="zh-CN"/>
              </w:rPr>
            </w:pPr>
            <w:r>
              <w:rPr>
                <w:rFonts w:hint="eastAsia" w:ascii="仿宋_GB2312" w:eastAsia="仿宋_GB2312" w:cs="仿宋_GB2312"/>
                <w:spacing w:val="16"/>
                <w:sz w:val="24"/>
                <w:lang w:val="en-US" w:eastAsia="zh-CN"/>
              </w:rPr>
              <w:t>0.48</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default" w:ascii="仿宋_GB2312" w:eastAsia="仿宋_GB2312" w:cs="仿宋_GB2312"/>
                <w:spacing w:val="16"/>
                <w:sz w:val="24"/>
                <w:lang w:val="en-US" w:eastAsia="zh-CN"/>
              </w:rPr>
            </w:pPr>
            <w:r>
              <w:rPr>
                <w:rFonts w:hint="eastAsia" w:ascii="仿宋_GB2312" w:eastAsia="仿宋_GB2312" w:cs="仿宋_GB2312"/>
                <w:spacing w:val="16"/>
                <w:sz w:val="24"/>
                <w:lang w:val="en-US" w:eastAsia="zh-CN"/>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jc w:val="center"/>
        </w:trPr>
        <w:tc>
          <w:tcPr>
            <w:tcW w:w="1079" w:type="dxa"/>
            <w:tcBorders>
              <w:top w:val="single" w:color="000000" w:sz="4" w:space="0"/>
              <w:left w:val="single" w:color="000000" w:sz="4" w:space="0"/>
              <w:bottom w:val="single" w:color="000000" w:sz="4" w:space="0"/>
              <w:right w:val="single" w:color="000000" w:sz="4" w:space="0"/>
            </w:tcBorders>
            <w:noWrap/>
            <w:vAlign w:val="center"/>
          </w:tcPr>
          <w:p>
            <w:pPr>
              <w:pStyle w:val="48"/>
              <w:spacing w:before="4" w:line="242" w:lineRule="auto"/>
              <w:ind w:left="107" w:right="70"/>
              <w:jc w:val="center"/>
              <w:rPr>
                <w:rFonts w:hint="eastAsia" w:ascii="仿宋_GB2312" w:eastAsia="仿宋_GB2312" w:cs="仿宋_GB2312"/>
                <w:spacing w:val="16"/>
                <w:sz w:val="24"/>
              </w:rPr>
            </w:pPr>
            <w:r>
              <w:rPr>
                <w:rFonts w:hint="eastAsia" w:ascii="仿宋_GB2312" w:eastAsia="仿宋_GB2312" w:cs="仿宋_GB2312"/>
                <w:spacing w:val="16"/>
                <w:sz w:val="24"/>
              </w:rPr>
              <w:t>基础支撑体系</w:t>
            </w:r>
          </w:p>
        </w:tc>
        <w:tc>
          <w:tcPr>
            <w:tcW w:w="4652" w:type="dxa"/>
            <w:tcBorders>
              <w:top w:val="single" w:color="000000" w:sz="4" w:space="0"/>
              <w:left w:val="single" w:color="000000" w:sz="4" w:space="0"/>
              <w:right w:val="single" w:color="000000" w:sz="4" w:space="0"/>
            </w:tcBorders>
            <w:noWrap/>
            <w:vAlign w:val="center"/>
          </w:tcPr>
          <w:p>
            <w:pPr>
              <w:pStyle w:val="48"/>
              <w:spacing w:before="4" w:line="242" w:lineRule="auto"/>
              <w:ind w:left="107" w:right="70"/>
              <w:jc w:val="center"/>
              <w:rPr>
                <w:rFonts w:hint="eastAsia" w:ascii="仿宋_GB2312" w:eastAsia="仿宋_GB2312" w:cs="仿宋_GB2312"/>
                <w:spacing w:val="16"/>
                <w:sz w:val="24"/>
              </w:rPr>
            </w:pPr>
            <w:r>
              <w:rPr>
                <w:rFonts w:hint="eastAsia" w:ascii="仿宋_GB2312" w:eastAsia="仿宋_GB2312" w:cs="仿宋_GB2312"/>
                <w:spacing w:val="16"/>
                <w:sz w:val="24"/>
              </w:rPr>
              <w:t>5G基站数量</w:t>
            </w:r>
          </w:p>
        </w:tc>
        <w:tc>
          <w:tcPr>
            <w:tcW w:w="776" w:type="dxa"/>
            <w:tcBorders>
              <w:top w:val="single" w:color="000000" w:sz="4" w:space="0"/>
              <w:left w:val="single" w:color="000000" w:sz="4" w:space="0"/>
              <w:right w:val="single" w:color="000000" w:sz="4" w:space="0"/>
            </w:tcBorders>
            <w:noWrap/>
            <w:vAlign w:val="center"/>
          </w:tcPr>
          <w:p>
            <w:pPr>
              <w:pStyle w:val="48"/>
              <w:spacing w:before="4" w:line="242" w:lineRule="auto"/>
              <w:ind w:left="107" w:right="70"/>
              <w:jc w:val="center"/>
              <w:rPr>
                <w:rFonts w:hint="eastAsia" w:ascii="仿宋_GB2312" w:eastAsia="仿宋_GB2312" w:cs="仿宋_GB2312"/>
                <w:spacing w:val="16"/>
                <w:sz w:val="24"/>
              </w:rPr>
            </w:pPr>
            <w:r>
              <w:rPr>
                <w:rFonts w:hint="eastAsia" w:ascii="仿宋_GB2312" w:eastAsia="仿宋_GB2312" w:cs="仿宋_GB2312"/>
                <w:spacing w:val="16"/>
                <w:sz w:val="24"/>
              </w:rPr>
              <w:t>个</w:t>
            </w:r>
          </w:p>
        </w:tc>
        <w:tc>
          <w:tcPr>
            <w:tcW w:w="1276" w:type="dxa"/>
            <w:tcBorders>
              <w:top w:val="single" w:color="000000" w:sz="4" w:space="0"/>
              <w:left w:val="single" w:color="000000" w:sz="4" w:space="0"/>
              <w:right w:val="single" w:color="000000" w:sz="4" w:space="0"/>
            </w:tcBorders>
            <w:noWrap/>
            <w:vAlign w:val="center"/>
          </w:tcPr>
          <w:p>
            <w:pPr>
              <w:pStyle w:val="48"/>
              <w:spacing w:before="4" w:line="242" w:lineRule="auto"/>
              <w:ind w:left="107" w:right="70"/>
              <w:jc w:val="center"/>
              <w:rPr>
                <w:rFonts w:hint="default" w:ascii="仿宋_GB2312" w:eastAsia="仿宋_GB2312" w:cs="仿宋_GB2312"/>
                <w:spacing w:val="16"/>
                <w:sz w:val="24"/>
                <w:lang w:val="en-US" w:eastAsia="zh-CN"/>
              </w:rPr>
            </w:pPr>
            <w:r>
              <w:rPr>
                <w:rFonts w:hint="eastAsia" w:ascii="仿宋_GB2312" w:eastAsia="仿宋_GB2312" w:cs="仿宋_GB2312"/>
                <w:spacing w:val="16"/>
                <w:sz w:val="24"/>
                <w:lang w:val="en-US" w:eastAsia="zh-CN"/>
              </w:rPr>
              <w:t>56</w:t>
            </w:r>
          </w:p>
        </w:tc>
        <w:tc>
          <w:tcPr>
            <w:tcW w:w="1289" w:type="dxa"/>
            <w:tcBorders>
              <w:top w:val="single" w:color="000000" w:sz="4" w:space="0"/>
              <w:left w:val="single" w:color="000000" w:sz="4" w:space="0"/>
              <w:right w:val="single" w:color="000000" w:sz="4" w:space="0"/>
            </w:tcBorders>
            <w:noWrap/>
            <w:vAlign w:val="center"/>
          </w:tcPr>
          <w:p>
            <w:pPr>
              <w:pStyle w:val="48"/>
              <w:spacing w:before="4" w:line="242" w:lineRule="auto"/>
              <w:ind w:left="107" w:right="70"/>
              <w:jc w:val="center"/>
              <w:rPr>
                <w:rFonts w:hint="default" w:ascii="仿宋_GB2312" w:eastAsia="仿宋_GB2312" w:cs="仿宋_GB2312"/>
                <w:spacing w:val="16"/>
                <w:sz w:val="24"/>
                <w:lang w:val="en-US" w:eastAsia="zh-CN"/>
              </w:rPr>
            </w:pPr>
            <w:r>
              <w:rPr>
                <w:rFonts w:hint="eastAsia" w:ascii="仿宋_GB2312" w:eastAsia="仿宋_GB2312" w:cs="仿宋_GB2312"/>
                <w:spacing w:val="16"/>
                <w:sz w:val="24"/>
                <w:lang w:val="en-US" w:eastAsia="zh-CN"/>
              </w:rPr>
              <w:t>800</w:t>
            </w:r>
          </w:p>
        </w:tc>
      </w:tr>
    </w:tbl>
    <w:p>
      <w:pPr>
        <w:pStyle w:val="30"/>
        <w:adjustRightInd w:val="0"/>
        <w:snapToGrid w:val="0"/>
        <w:spacing w:line="576" w:lineRule="exact"/>
        <w:ind w:firstLine="640"/>
        <w:outlineLvl w:val="0"/>
        <w:rPr>
          <w:rFonts w:eastAsia="黑体" w:cs="Times New Roman"/>
        </w:rPr>
      </w:pPr>
      <w:bookmarkStart w:id="31" w:name="_Toc99320421"/>
      <w:r>
        <w:rPr>
          <w:rFonts w:hint="eastAsia" w:eastAsia="黑体" w:cs="Times New Roman"/>
        </w:rPr>
        <w:t>三</w:t>
      </w:r>
      <w:r>
        <w:rPr>
          <w:rFonts w:eastAsia="黑体" w:cs="Times New Roman"/>
        </w:rPr>
        <w:t>、</w:t>
      </w:r>
      <w:bookmarkEnd w:id="30"/>
      <w:bookmarkStart w:id="32" w:name="_Toc84612394"/>
      <w:r>
        <w:rPr>
          <w:rFonts w:hint="eastAsia" w:eastAsia="黑体" w:cs="Times New Roman"/>
        </w:rPr>
        <w:t>完善数字经济基础设施体系</w:t>
      </w:r>
      <w:bookmarkEnd w:id="31"/>
    </w:p>
    <w:p>
      <w:pPr>
        <w:spacing w:line="576"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基于省、市数字经济健康持续发展的前瞻需要，结合旺苍县现有通信产业发展基础，加快构建高速、移动、安全、泛在的新一代信息基础设施，加大传统基础设施网络化建设，提升传统基础设施的数字化、网络化、智能化水平，建设窄带物联网、工业互联网等新型数字化应用基础设施，建立关键信息基础设施安全保障体系，形成适应数字经济、数字社会发展需要的基础设施体系，支撑旺苍数字经济高质量发展。</w:t>
      </w:r>
    </w:p>
    <w:p>
      <w:pPr>
        <w:pStyle w:val="30"/>
        <w:adjustRightInd w:val="0"/>
        <w:snapToGrid w:val="0"/>
        <w:spacing w:line="540" w:lineRule="exact"/>
        <w:ind w:firstLine="640"/>
        <w:outlineLvl w:val="1"/>
        <w:rPr>
          <w:rFonts w:ascii="楷体_GB2312" w:eastAsia="楷体_GB2312" w:cs="Times New Roman"/>
        </w:rPr>
      </w:pPr>
      <w:bookmarkStart w:id="33" w:name="_Toc99320422"/>
      <w:r>
        <w:rPr>
          <w:rFonts w:hint="eastAsia" w:ascii="楷体_GB2312" w:eastAsia="楷体_GB2312" w:cs="Times New Roman"/>
        </w:rPr>
        <w:t>（一）加快信息基础设施演进与升级</w:t>
      </w:r>
      <w:bookmarkEnd w:id="33"/>
    </w:p>
    <w:p>
      <w:pPr>
        <w:spacing w:line="576"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加快以5G为代表的数字信息基础设施、工业互联网等领域新型基础设施建设，带动智慧城市、智慧交通、智慧文旅、智慧医疗等行业发展，让大数据发展红利更多惠及企业、民众。</w:t>
      </w:r>
      <w:r>
        <w:rPr>
          <w:rFonts w:ascii="仿宋_GB2312" w:hAnsi="宋体" w:eastAsia="仿宋_GB2312" w:cs="Times New Roman"/>
          <w:sz w:val="32"/>
          <w:szCs w:val="32"/>
        </w:rPr>
        <w:t>推</w:t>
      </w:r>
      <w:r>
        <w:rPr>
          <w:rFonts w:hint="eastAsia" w:ascii="仿宋_GB2312" w:hAnsi="宋体" w:eastAsia="仿宋_GB2312" w:cs="Times New Roman"/>
          <w:sz w:val="32"/>
          <w:szCs w:val="32"/>
        </w:rPr>
        <w:t>行“微基站+智慧杆塔”、“5G+</w:t>
      </w:r>
      <w:r>
        <w:rPr>
          <w:rFonts w:ascii="仿宋_GB2312" w:hAnsi="宋体" w:eastAsia="仿宋_GB2312" w:cs="Times New Roman"/>
          <w:sz w:val="32"/>
          <w:szCs w:val="32"/>
        </w:rPr>
        <w:t>Wi</w:t>
      </w:r>
      <w:r>
        <w:rPr>
          <w:rFonts w:hint="eastAsia" w:ascii="仿宋_GB2312" w:hAnsi="宋体" w:eastAsia="仿宋_GB2312" w:cs="Times New Roman"/>
          <w:sz w:val="32"/>
          <w:szCs w:val="32"/>
        </w:rPr>
        <w:t>-</w:t>
      </w:r>
      <w:r>
        <w:rPr>
          <w:rFonts w:ascii="仿宋_GB2312" w:hAnsi="宋体" w:eastAsia="仿宋_GB2312" w:cs="Times New Roman"/>
          <w:sz w:val="32"/>
          <w:szCs w:val="32"/>
        </w:rPr>
        <w:t>Fi</w:t>
      </w:r>
      <w:r>
        <w:rPr>
          <w:rFonts w:hint="eastAsia" w:ascii="仿宋_GB2312" w:hAnsi="宋体" w:eastAsia="仿宋_GB2312" w:cs="Times New Roman"/>
          <w:sz w:val="32"/>
          <w:szCs w:val="32"/>
        </w:rPr>
        <w:t>6”等新</w:t>
      </w:r>
      <w:r>
        <w:rPr>
          <w:rFonts w:ascii="仿宋_GB2312" w:hAnsi="宋体" w:eastAsia="仿宋_GB2312" w:cs="Times New Roman"/>
          <w:sz w:val="32"/>
          <w:szCs w:val="32"/>
        </w:rPr>
        <w:t>型网络部署方式，推行跨行业共建共享、互联互通。</w:t>
      </w:r>
    </w:p>
    <w:p>
      <w:pPr>
        <w:spacing w:line="576"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积极部署光网建设，加快光纤网络提档升级，以带宽扩容、设备升级为途径，进一步提升城域网容量和网间互通能力，超前布局高速大容量光通信传输系统，持续提升骨干传输网络容量，加快骨干城域网出口带宽扩容，优化互联网骨干网络结构。引导通信运营企业加大偏远地区4G网络建设和投资力度，加速农村地区、偏远地区、旅游景区等地4G网络的全面普及与速率升级。加快推动农村地区宽带发展和普济，加快推进农村及偏远地区的移动通信基站、站址铁塔及配套设施建设。</w:t>
      </w:r>
    </w:p>
    <w:p>
      <w:pPr>
        <w:pStyle w:val="30"/>
        <w:adjustRightInd w:val="0"/>
        <w:snapToGrid w:val="0"/>
        <w:spacing w:line="540" w:lineRule="exact"/>
        <w:ind w:firstLine="640"/>
        <w:outlineLvl w:val="1"/>
        <w:rPr>
          <w:rFonts w:ascii="楷体_GB2312" w:eastAsia="楷体_GB2312" w:cs="Times New Roman"/>
        </w:rPr>
      </w:pPr>
      <w:bookmarkStart w:id="34" w:name="_Toc99320423"/>
      <w:r>
        <w:rPr>
          <w:rFonts w:hint="eastAsia" w:ascii="楷体_GB2312" w:eastAsia="楷体_GB2312" w:cs="Times New Roman"/>
        </w:rPr>
        <w:t>（二）加快新型数字化基础设施建设</w:t>
      </w:r>
      <w:bookmarkEnd w:id="34"/>
    </w:p>
    <w:p>
      <w:pPr>
        <w:adjustRightInd w:val="0"/>
        <w:snapToGrid w:val="0"/>
        <w:spacing w:line="576" w:lineRule="exact"/>
        <w:ind w:firstLine="642" w:firstLineChars="200"/>
        <w:rPr>
          <w:rFonts w:ascii="仿宋_GB2312" w:hAnsi="宋体" w:eastAsia="仿宋_GB2312" w:cs="Times New Roman"/>
          <w:sz w:val="32"/>
          <w:szCs w:val="32"/>
        </w:rPr>
      </w:pPr>
      <w:r>
        <w:rPr>
          <w:rFonts w:hint="eastAsia" w:ascii="楷体_GB2312" w:eastAsia="楷体_GB2312" w:cs="Calibri"/>
          <w:b/>
          <w:smallCaps/>
          <w:kern w:val="0"/>
          <w:sz w:val="32"/>
          <w:szCs w:val="40"/>
        </w:rPr>
        <w:t>积极布局建设窄带物联网。</w:t>
      </w:r>
      <w:r>
        <w:rPr>
          <w:rFonts w:hint="eastAsia" w:ascii="仿宋_GB2312" w:hAnsi="宋体" w:eastAsia="仿宋_GB2312" w:cs="Times New Roman"/>
          <w:sz w:val="32"/>
          <w:szCs w:val="32"/>
        </w:rPr>
        <w:t>开启“物联旺苍”建设。广泛应用物联网技术，开展“物联旺苍”建设，支持各类物联网应用的信息传输与终端控制，包括气象、生态、资源、地理空间等环境感知；推进全县“雪亮工程”建设，整合现有机关部门、各单位投建的视频监控，规范今后视频监控建设，实现公共安全视频共建共享、联网应用和全网管理；支持公共设施、大型公建、地上地下管线、城市照明、环卫等的市政物联网；推进智慧交管建设，建立车辆、流量、车位、路桥等信息联网，实时发布交通拥堵指数，实现车辆停放智能诱导，推进智慧医疗建设，建立全县医疗一卡通、远程医疗平台高效应用，实现人在农村享受城镇诊疗服务等。推动“智慧城市大脑”平台、应急管理综合应用平台等智慧应用平台的建设。</w:t>
      </w:r>
      <w:r>
        <w:rPr>
          <w:rFonts w:ascii="仿宋_GB2312" w:hAnsi="宋体" w:eastAsia="仿宋_GB2312" w:cs="Times New Roman"/>
          <w:sz w:val="32"/>
          <w:szCs w:val="32"/>
        </w:rPr>
        <w:t>推动智慧电网、智慧管网、智能光伏电站等基础设施建设</w:t>
      </w:r>
      <w:r>
        <w:rPr>
          <w:rFonts w:hint="eastAsia" w:ascii="仿宋_GB2312" w:hAnsi="宋体" w:eastAsia="仿宋_GB2312" w:cs="Times New Roman"/>
          <w:sz w:val="32"/>
          <w:szCs w:val="32"/>
        </w:rPr>
        <w:t>，</w:t>
      </w:r>
      <w:r>
        <w:rPr>
          <w:rFonts w:ascii="仿宋_GB2312" w:hAnsi="宋体" w:eastAsia="仿宋_GB2312" w:cs="Times New Roman"/>
          <w:sz w:val="32"/>
          <w:szCs w:val="32"/>
        </w:rPr>
        <w:t>建立充电基础设施信息管理平台，落实</w:t>
      </w:r>
      <w:r>
        <w:rPr>
          <w:rFonts w:hint="eastAsia" w:ascii="仿宋_GB2312" w:hAnsi="宋体" w:eastAsia="仿宋_GB2312" w:cs="Times New Roman"/>
          <w:sz w:val="32"/>
          <w:szCs w:val="32"/>
        </w:rPr>
        <w:t>“充电桩进小区”示范项目</w:t>
      </w:r>
      <w:r>
        <w:rPr>
          <w:rFonts w:ascii="仿宋_GB2312" w:hAnsi="宋体" w:eastAsia="仿宋_GB2312" w:cs="Times New Roman"/>
          <w:sz w:val="32"/>
          <w:szCs w:val="32"/>
        </w:rPr>
        <w:t>。</w:t>
      </w:r>
    </w:p>
    <w:p>
      <w:pPr>
        <w:spacing w:line="576" w:lineRule="exact"/>
        <w:ind w:firstLine="642" w:firstLineChars="200"/>
        <w:rPr>
          <w:rFonts w:ascii="仿宋_GB2312" w:hAnsi="宋体" w:eastAsia="仿宋_GB2312" w:cs="Times New Roman"/>
          <w:sz w:val="32"/>
          <w:szCs w:val="32"/>
        </w:rPr>
      </w:pPr>
      <w:r>
        <w:rPr>
          <w:rFonts w:hint="eastAsia" w:ascii="楷体_GB2312" w:hAnsi="宋体" w:eastAsia="楷体_GB2312" w:cs="Times New Roman"/>
          <w:b/>
          <w:sz w:val="32"/>
          <w:szCs w:val="32"/>
        </w:rPr>
        <w:t>加快构建工业互联网网络体系。</w:t>
      </w:r>
      <w:r>
        <w:rPr>
          <w:rFonts w:hint="eastAsia" w:ascii="仿宋_GB2312" w:hAnsi="宋体" w:eastAsia="仿宋_GB2312" w:cs="Times New Roman"/>
          <w:sz w:val="32"/>
          <w:szCs w:val="32"/>
        </w:rPr>
        <w:t>大力推动工业企业内外网建设，在旺苍现有工厂网络和公众互联网基础上改造升级，进一步提升网络速率、降低资费水平，全面推进低时延、高可靠、广覆盖的工业互联网网络基础设施建设。引导工业企业开展内网互联网协议化、扁平化、柔性化技术改造和建设部暑，支持企业在工厂内、外网络技术和互联互通、标识解析、新型智能网关应用、工业云计算、工业大数据等领域开展创新应用示范。组织信息通信企业通过改造已有网络、建设新型网络等方式，升级建设工业互联网企业外网络。加快建设连接中小企业的专线网络，支持高性能、高灵活、高安全隔离的新型企业专线的应用。支持工业企业建设和完善企业TT网络，加快工业设备设施或在制品的数字化、网络化改造，鼓励有条件的企业围绕IT网络与、OT网络应用部署IPV6等方面开展改造升级，支撑工业生产全流程的网络覆盖和信息采集，满足工业互联网端到端应用的网络需要。</w:t>
      </w:r>
    </w:p>
    <w:bookmarkEnd w:id="32"/>
    <w:p>
      <w:pPr>
        <w:adjustRightInd w:val="0"/>
        <w:snapToGrid w:val="0"/>
        <w:spacing w:line="576" w:lineRule="exact"/>
        <w:jc w:val="center"/>
        <w:rPr>
          <w:rFonts w:ascii="仿宋_GB2312" w:eastAsia="仿宋_GB2312" w:cs="Calibri"/>
          <w:b/>
          <w:bCs/>
          <w:smallCaps/>
          <w:kern w:val="0"/>
          <w:sz w:val="28"/>
          <w:szCs w:val="36"/>
        </w:rPr>
      </w:pPr>
      <w:r>
        <w:rPr>
          <w:rFonts w:ascii="仿宋_GB2312" w:eastAsia="仿宋_GB2312" w:cs="Calibri"/>
          <w:b/>
          <w:bCs/>
          <w:smallCaps/>
          <w:kern w:val="0"/>
          <w:sz w:val="28"/>
          <w:szCs w:val="36"/>
        </w:rPr>
        <w:t>专栏1 数字化基础设施建设工程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jc w:val="center"/>
        </w:trPr>
        <w:tc>
          <w:tcPr>
            <w:tcW w:w="850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40" w:lineRule="exact"/>
              <w:ind w:firstLine="560" w:firstLineChars="200"/>
              <w:rPr>
                <w:rFonts w:ascii="仿宋_GB2312" w:eastAsia="仿宋_GB2312" w:cs="Calibri"/>
                <w:smallCaps/>
                <w:kern w:val="0"/>
                <w:sz w:val="28"/>
                <w:szCs w:val="36"/>
              </w:rPr>
            </w:pPr>
            <w:r>
              <w:rPr>
                <w:rFonts w:hint="eastAsia" w:ascii="仿宋_GB2312" w:eastAsia="仿宋_GB2312" w:cs="Calibri"/>
                <w:smallCaps/>
                <w:kern w:val="0"/>
                <w:sz w:val="28"/>
                <w:szCs w:val="36"/>
              </w:rPr>
              <w:t>建成5G基站800个以上，实现县城区、重点镇、重点园区及主要交通沿线5G网络全覆盖。建成5G和F5G（第五代固定网络）光纤超宽带“双千兆”新型网络基础设施，实现固定和移动网络普遍具备“千兆到户”能力。</w:t>
            </w:r>
          </w:p>
          <w:p>
            <w:pPr>
              <w:adjustRightInd w:val="0"/>
              <w:snapToGrid w:val="0"/>
              <w:spacing w:line="440" w:lineRule="exact"/>
              <w:ind w:firstLine="560" w:firstLineChars="200"/>
              <w:rPr>
                <w:rFonts w:ascii="仿宋_GB2312" w:eastAsia="仿宋_GB2312" w:cs="Calibri"/>
                <w:smallCaps/>
                <w:kern w:val="0"/>
                <w:sz w:val="28"/>
                <w:szCs w:val="36"/>
              </w:rPr>
            </w:pPr>
            <w:r>
              <w:rPr>
                <w:rFonts w:ascii="仿宋_GB2312" w:eastAsia="仿宋_GB2312" w:cs="Calibri"/>
                <w:smallCaps/>
                <w:kern w:val="0"/>
                <w:sz w:val="28"/>
                <w:szCs w:val="36"/>
              </w:rPr>
              <w:t>实施交通、水利、能源、市政等基础设施和居住小区智慧化改造工程；实施现代工业、物流、医疗等区域数字化升级工程；推动教育、文旅、环保等公共服务领域信息化提升工程；县城新建新能源充电桩800个、换电站10个。</w:t>
            </w:r>
          </w:p>
        </w:tc>
      </w:tr>
    </w:tbl>
    <w:p>
      <w:pPr>
        <w:pStyle w:val="30"/>
        <w:adjustRightInd w:val="0"/>
        <w:snapToGrid w:val="0"/>
        <w:spacing w:line="586" w:lineRule="exact"/>
        <w:ind w:firstLine="640"/>
        <w:outlineLvl w:val="0"/>
        <w:rPr>
          <w:rFonts w:eastAsia="黑体" w:cs="Times New Roman"/>
        </w:rPr>
      </w:pPr>
      <w:bookmarkStart w:id="35" w:name="_Toc84612400"/>
      <w:bookmarkStart w:id="36" w:name="_Toc99320424"/>
      <w:r>
        <w:rPr>
          <w:rFonts w:hint="eastAsia" w:eastAsia="黑体" w:cs="Times New Roman"/>
        </w:rPr>
        <w:t>四</w:t>
      </w:r>
      <w:r>
        <w:rPr>
          <w:rFonts w:eastAsia="黑体" w:cs="Times New Roman"/>
        </w:rPr>
        <w:t>、</w:t>
      </w:r>
      <w:bookmarkEnd w:id="35"/>
      <w:bookmarkStart w:id="37" w:name="_Toc7526"/>
      <w:bookmarkStart w:id="38" w:name="_Toc84612401"/>
      <w:bookmarkStart w:id="39" w:name="_Toc10015"/>
      <w:bookmarkStart w:id="40" w:name="_Toc8458"/>
      <w:bookmarkStart w:id="41" w:name="_Toc26943"/>
      <w:bookmarkStart w:id="42" w:name="_Toc24310"/>
      <w:bookmarkStart w:id="43" w:name="_Toc51"/>
      <w:bookmarkStart w:id="44" w:name="_Toc1606"/>
      <w:bookmarkStart w:id="45" w:name="_Toc8478"/>
      <w:bookmarkStart w:id="46" w:name="_Toc66544151"/>
      <w:bookmarkStart w:id="47" w:name="_Toc24411"/>
      <w:bookmarkStart w:id="48" w:name="_Toc17250"/>
      <w:bookmarkStart w:id="49" w:name="_Toc15475"/>
      <w:bookmarkStart w:id="50" w:name="_Toc6130"/>
      <w:r>
        <w:rPr>
          <w:rFonts w:hint="eastAsia" w:eastAsia="黑体" w:cs="Times New Roman"/>
        </w:rPr>
        <w:t>推动产业数字化转型和升级</w:t>
      </w:r>
      <w:bookmarkEnd w:id="36"/>
    </w:p>
    <w:bookmarkEnd w:id="37"/>
    <w:bookmarkEnd w:id="38"/>
    <w:bookmarkEnd w:id="39"/>
    <w:bookmarkEnd w:id="40"/>
    <w:bookmarkEnd w:id="41"/>
    <w:bookmarkEnd w:id="42"/>
    <w:bookmarkEnd w:id="43"/>
    <w:bookmarkEnd w:id="44"/>
    <w:bookmarkEnd w:id="45"/>
    <w:bookmarkEnd w:id="46"/>
    <w:bookmarkEnd w:id="47"/>
    <w:bookmarkEnd w:id="48"/>
    <w:bookmarkEnd w:id="49"/>
    <w:bookmarkEnd w:id="50"/>
    <w:p>
      <w:pPr>
        <w:pStyle w:val="30"/>
        <w:adjustRightInd w:val="0"/>
        <w:snapToGrid w:val="0"/>
        <w:spacing w:line="540" w:lineRule="exact"/>
        <w:ind w:firstLine="640"/>
        <w:outlineLvl w:val="1"/>
        <w:rPr>
          <w:rFonts w:ascii="楷体_GB2312" w:eastAsia="楷体_GB2312" w:cs="Times New Roman"/>
        </w:rPr>
      </w:pPr>
      <w:bookmarkStart w:id="51" w:name="_Toc99320425"/>
      <w:r>
        <w:rPr>
          <w:rFonts w:hint="eastAsia" w:ascii="楷体_GB2312" w:eastAsia="楷体_GB2312" w:cs="Times New Roman"/>
        </w:rPr>
        <w:t>（一）关键基础产业数字化升级改造</w:t>
      </w:r>
      <w:bookmarkEnd w:id="51"/>
    </w:p>
    <w:p>
      <w:pPr>
        <w:adjustRightInd w:val="0"/>
        <w:snapToGrid w:val="0"/>
        <w:spacing w:line="540" w:lineRule="exact"/>
        <w:ind w:firstLine="642" w:firstLineChars="200"/>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lang w:val="en-US" w:eastAsia="zh-CN"/>
        </w:rPr>
        <w:t>推动</w:t>
      </w:r>
      <w:r>
        <w:rPr>
          <w:rFonts w:hint="eastAsia" w:ascii="楷体_GB2312" w:hAnsi="Times New Roman" w:eastAsia="楷体_GB2312" w:cs="Times New Roman"/>
          <w:b/>
          <w:sz w:val="32"/>
          <w:szCs w:val="32"/>
        </w:rPr>
        <w:t>农业发展现代化</w:t>
      </w:r>
      <w:r>
        <w:rPr>
          <w:rFonts w:hint="eastAsia" w:ascii="楷体_GB2312" w:hAnsi="Times New Roman" w:eastAsia="楷体_GB2312" w:cs="Times New Roman"/>
          <w:b/>
          <w:sz w:val="32"/>
          <w:szCs w:val="32"/>
          <w:lang w:eastAsia="zh-CN"/>
        </w:rPr>
        <w:t>。</w:t>
      </w:r>
      <w:r>
        <w:rPr>
          <w:rFonts w:hint="eastAsia" w:ascii="Times New Roman" w:hAnsi="Times New Roman" w:eastAsia="仿宋_GB2312" w:cs="Times New Roman"/>
          <w:sz w:val="32"/>
          <w:szCs w:val="32"/>
        </w:rPr>
        <w:t>推进农业农村大数据建设应用、建设天空地一体化农业观测网络、加快农业生产数字化改造、加快智慧农业技术创新、加强农业科技信息服务。完善农村智慧党建体系、推动“互联网﹢政务服务”向乡村延伸、提升村级事务管理智慧化水平、推动社会综合治理精细化、加强农村智慧应急管理体系建设。筑牢乡村网络文化阵地、推进乡村文化资源数字化</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乡村生态保护信息化水平</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农村人居环境数字化监管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促进</w:t>
      </w:r>
      <w:r>
        <w:rPr>
          <w:rFonts w:hint="eastAsia" w:ascii="仿宋_GB2312" w:eastAsia="仿宋_GB2312" w:cs="Calibri"/>
          <w:smallCaps/>
          <w:kern w:val="0"/>
          <w:sz w:val="32"/>
          <w:szCs w:val="40"/>
        </w:rPr>
        <w:t>乡村数字化治理体系日趋完善。</w:t>
      </w:r>
    </w:p>
    <w:p>
      <w:pPr>
        <w:adjustRightInd w:val="0"/>
        <w:snapToGrid w:val="0"/>
        <w:spacing w:line="540" w:lineRule="exact"/>
        <w:ind w:firstLine="642" w:firstLineChars="200"/>
        <w:rPr>
          <w:rFonts w:ascii="Times New Roman" w:hAnsi="Times New Roman" w:eastAsia="仿宋_GB2312" w:cs="Times New Roman"/>
          <w:sz w:val="32"/>
          <w:szCs w:val="32"/>
        </w:rPr>
      </w:pPr>
      <w:r>
        <w:rPr>
          <w:rFonts w:hint="eastAsia" w:ascii="楷体_GB2312" w:hAnsi="Times New Roman" w:eastAsia="楷体_GB2312" w:cs="Times New Roman"/>
          <w:b/>
          <w:sz w:val="32"/>
          <w:szCs w:val="32"/>
          <w:lang w:val="en-US" w:eastAsia="zh-CN"/>
        </w:rPr>
        <w:t>加快</w:t>
      </w:r>
      <w:r>
        <w:rPr>
          <w:rFonts w:hint="eastAsia" w:ascii="楷体_GB2312" w:hAnsi="Times New Roman" w:eastAsia="楷体_GB2312" w:cs="Times New Roman"/>
          <w:b/>
          <w:sz w:val="32"/>
          <w:szCs w:val="32"/>
        </w:rPr>
        <w:t>文旅康养智慧化。</w:t>
      </w:r>
      <w:r>
        <w:rPr>
          <w:rFonts w:hint="eastAsia" w:ascii="Times New Roman" w:hAnsi="Times New Roman" w:eastAsia="仿宋_GB2312" w:cs="Times New Roman"/>
          <w:sz w:val="32"/>
          <w:szCs w:val="32"/>
          <w:lang w:val="en-US" w:eastAsia="zh-CN"/>
        </w:rPr>
        <w:t>推动</w:t>
      </w:r>
      <w:r>
        <w:rPr>
          <w:rFonts w:hint="eastAsia" w:ascii="Times New Roman" w:hAnsi="Times New Roman" w:eastAsia="仿宋_GB2312" w:cs="Times New Roman"/>
          <w:sz w:val="32"/>
          <w:szCs w:val="32"/>
        </w:rPr>
        <w:t>国家4A级及以上景区和省级及以上旅游度假区游客集中区域、三级及以上文化文博场馆核心区域5G覆盖，实现安防监控、客流监控、车流监控、环境监测、信息发布等信息基础设施全覆盖。力争完成景区文旅大数据中心建设完善市、县（区）、景区三级互联互通的智慧监管、营销一体化的服务平台，推进广元旅游目的地运营项目。</w:t>
      </w:r>
      <w:r>
        <w:rPr>
          <w:rFonts w:ascii="Times New Roman" w:hAnsi="Times New Roman" w:eastAsia="仿宋_GB2312" w:cs="Times New Roman"/>
          <w:sz w:val="32"/>
          <w:szCs w:val="32"/>
        </w:rPr>
        <w:t>重点推动医疗康养机构加快智慧化发展，</w:t>
      </w:r>
      <w:r>
        <w:rPr>
          <w:rFonts w:hint="eastAsia" w:ascii="Times New Roman" w:hAnsi="Times New Roman" w:eastAsia="仿宋_GB2312" w:cs="Times New Roman"/>
          <w:sz w:val="32"/>
          <w:szCs w:val="32"/>
        </w:rPr>
        <w:t>推进</w:t>
      </w:r>
      <w:r>
        <w:rPr>
          <w:rFonts w:ascii="Times New Roman" w:hAnsi="Times New Roman" w:eastAsia="仿宋_GB2312" w:cs="Times New Roman"/>
          <w:sz w:val="32"/>
          <w:szCs w:val="32"/>
        </w:rPr>
        <w:t>智慧医养康养信息平台建设，构建</w:t>
      </w:r>
      <w:r>
        <w:rPr>
          <w:rFonts w:hint="eastAsia" w:ascii="Times New Roman" w:hAnsi="Times New Roman" w:eastAsia="仿宋_GB2312" w:cs="Times New Roman"/>
          <w:sz w:val="32"/>
          <w:szCs w:val="32"/>
        </w:rPr>
        <w:t>“互联网+康养”的产业发展模式。落实市县</w:t>
      </w:r>
      <w:r>
        <w:rPr>
          <w:rFonts w:ascii="Times New Roman" w:hAnsi="Times New Roman" w:eastAsia="仿宋_GB2312" w:cs="Times New Roman"/>
          <w:sz w:val="32"/>
          <w:szCs w:val="32"/>
        </w:rPr>
        <w:t>乡三级养老服务信息平台建设，推动养老领域公共数据开放共享。</w:t>
      </w:r>
      <w:bookmarkStart w:id="52" w:name="_Hlk84590472"/>
    </w:p>
    <w:bookmarkEnd w:id="52"/>
    <w:p>
      <w:pPr>
        <w:adjustRightInd w:val="0"/>
        <w:snapToGrid w:val="0"/>
        <w:spacing w:line="540" w:lineRule="exact"/>
        <w:ind w:firstLine="642" w:firstLineChars="200"/>
        <w:rPr>
          <w:rFonts w:ascii="Times New Roman" w:hAnsi="Times New Roman" w:eastAsia="仿宋_GB2312" w:cs="Times New Roman"/>
          <w:sz w:val="32"/>
          <w:szCs w:val="32"/>
        </w:rPr>
      </w:pPr>
      <w:bookmarkStart w:id="53" w:name="_Toc84612404"/>
      <w:r>
        <w:rPr>
          <w:rFonts w:ascii="楷体_GB2312" w:hAnsi="Times New Roman" w:eastAsia="楷体_GB2312" w:cs="Times New Roman"/>
          <w:b/>
          <w:sz w:val="32"/>
          <w:szCs w:val="32"/>
        </w:rPr>
        <w:t>推</w:t>
      </w:r>
      <w:r>
        <w:rPr>
          <w:rFonts w:hint="eastAsia" w:ascii="楷体_GB2312" w:hAnsi="Times New Roman" w:eastAsia="楷体_GB2312" w:cs="Times New Roman"/>
          <w:b/>
          <w:sz w:val="32"/>
          <w:szCs w:val="32"/>
          <w:lang w:val="en-US" w:eastAsia="zh-CN"/>
        </w:rPr>
        <w:t>进</w:t>
      </w:r>
      <w:r>
        <w:rPr>
          <w:rFonts w:ascii="楷体_GB2312" w:hAnsi="Times New Roman" w:eastAsia="楷体_GB2312" w:cs="Times New Roman"/>
          <w:b/>
          <w:sz w:val="32"/>
          <w:szCs w:val="32"/>
        </w:rPr>
        <w:t>农村电商规范化</w:t>
      </w:r>
      <w:bookmarkEnd w:id="53"/>
      <w:r>
        <w:rPr>
          <w:rFonts w:ascii="楷体_GB2312" w:hAnsi="Times New Roman" w:eastAsia="楷体_GB2312" w:cs="Times New Roman"/>
          <w:b/>
          <w:sz w:val="32"/>
          <w:szCs w:val="32"/>
        </w:rPr>
        <w:t>。</w:t>
      </w:r>
      <w:r>
        <w:rPr>
          <w:rFonts w:ascii="Times New Roman" w:hAnsi="Times New Roman" w:eastAsia="仿宋_GB2312" w:cs="Times New Roman"/>
          <w:sz w:val="32"/>
          <w:szCs w:val="32"/>
        </w:rPr>
        <w:t>加快跨境电商发展，加强与阿里巴巴、京东、</w:t>
      </w:r>
      <w:r>
        <w:rPr>
          <w:rFonts w:hint="eastAsia" w:ascii="Times New Roman" w:hAnsi="Times New Roman" w:eastAsia="仿宋_GB2312" w:cs="Times New Roman"/>
          <w:sz w:val="32"/>
          <w:szCs w:val="32"/>
        </w:rPr>
        <w:t>拼多多</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rPr>
        <w:t>电商</w:t>
      </w:r>
      <w:r>
        <w:rPr>
          <w:rFonts w:ascii="Times New Roman" w:hAnsi="Times New Roman" w:eastAsia="仿宋_GB2312" w:cs="Times New Roman"/>
          <w:sz w:val="32"/>
          <w:szCs w:val="32"/>
        </w:rPr>
        <w:t>平台合作，对接国贸云商，努力引进“麒麟项目”，使我县电商企业享受更加优质的网店建设、报关报检、结汇退税和境外商标注册等跨境电商综合服务；对接引进“速卖通”以及“亚马逊”等跨境平台，建立我县跨境电商生态体系。发展内容电商、社交电商、跨境电商等新业态，培育直播带货、短视频等网购新模式，重点打造</w:t>
      </w:r>
      <w:r>
        <w:rPr>
          <w:rFonts w:hint="eastAsia" w:ascii="Times New Roman" w:hAnsi="Times New Roman" w:eastAsia="仿宋_GB2312" w:cs="Times New Roman"/>
          <w:sz w:val="32"/>
          <w:szCs w:val="32"/>
        </w:rPr>
        <w:t>“中国名茶之乡”</w:t>
      </w:r>
      <w:r>
        <w:rPr>
          <w:rFonts w:ascii="Times New Roman" w:hAnsi="Times New Roman" w:eastAsia="仿宋_GB2312" w:cs="Times New Roman"/>
          <w:sz w:val="32"/>
          <w:szCs w:val="32"/>
        </w:rPr>
        <w:t>特色农产品生产基地和产地直播基地，发展茶叶智能零售新业态。</w:t>
      </w:r>
    </w:p>
    <w:p>
      <w:pPr>
        <w:pStyle w:val="30"/>
        <w:adjustRightInd w:val="0"/>
        <w:snapToGrid w:val="0"/>
        <w:spacing w:line="540" w:lineRule="exact"/>
        <w:ind w:firstLine="640"/>
        <w:outlineLvl w:val="1"/>
        <w:rPr>
          <w:rFonts w:ascii="楷体_GB2312" w:eastAsia="楷体_GB2312" w:cs="Times New Roman"/>
        </w:rPr>
      </w:pPr>
      <w:bookmarkStart w:id="54" w:name="_Toc99320426"/>
      <w:r>
        <w:rPr>
          <w:rFonts w:ascii="楷体_GB2312" w:eastAsia="楷体_GB2312" w:cs="Times New Roman"/>
        </w:rPr>
        <w:t>（</w:t>
      </w:r>
      <w:r>
        <w:rPr>
          <w:rFonts w:hint="eastAsia" w:ascii="楷体_GB2312" w:eastAsia="楷体_GB2312" w:cs="Times New Roman"/>
        </w:rPr>
        <w:t>二</w:t>
      </w:r>
      <w:r>
        <w:rPr>
          <w:rFonts w:ascii="楷体_GB2312" w:eastAsia="楷体_GB2312" w:cs="Times New Roman"/>
        </w:rPr>
        <w:t>）重点龙头产业数字化转型升级</w:t>
      </w:r>
      <w:bookmarkEnd w:id="54"/>
    </w:p>
    <w:p>
      <w:pPr>
        <w:adjustRightInd w:val="0"/>
        <w:snapToGrid w:val="0"/>
        <w:spacing w:line="586" w:lineRule="exact"/>
        <w:ind w:firstLine="642" w:firstLineChars="200"/>
        <w:rPr>
          <w:rFonts w:ascii="仿宋_GB2312" w:hAnsi="宋体" w:eastAsia="仿宋_GB2312" w:cs="Times New Roman"/>
          <w:sz w:val="32"/>
          <w:szCs w:val="32"/>
        </w:rPr>
      </w:pPr>
      <w:r>
        <w:rPr>
          <w:rFonts w:hint="eastAsia" w:ascii="楷体_GB2312" w:eastAsia="楷体_GB2312" w:cs="Calibri"/>
          <w:b/>
          <w:smallCaps/>
          <w:kern w:val="0"/>
          <w:sz w:val="32"/>
          <w:szCs w:val="40"/>
        </w:rPr>
        <w:t>推进工业制造数字化。</w:t>
      </w:r>
      <w:r>
        <w:rPr>
          <w:rFonts w:hint="eastAsia" w:ascii="仿宋_GB2312" w:hAnsi="宋体" w:eastAsia="仿宋_GB2312" w:cs="Times New Roman"/>
          <w:sz w:val="32"/>
          <w:szCs w:val="32"/>
        </w:rPr>
        <w:t>抢抓全省首批新型智慧城县示范城县建设机遇，着力搭建萧山-旺苍数字经济平台，积极开展工业互联网示范试点建设。加强对数字化转型典型的交流推广，引导工业企业与互联网企业加强合作，鼓励本土企业向数字化产业转型，推进</w:t>
      </w:r>
      <w:r>
        <w:rPr>
          <w:rFonts w:ascii="仿宋_GB2312" w:hAnsi="宋体" w:eastAsia="仿宋_GB2312" w:cs="Times New Roman"/>
          <w:sz w:val="32"/>
          <w:szCs w:val="32"/>
        </w:rPr>
        <w:t>数字工业园区建设。</w:t>
      </w:r>
      <w:r>
        <w:rPr>
          <w:rFonts w:hint="eastAsia" w:ascii="仿宋_GB2312" w:hAnsi="宋体" w:eastAsia="仿宋_GB2312" w:cs="Times New Roman"/>
          <w:sz w:val="32"/>
          <w:szCs w:val="32"/>
        </w:rPr>
        <w:t>立足旺苍县食品饮料加工、生物医药、茶制品等产业基础，以“一区</w:t>
      </w:r>
      <w:r>
        <w:rPr>
          <w:rFonts w:hint="eastAsia" w:ascii="仿宋_GB2312" w:hAnsi="宋体" w:eastAsia="仿宋_GB2312" w:cs="Times New Roman"/>
          <w:sz w:val="32"/>
          <w:szCs w:val="32"/>
          <w:lang w:val="en-US" w:eastAsia="zh-CN"/>
        </w:rPr>
        <w:t>五</w:t>
      </w:r>
      <w:r>
        <w:rPr>
          <w:rFonts w:hint="eastAsia" w:ascii="仿宋_GB2312" w:hAnsi="宋体" w:eastAsia="仿宋_GB2312" w:cs="Times New Roman"/>
          <w:sz w:val="32"/>
          <w:szCs w:val="32"/>
        </w:rPr>
        <w:t>园”为载体，抓住转型升级机遇，以激发创新活力、发展潜力和转型动力为企业数字化转型的主线，积极推进智能化生产制造、网络化协同制造、服务型制造等新型生产模式在冶炼、医药、食品等重点行业的应用示范和推广。继续引进符合我县产业需求的数字化公司，招引一批无污染、有发展前途、智能制造等各方面较好的项目、企业入驻园区，在管理、生产等方面全程采用数字化，既便于管理又节约成本，减轻企业负担。</w:t>
      </w:r>
    </w:p>
    <w:p>
      <w:pPr>
        <w:adjustRightInd w:val="0"/>
        <w:snapToGrid w:val="0"/>
        <w:spacing w:line="586" w:lineRule="exact"/>
        <w:ind w:firstLine="642" w:firstLineChars="200"/>
        <w:rPr>
          <w:rFonts w:ascii="Times New Roman" w:hAnsi="Times New Roman" w:eastAsia="仿宋_GB2312" w:cs="Times New Roman"/>
          <w:sz w:val="32"/>
          <w:szCs w:val="32"/>
        </w:rPr>
      </w:pPr>
      <w:r>
        <w:rPr>
          <w:rFonts w:hint="eastAsia" w:ascii="楷体_GB2312" w:eastAsia="楷体_GB2312" w:cs="Calibri"/>
          <w:b/>
          <w:smallCaps/>
          <w:kern w:val="0"/>
          <w:sz w:val="32"/>
          <w:szCs w:val="40"/>
        </w:rPr>
        <w:t>促进物联网创新发展。</w:t>
      </w:r>
      <w:r>
        <w:rPr>
          <w:rFonts w:hint="eastAsia" w:ascii="仿宋_GB2312" w:hAnsi="宋体" w:eastAsia="仿宋_GB2312" w:cs="Times New Roman"/>
          <w:sz w:val="32"/>
          <w:szCs w:val="32"/>
        </w:rPr>
        <w:t>十四五期间是物联网行业飞速发展的黄金时期。大力推动智能传感器、智能终端等物联网设备在旺苍的产业化，积极开展图像、视频等非结构化信息提取、全息影像匹配等方向应用，促进应用成果有效转化。依托</w:t>
      </w:r>
      <w:r>
        <w:rPr>
          <w:rFonts w:hint="eastAsia" w:ascii="仿宋_GB2312" w:hAnsi="宋体" w:eastAsia="仿宋_GB2312" w:cs="Times New Roman"/>
          <w:sz w:val="32"/>
          <w:szCs w:val="32"/>
          <w:lang w:val="en-US" w:eastAsia="zh-CN"/>
        </w:rPr>
        <w:t>旺苍</w:t>
      </w:r>
      <w:r>
        <w:rPr>
          <w:rFonts w:hint="eastAsia" w:ascii="仿宋_GB2312" w:hAnsi="宋体" w:eastAsia="仿宋_GB2312" w:cs="Times New Roman"/>
          <w:sz w:val="32"/>
          <w:szCs w:val="32"/>
        </w:rPr>
        <w:t>优势企业和</w:t>
      </w:r>
      <w:r>
        <w:rPr>
          <w:rFonts w:hint="eastAsia" w:ascii="仿宋_GB2312" w:hAnsi="宋体" w:eastAsia="仿宋_GB2312" w:cs="Times New Roman"/>
          <w:sz w:val="32"/>
          <w:szCs w:val="32"/>
          <w:lang w:val="en-US" w:eastAsia="zh-CN"/>
        </w:rPr>
        <w:t>高校</w:t>
      </w:r>
      <w:r>
        <w:rPr>
          <w:rFonts w:hint="eastAsia" w:ascii="仿宋_GB2312" w:hAnsi="宋体" w:eastAsia="仿宋_GB2312" w:cs="Times New Roman"/>
          <w:sz w:val="32"/>
          <w:szCs w:val="32"/>
        </w:rPr>
        <w:t>院</w:t>
      </w:r>
      <w:r>
        <w:rPr>
          <w:rFonts w:hint="eastAsia" w:ascii="仿宋_GB2312" w:hAnsi="宋体" w:eastAsia="仿宋_GB2312" w:cs="Times New Roman"/>
          <w:sz w:val="32"/>
          <w:szCs w:val="32"/>
          <w:lang w:val="en-US" w:eastAsia="zh-CN"/>
        </w:rPr>
        <w:t>所</w:t>
      </w:r>
      <w:r>
        <w:rPr>
          <w:rFonts w:hint="eastAsia" w:ascii="仿宋_GB2312" w:hAnsi="宋体" w:eastAsia="仿宋_GB2312" w:cs="Times New Roman"/>
          <w:sz w:val="32"/>
          <w:szCs w:val="32"/>
        </w:rPr>
        <w:t>在交通管理、机械监控、环保监测等领域的物联网软硬件技术基础，着力促进物联网深度应用，围绕智慧农业、智慧环保、智慧交通、智慧教育等重点领域，推进物联网相关软硬件的规模化集成应用。鼓励工业、农业、服务业等传统行业企业应用无线射频识别、近距离无线通信、二维码、智能传感器等物联网设备，加强生产经营活动中的数据采集。</w:t>
      </w:r>
      <w:r>
        <w:rPr>
          <w:rFonts w:hint="eastAsia" w:ascii="Times New Roman" w:hAnsi="Times New Roman" w:eastAsia="仿宋_GB2312" w:cs="Times New Roman"/>
          <w:sz w:val="32"/>
          <w:szCs w:val="32"/>
        </w:rPr>
        <w:t>积极培育一批物联网行业龙头企业，推动数字产业核心竞争力大幅提升。大力发展智能制造，推进产品智能化、装备网络化、管理精细化，促进传统工业提质、降耗、增效。</w:t>
      </w:r>
    </w:p>
    <w:p>
      <w:pPr>
        <w:pStyle w:val="52"/>
        <w:spacing w:line="500" w:lineRule="exact"/>
        <w:ind w:firstLine="643"/>
      </w:pPr>
      <w:r>
        <w:rPr>
          <w:rFonts w:hint="eastAsia" w:ascii="楷体_GB2312" w:eastAsia="楷体_GB2312" w:cs="Calibri"/>
          <w:b/>
          <w:smallCaps/>
          <w:kern w:val="0"/>
          <w:szCs w:val="40"/>
        </w:rPr>
        <w:t>打造工业互联网平台。</w:t>
      </w:r>
      <w:r>
        <w:rPr>
          <w:rFonts w:hint="eastAsia" w:ascii="Times New Roman" w:hAnsi="Times New Roman"/>
        </w:rPr>
        <w:t>支持冶炼、医药、食品等大中型制造企业搭建企业级工业互联网平台，加快企业内部各类应用的综合集成和云化改造迁移，建立企业数据采集互联体系和数据中心。鼓励行业龙头企业基于现有企业级平台，构建面向行业的工业互联网平台。引导软件企业、工业企业、科研院所等开展合作，以基础设施上云、平台系统上云、业务应用上云、设备产品上云、制造能力上云为重点，加快各类信息技术在企业中的普及应用。</w:t>
      </w:r>
    </w:p>
    <w:p>
      <w:pPr>
        <w:adjustRightInd w:val="0"/>
        <w:snapToGrid w:val="0"/>
        <w:spacing w:line="576" w:lineRule="exact"/>
        <w:jc w:val="center"/>
        <w:rPr>
          <w:rFonts w:ascii="仿宋_GB2312" w:eastAsia="仿宋_GB2312" w:cs="Calibri"/>
          <w:b/>
          <w:bCs/>
          <w:smallCaps/>
          <w:kern w:val="0"/>
          <w:sz w:val="28"/>
          <w:szCs w:val="36"/>
        </w:rPr>
      </w:pPr>
      <w:bookmarkStart w:id="55" w:name="_Toc25425_WPSOffice_Level2"/>
      <w:bookmarkStart w:id="56" w:name="_Toc26770_WPSOffice_Level2"/>
      <w:r>
        <w:rPr>
          <w:rFonts w:ascii="仿宋_GB2312" w:eastAsia="仿宋_GB2312" w:cs="Calibri"/>
          <w:b/>
          <w:bCs/>
          <w:smallCaps/>
          <w:kern w:val="0"/>
          <w:sz w:val="28"/>
          <w:szCs w:val="36"/>
        </w:rPr>
        <w:t>专栏2 产业数字化转型升级</w:t>
      </w:r>
      <w:bookmarkEnd w:id="55"/>
      <w:r>
        <w:rPr>
          <w:rFonts w:ascii="仿宋_GB2312" w:eastAsia="仿宋_GB2312" w:cs="Calibri"/>
          <w:b/>
          <w:bCs/>
          <w:smallCaps/>
          <w:kern w:val="0"/>
          <w:sz w:val="28"/>
          <w:szCs w:val="36"/>
        </w:rPr>
        <w:t>工程</w:t>
      </w:r>
      <w:bookmarkEnd w:id="56"/>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7" w:hRule="atLeast"/>
          <w:jc w:val="center"/>
        </w:trPr>
        <w:tc>
          <w:tcPr>
            <w:tcW w:w="8654" w:type="dxa"/>
            <w:tcBorders>
              <w:top w:val="single" w:color="auto" w:sz="4" w:space="0"/>
              <w:left w:val="single" w:color="auto" w:sz="4" w:space="0"/>
              <w:bottom w:val="single" w:color="auto" w:sz="4" w:space="0"/>
              <w:right w:val="single" w:color="auto" w:sz="4" w:space="0"/>
            </w:tcBorders>
            <w:noWrap/>
            <w:vAlign w:val="center"/>
          </w:tcPr>
          <w:p>
            <w:pPr>
              <w:pStyle w:val="31"/>
              <w:widowControl/>
              <w:adjustRightInd w:val="0"/>
              <w:snapToGrid w:val="0"/>
              <w:spacing w:line="400" w:lineRule="exact"/>
              <w:ind w:firstLine="56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关注食品饮料加工、生物医药企业数字化发展诉求。</w:t>
            </w:r>
          </w:p>
          <w:p>
            <w:pPr>
              <w:pStyle w:val="31"/>
              <w:widowControl/>
              <w:adjustRightInd w:val="0"/>
              <w:snapToGrid w:val="0"/>
              <w:spacing w:line="400" w:lineRule="exact"/>
              <w:ind w:firstLine="560"/>
              <w:rPr>
                <w:rFonts w:ascii="仿宋_GB2312" w:hAnsi="宋体" w:eastAsia="仿宋_GB2312" w:cs="Times New Roman"/>
                <w:sz w:val="28"/>
                <w:szCs w:val="28"/>
              </w:rPr>
            </w:pPr>
            <w:r>
              <w:rPr>
                <w:rFonts w:hint="eastAsia" w:ascii="Times New Roman" w:hAnsi="Times New Roman" w:eastAsia="仿宋_GB2312" w:cs="Times New Roman"/>
                <w:kern w:val="0"/>
                <w:sz w:val="28"/>
                <w:szCs w:val="28"/>
              </w:rPr>
              <w:t>依托杭州智库云泽网络科技有限公司，结合我县产业优势和产业发展定位打造全国性产业大数据招商中心，引进5家数字化企业入驻</w:t>
            </w:r>
            <w:r>
              <w:rPr>
                <w:rFonts w:hint="eastAsia" w:ascii="仿宋_GB2312" w:hAnsi="宋体" w:eastAsia="仿宋_GB2312" w:cs="Times New Roman"/>
                <w:sz w:val="28"/>
                <w:szCs w:val="28"/>
              </w:rPr>
              <w:t>。</w:t>
            </w:r>
          </w:p>
          <w:p>
            <w:pPr>
              <w:pStyle w:val="31"/>
              <w:widowControl/>
              <w:adjustRightInd w:val="0"/>
              <w:snapToGrid w:val="0"/>
              <w:spacing w:line="400" w:lineRule="exact"/>
              <w:ind w:firstLine="562"/>
              <w:rPr>
                <w:rFonts w:ascii="Times New Roman" w:hAnsi="Times New Roman" w:eastAsia="仿宋_GB2312" w:cs="Times New Roman"/>
                <w:kern w:val="0"/>
                <w:sz w:val="28"/>
                <w:szCs w:val="28"/>
              </w:rPr>
            </w:pPr>
            <w:r>
              <w:rPr>
                <w:rFonts w:hint="eastAsia" w:ascii="Times New Roman" w:hAnsi="Times New Roman" w:eastAsia="仿宋_GB2312" w:cs="Times New Roman"/>
                <w:b/>
                <w:bCs/>
                <w:kern w:val="0"/>
                <w:sz w:val="28"/>
                <w:szCs w:val="28"/>
              </w:rPr>
              <w:t>智慧文旅工程。</w:t>
            </w:r>
            <w:r>
              <w:rPr>
                <w:rFonts w:hint="eastAsia" w:ascii="Times New Roman" w:hAnsi="Times New Roman" w:eastAsia="仿宋_GB2312" w:cs="Times New Roman"/>
                <w:kern w:val="0"/>
                <w:sz w:val="28"/>
                <w:szCs w:val="28"/>
              </w:rPr>
              <w:t>以创建旅游示范区、智慧文旅示范单位等为契机，加大智慧文旅投入，加快智慧文旅小镇、智慧景区、智慧酒店、智慧旅行社、智慧购物点等细胞工程建设。推动七里峡、木门寺等景区建设智慧旅游景区，创建2项市级智慧旅游示范景区。</w:t>
            </w:r>
          </w:p>
          <w:p>
            <w:pPr>
              <w:pStyle w:val="31"/>
              <w:widowControl/>
              <w:adjustRightInd w:val="0"/>
              <w:snapToGrid w:val="0"/>
              <w:ind w:firstLine="562"/>
              <w:rPr>
                <w:rFonts w:ascii="Times New Roman" w:hAnsi="Times New Roman" w:eastAsia="楷体" w:cs="Times New Roman"/>
                <w:b/>
                <w:bCs/>
                <w:kern w:val="0"/>
                <w:sz w:val="28"/>
                <w:szCs w:val="28"/>
              </w:rPr>
            </w:pPr>
            <w:r>
              <w:rPr>
                <w:rFonts w:ascii="Times New Roman" w:hAnsi="Times New Roman" w:eastAsia="楷体" w:cs="Times New Roman"/>
                <w:b/>
                <w:bCs/>
                <w:kern w:val="0"/>
                <w:sz w:val="28"/>
                <w:szCs w:val="28"/>
              </w:rPr>
              <w:t>智慧康养工程。</w:t>
            </w:r>
            <w:r>
              <w:rPr>
                <w:rFonts w:ascii="Times New Roman" w:hAnsi="Times New Roman" w:eastAsia="仿宋_GB2312" w:cs="Times New Roman"/>
                <w:kern w:val="0"/>
                <w:sz w:val="28"/>
                <w:szCs w:val="28"/>
              </w:rPr>
              <w:t>以智慧康养为抓手，发展以医疗、茶文化为重点的医养产业；</w:t>
            </w:r>
            <w:r>
              <w:rPr>
                <w:rFonts w:hint="eastAsia" w:ascii="Times New Roman" w:hAnsi="Times New Roman" w:eastAsia="仿宋_GB2312" w:cs="Times New Roman"/>
                <w:kern w:val="0"/>
                <w:sz w:val="28"/>
                <w:szCs w:val="28"/>
              </w:rPr>
              <w:t>推进</w:t>
            </w:r>
            <w:r>
              <w:rPr>
                <w:rFonts w:ascii="Times New Roman" w:hAnsi="Times New Roman" w:eastAsia="仿宋_GB2312" w:cs="Times New Roman"/>
                <w:kern w:val="0"/>
                <w:sz w:val="28"/>
                <w:szCs w:val="28"/>
              </w:rPr>
              <w:t>基于数字平台的</w:t>
            </w:r>
            <w:r>
              <w:rPr>
                <w:rFonts w:hint="eastAsia" w:ascii="Times New Roman" w:hAnsi="Times New Roman" w:eastAsia="仿宋_GB2312" w:cs="Times New Roman"/>
                <w:kern w:val="0"/>
                <w:sz w:val="28"/>
                <w:szCs w:val="28"/>
              </w:rPr>
              <w:t>七里峡</w:t>
            </w:r>
            <w:r>
              <w:rPr>
                <w:rFonts w:ascii="Times New Roman" w:hAnsi="Times New Roman" w:eastAsia="仿宋_GB2312" w:cs="Times New Roman"/>
                <w:kern w:val="0"/>
                <w:sz w:val="28"/>
                <w:szCs w:val="28"/>
              </w:rPr>
              <w:t>生态康养旅游度假区建设</w:t>
            </w:r>
            <w:r>
              <w:rPr>
                <w:rFonts w:ascii="Times New Roman" w:hAnsi="Times New Roman" w:eastAsia="仿宋_GB2312" w:cs="Times New Roman"/>
                <w:spacing w:val="-6"/>
                <w:kern w:val="0"/>
                <w:sz w:val="28"/>
                <w:szCs w:val="28"/>
              </w:rPr>
              <w:t>。推动新开发小区规划建设康养服务站（中心），医疗卫生、养老服务、文化体育、社区服务等智慧健康服务设施。</w:t>
            </w:r>
          </w:p>
          <w:p>
            <w:pPr>
              <w:pStyle w:val="31"/>
              <w:widowControl/>
              <w:adjustRightInd w:val="0"/>
              <w:snapToGrid w:val="0"/>
              <w:ind w:firstLine="562"/>
              <w:rPr>
                <w:rFonts w:ascii="Times New Roman" w:hAnsi="Times New Roman" w:eastAsia="仿宋_GB2312" w:cs="Times New Roman"/>
                <w:kern w:val="0"/>
                <w:sz w:val="28"/>
                <w:szCs w:val="28"/>
              </w:rPr>
            </w:pPr>
            <w:r>
              <w:rPr>
                <w:rFonts w:ascii="Times New Roman" w:hAnsi="Times New Roman" w:eastAsia="楷体" w:cs="Times New Roman"/>
                <w:b/>
                <w:bCs/>
                <w:kern w:val="0"/>
                <w:sz w:val="28"/>
                <w:szCs w:val="28"/>
              </w:rPr>
              <w:t>生产数字化工程。</w:t>
            </w:r>
            <w:r>
              <w:rPr>
                <w:rFonts w:ascii="Times New Roman" w:hAnsi="Times New Roman" w:eastAsia="仿宋_GB2312" w:cs="Times New Roman"/>
                <w:kern w:val="0"/>
                <w:sz w:val="28"/>
                <w:szCs w:val="28"/>
              </w:rPr>
              <w:t>实施</w:t>
            </w:r>
            <w:r>
              <w:rPr>
                <w:rFonts w:hint="eastAsia" w:ascii="Times New Roman" w:hAnsi="Times New Roman" w:eastAsia="仿宋_GB2312" w:cs="Times New Roman"/>
                <w:kern w:val="0"/>
                <w:sz w:val="28"/>
                <w:szCs w:val="28"/>
              </w:rPr>
              <w:t>茶叶</w:t>
            </w:r>
            <w:r>
              <w:rPr>
                <w:rFonts w:ascii="Times New Roman" w:hAnsi="Times New Roman" w:eastAsia="仿宋_GB2312" w:cs="Times New Roman"/>
                <w:kern w:val="0"/>
                <w:sz w:val="28"/>
                <w:szCs w:val="28"/>
              </w:rPr>
              <w:t>生产数字化系统建设，购置虫情监测设备、多功能水肥管理设备、电化学水杀菌消毒设备，新建病虫害监测预警系统。</w:t>
            </w:r>
          </w:p>
          <w:p>
            <w:pPr>
              <w:pStyle w:val="31"/>
              <w:widowControl/>
              <w:adjustRightInd w:val="0"/>
              <w:snapToGrid w:val="0"/>
              <w:ind w:firstLine="562"/>
              <w:rPr>
                <w:rFonts w:ascii="Times New Roman" w:hAnsi="Times New Roman" w:eastAsia="仿宋_GB2312" w:cs="Times New Roman"/>
                <w:sz w:val="32"/>
                <w:szCs w:val="32"/>
              </w:rPr>
            </w:pPr>
            <w:r>
              <w:rPr>
                <w:rFonts w:ascii="Times New Roman" w:hAnsi="Times New Roman" w:eastAsia="楷体" w:cs="Times New Roman"/>
                <w:b/>
                <w:bCs/>
                <w:kern w:val="0"/>
                <w:sz w:val="28"/>
                <w:szCs w:val="28"/>
              </w:rPr>
              <w:t>电商体系建设工程。</w:t>
            </w:r>
            <w:r>
              <w:rPr>
                <w:rFonts w:ascii="仿宋_GB2312" w:eastAsia="仿宋_GB2312" w:cs="Calibri"/>
                <w:smallCaps/>
                <w:kern w:val="0"/>
                <w:sz w:val="28"/>
                <w:szCs w:val="36"/>
              </w:rPr>
              <w:t>建成</w:t>
            </w:r>
            <w:r>
              <w:rPr>
                <w:rFonts w:hint="eastAsia" w:ascii="仿宋_GB2312" w:eastAsia="仿宋_GB2312" w:cs="Calibri"/>
                <w:smallCaps/>
                <w:kern w:val="0"/>
                <w:sz w:val="28"/>
                <w:szCs w:val="36"/>
              </w:rPr>
              <w:t>2项</w:t>
            </w:r>
            <w:r>
              <w:rPr>
                <w:rFonts w:ascii="仿宋_GB2312" w:eastAsia="仿宋_GB2312" w:cs="Calibri"/>
                <w:smallCaps/>
                <w:kern w:val="0"/>
                <w:sz w:val="28"/>
                <w:szCs w:val="36"/>
              </w:rPr>
              <w:t>重点网络产品生产基地和产地直播基地，构建多种形式产销联合体。</w:t>
            </w:r>
          </w:p>
        </w:tc>
      </w:tr>
    </w:tbl>
    <w:p>
      <w:pPr>
        <w:pStyle w:val="30"/>
        <w:adjustRightInd w:val="0"/>
        <w:snapToGrid w:val="0"/>
        <w:spacing w:line="540" w:lineRule="exact"/>
        <w:ind w:firstLine="0" w:firstLineChars="0"/>
        <w:jc w:val="left"/>
        <w:outlineLvl w:val="0"/>
        <w:rPr>
          <w:rFonts w:eastAsia="黑体" w:cs="Times New Roman"/>
        </w:rPr>
      </w:pPr>
      <w:bookmarkStart w:id="57" w:name="_Toc84612405"/>
      <w:bookmarkStart w:id="58" w:name="_Toc99320427"/>
      <w:r>
        <w:rPr>
          <w:rFonts w:hint="eastAsia" w:eastAsia="黑体" w:cs="Times New Roman"/>
        </w:rPr>
        <w:t>五</w:t>
      </w:r>
      <w:r>
        <w:rPr>
          <w:rFonts w:eastAsia="黑体" w:cs="Times New Roman"/>
        </w:rPr>
        <w:t>、</w:t>
      </w:r>
      <w:bookmarkEnd w:id="57"/>
      <w:bookmarkStart w:id="59" w:name="_Toc84612406"/>
      <w:r>
        <w:rPr>
          <w:rFonts w:eastAsia="黑体" w:cs="Times New Roman"/>
        </w:rPr>
        <w:t>提升数字社会综合治理能力</w:t>
      </w:r>
      <w:bookmarkEnd w:id="58"/>
    </w:p>
    <w:p>
      <w:pPr>
        <w:pStyle w:val="52"/>
        <w:spacing w:line="500" w:lineRule="exact"/>
        <w:ind w:firstLine="600"/>
        <w:rPr>
          <w:rFonts w:ascii="仿宋_GB2312" w:hAnsi="宋体"/>
          <w:sz w:val="30"/>
          <w:szCs w:val="30"/>
        </w:rPr>
      </w:pPr>
      <w:r>
        <w:rPr>
          <w:rFonts w:hint="eastAsia" w:ascii="仿宋_GB2312" w:hAnsi="宋体"/>
          <w:sz w:val="30"/>
          <w:szCs w:val="30"/>
        </w:rPr>
        <w:t>基于旺苍现有城市建设智能化升级需求，推进物联网、云计算等新一代信息技术在城市建设领域的创新应用，加快城市运行管理体系建设，逐步实现城市治理各环节的无缝衔接和精细化管理，提高城市运行与社会管理智能化水平。</w:t>
      </w:r>
    </w:p>
    <w:p>
      <w:pPr>
        <w:pStyle w:val="30"/>
        <w:adjustRightInd w:val="0"/>
        <w:snapToGrid w:val="0"/>
        <w:spacing w:line="540" w:lineRule="exact"/>
        <w:ind w:firstLine="640"/>
        <w:outlineLvl w:val="1"/>
        <w:rPr>
          <w:rFonts w:ascii="楷体_GB2312" w:eastAsia="楷体_GB2312" w:cs="Times New Roman"/>
        </w:rPr>
      </w:pPr>
      <w:bookmarkStart w:id="60" w:name="_Toc99320428"/>
      <w:r>
        <w:rPr>
          <w:rFonts w:hint="eastAsia" w:ascii="楷体_GB2312" w:eastAsia="楷体_GB2312" w:cs="Times New Roman"/>
        </w:rPr>
        <w:t>（一）大力推进“互联网+”政务服务</w:t>
      </w:r>
      <w:bookmarkEnd w:id="60"/>
    </w:p>
    <w:p>
      <w:pPr>
        <w:pStyle w:val="52"/>
        <w:spacing w:line="500" w:lineRule="exact"/>
        <w:ind w:firstLine="600"/>
        <w:rPr>
          <w:rFonts w:ascii="仿宋_GB2312" w:hAnsi="宋体"/>
          <w:sz w:val="30"/>
          <w:szCs w:val="30"/>
        </w:rPr>
      </w:pPr>
      <w:r>
        <w:rPr>
          <w:rFonts w:hint="eastAsia" w:ascii="仿宋_GB2312" w:hAnsi="宋体"/>
          <w:sz w:val="30"/>
          <w:szCs w:val="30"/>
        </w:rPr>
        <w:t>以“四张清单一张网”改革为契机，加快融媒体项目建设，完善旺苍政务服务网旺苍门户，将其打造成为旺苍对外宣传的唯一平台。加快构建面向公民社保、医疗、养老、纳税、信用等的“一号”管理体制，实施“一号一窗一网”工程，创新政务服务内容与流程，提升服务效率。加快实现政务信息资源跨部门、跨层级、跨区域互通和协同共享。整合实体政务服务大厅、政府网站、移动客户端、自助终端、服务热线等不同渠道的用户认证，形成基于公民身份号码的线上线下互认的群众办事统一身份认证体系，运用大数据技术，开展跨领域、跨渠道的综合分析，加大发展个性化推荐等主动服务。</w:t>
      </w:r>
    </w:p>
    <w:p>
      <w:pPr>
        <w:pStyle w:val="30"/>
        <w:adjustRightInd w:val="0"/>
        <w:snapToGrid w:val="0"/>
        <w:spacing w:line="540" w:lineRule="exact"/>
        <w:ind w:firstLine="640"/>
        <w:outlineLvl w:val="1"/>
        <w:rPr>
          <w:rFonts w:ascii="楷体_GB2312" w:eastAsia="楷体_GB2312" w:cs="Times New Roman"/>
        </w:rPr>
      </w:pPr>
      <w:bookmarkStart w:id="61" w:name="_Toc99320429"/>
      <w:r>
        <w:rPr>
          <w:rFonts w:hint="eastAsia" w:ascii="楷体_GB2312" w:eastAsia="楷体_GB2312" w:cs="Times New Roman"/>
        </w:rPr>
        <w:t>（二）着力发展“互联网+”民生服务</w:t>
      </w:r>
      <w:bookmarkEnd w:id="61"/>
    </w:p>
    <w:p>
      <w:pPr>
        <w:pStyle w:val="52"/>
        <w:spacing w:line="500" w:lineRule="exact"/>
        <w:ind w:firstLine="600"/>
        <w:rPr>
          <w:rFonts w:ascii="仿宋_GB2312" w:hAnsi="宋体"/>
          <w:sz w:val="30"/>
          <w:szCs w:val="30"/>
        </w:rPr>
      </w:pPr>
      <w:r>
        <w:rPr>
          <w:rFonts w:hint="eastAsia" w:ascii="仿宋_GB2312" w:hAnsi="宋体"/>
          <w:sz w:val="30"/>
          <w:szCs w:val="30"/>
        </w:rPr>
        <w:t>大力发展智慧交通，以交通管理、实时路况、应急指挥、电子收费等领域为重点，推进智慧交通应用系统建设，提升道路管理与出行的智慧化水平，实施红绿灯自动控制系统、停车诱导系统和智能停车收费扩面工程，提升城区交通科技管理能力。大力推进“互联网+医疗服务”，建设覆盖城乡各类卫生医疗机构的信息化网络体系，完善就医各环节信息化服务系统，推进数字化医院向智慧医院转变，提升群众看病就医体验。着力发展“智慧+教育”，推进智能化教学管理平台构建，应用远程教学、同步教学等模式，以优质教育资源共建共享和应用、资源整合为中心，创新教学模式，提升教学成效。全面推进“智慧+旅游”建设，建立全县旅游数据中心，努力实现旅游数据的全域化获取、共享和应用，为旅游服务、管理、营销等方面提供数据依据。积极推进“智慧+安居”服务，加快智慧家居系统、智慧楼宇、智慧社区建设，为居民提供智能化的家庭、养老和社区服务。</w:t>
      </w:r>
    </w:p>
    <w:p>
      <w:pPr>
        <w:pStyle w:val="30"/>
        <w:adjustRightInd w:val="0"/>
        <w:snapToGrid w:val="0"/>
        <w:spacing w:line="540" w:lineRule="exact"/>
        <w:ind w:firstLine="640"/>
        <w:outlineLvl w:val="1"/>
        <w:rPr>
          <w:rFonts w:ascii="楷体_GB2312" w:eastAsia="楷体_GB2312" w:cs="Times New Roman"/>
        </w:rPr>
      </w:pPr>
      <w:bookmarkStart w:id="62" w:name="_Toc99320430"/>
      <w:r>
        <w:rPr>
          <w:rFonts w:hint="eastAsia" w:ascii="楷体_GB2312" w:eastAsia="楷体_GB2312" w:cs="Times New Roman"/>
        </w:rPr>
        <w:t>（三）加快推进“互联网+”监管服务</w:t>
      </w:r>
      <w:bookmarkEnd w:id="62"/>
    </w:p>
    <w:p>
      <w:pPr>
        <w:pStyle w:val="52"/>
        <w:spacing w:line="500" w:lineRule="exact"/>
        <w:ind w:firstLine="600"/>
        <w:rPr>
          <w:rFonts w:ascii="仿宋_GB2312" w:hAnsi="宋体"/>
          <w:sz w:val="30"/>
          <w:szCs w:val="30"/>
        </w:rPr>
      </w:pPr>
      <w:r>
        <w:rPr>
          <w:rFonts w:hint="eastAsia" w:ascii="仿宋_GB2312" w:hAnsi="宋体"/>
          <w:sz w:val="30"/>
          <w:szCs w:val="30"/>
        </w:rPr>
        <w:t>加快推进综治维稳、灾难预警、应急处置、安全生产监管、食品药品安全监管、环境监测、疫情预警等信息系统建设，加强物联网设备在重点监管服务领域的部署水平，实现监管数据的自动化采集。搭建全面系统的监管体系，推动监管服务平台的一体化发展，构建面向全县的集成化监管服务平台，统一数据格式、交换标准，构建监管服务平台与公安、消防、检察、法院、城管等部门的联合行动机制。积极创新监管数据的利用模式，鼓励以政府购买服务的方式吸引第三方市场力量参与监管数据的分析与挖掘，为政府监管提供更为专业的服务。</w:t>
      </w:r>
    </w:p>
    <w:bookmarkEnd w:id="59"/>
    <w:p>
      <w:pPr>
        <w:adjustRightInd w:val="0"/>
        <w:snapToGrid w:val="0"/>
        <w:spacing w:line="576" w:lineRule="exact"/>
        <w:jc w:val="center"/>
        <w:rPr>
          <w:rFonts w:ascii="仿宋_GB2312" w:eastAsia="仿宋_GB2312" w:cs="Calibri"/>
          <w:b/>
          <w:bCs/>
          <w:smallCaps/>
          <w:kern w:val="0"/>
          <w:sz w:val="28"/>
          <w:szCs w:val="36"/>
        </w:rPr>
      </w:pPr>
      <w:bookmarkStart w:id="63" w:name="_Toc6998_WPSOffice_Level2"/>
      <w:r>
        <w:rPr>
          <w:rFonts w:ascii="仿宋_GB2312" w:eastAsia="仿宋_GB2312" w:cs="Calibri"/>
          <w:b/>
          <w:bCs/>
          <w:smallCaps/>
          <w:kern w:val="0"/>
          <w:sz w:val="28"/>
          <w:szCs w:val="36"/>
        </w:rPr>
        <w:t>专栏3 数字社会综合治理服务工程</w:t>
      </w:r>
      <w:bookmarkEnd w:id="63"/>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654" w:type="dxa"/>
            <w:tcBorders>
              <w:top w:val="single" w:color="auto" w:sz="4" w:space="0"/>
              <w:left w:val="single" w:color="auto" w:sz="4" w:space="0"/>
              <w:bottom w:val="single" w:color="auto" w:sz="4" w:space="0"/>
              <w:right w:val="single" w:color="auto" w:sz="4" w:space="0"/>
            </w:tcBorders>
            <w:noWrap/>
            <w:vAlign w:val="center"/>
          </w:tcPr>
          <w:p>
            <w:pPr>
              <w:pStyle w:val="31"/>
              <w:adjustRightInd w:val="0"/>
              <w:snapToGrid w:val="0"/>
              <w:spacing w:line="400" w:lineRule="exact"/>
              <w:ind w:firstLine="562"/>
              <w:rPr>
                <w:rFonts w:ascii="Times New Roman" w:hAnsi="Times New Roman" w:eastAsia="仿宋_GB2312" w:cs="Times New Roman"/>
                <w:kern w:val="0"/>
                <w:sz w:val="28"/>
                <w:szCs w:val="28"/>
              </w:rPr>
            </w:pPr>
            <w:r>
              <w:rPr>
                <w:rFonts w:ascii="Times New Roman" w:hAnsi="Times New Roman" w:eastAsia="楷体" w:cs="Times New Roman"/>
                <w:b/>
                <w:bCs/>
                <w:kern w:val="0"/>
                <w:sz w:val="28"/>
                <w:szCs w:val="28"/>
              </w:rPr>
              <w:t>政府治理效能提升。</w:t>
            </w:r>
            <w:r>
              <w:rPr>
                <w:rFonts w:hint="eastAsia" w:ascii="Times New Roman" w:hAnsi="Times New Roman" w:eastAsia="仿宋_GB2312" w:cs="Times New Roman"/>
                <w:kern w:val="0"/>
                <w:sz w:val="28"/>
                <w:szCs w:val="28"/>
              </w:rPr>
              <w:t>推进</w:t>
            </w:r>
            <w:r>
              <w:rPr>
                <w:rFonts w:ascii="Times New Roman" w:hAnsi="Times New Roman" w:eastAsia="仿宋_GB2312" w:cs="Times New Roman"/>
                <w:kern w:val="0"/>
                <w:sz w:val="28"/>
                <w:szCs w:val="28"/>
              </w:rPr>
              <w:t>政务应用移动端与桌面端联通，确保工作信息实时联动，实现公文、业务事项指尖办理，政务信息实时提醒、非涉密政务工作便捷处理，推进政务办公协同高效。</w:t>
            </w:r>
          </w:p>
          <w:p>
            <w:pPr>
              <w:pStyle w:val="31"/>
              <w:adjustRightInd w:val="0"/>
              <w:snapToGrid w:val="0"/>
              <w:spacing w:line="400" w:lineRule="exact"/>
              <w:ind w:firstLine="562"/>
              <w:rPr>
                <w:rFonts w:ascii="Times New Roman" w:hAnsi="Times New Roman" w:eastAsia="仿宋_GB2312" w:cs="Times New Roman"/>
                <w:kern w:val="0"/>
                <w:sz w:val="28"/>
                <w:szCs w:val="28"/>
              </w:rPr>
            </w:pPr>
            <w:r>
              <w:rPr>
                <w:rFonts w:ascii="Times New Roman" w:hAnsi="Times New Roman" w:eastAsia="楷体" w:cs="Times New Roman"/>
                <w:b/>
                <w:bCs/>
                <w:kern w:val="0"/>
                <w:sz w:val="28"/>
                <w:szCs w:val="28"/>
              </w:rPr>
              <w:t>政府监管能力提升。</w:t>
            </w:r>
            <w:r>
              <w:rPr>
                <w:rFonts w:ascii="Times New Roman" w:hAnsi="Times New Roman" w:eastAsia="仿宋_GB2312" w:cs="Times New Roman"/>
                <w:kern w:val="0"/>
                <w:sz w:val="28"/>
                <w:szCs w:val="28"/>
              </w:rPr>
              <w:t>将工程建设项目行政审批事项一律纳入在线审批监管平台，实现网上受理、办理、监</w:t>
            </w:r>
            <w:r>
              <w:rPr>
                <w:rFonts w:hint="eastAsia" w:ascii="仿宋_GB2312" w:hAnsi="仿宋_GB2312" w:eastAsia="仿宋_GB2312" w:cs="仿宋_GB2312"/>
                <w:kern w:val="0"/>
                <w:sz w:val="28"/>
                <w:szCs w:val="28"/>
              </w:rPr>
              <w:t>管“一条龙”“不见面”</w:t>
            </w:r>
            <w:r>
              <w:rPr>
                <w:rFonts w:ascii="Times New Roman" w:hAnsi="Times New Roman" w:eastAsia="仿宋_GB2312" w:cs="Times New Roman"/>
                <w:kern w:val="0"/>
                <w:sz w:val="28"/>
                <w:szCs w:val="28"/>
              </w:rPr>
              <w:t>审批。</w:t>
            </w:r>
            <w:r>
              <w:rPr>
                <w:rFonts w:hint="eastAsia" w:ascii="Times New Roman" w:hAnsi="Times New Roman" w:eastAsia="仿宋_GB2312" w:cs="Times New Roman"/>
                <w:kern w:val="0"/>
                <w:sz w:val="28"/>
                <w:szCs w:val="28"/>
              </w:rPr>
              <w:t>加快国资国企在线监管平台建设，对国有企业实施数字化运营管理，增强监管能力</w:t>
            </w:r>
            <w:r>
              <w:rPr>
                <w:rFonts w:ascii="Times New Roman" w:hAnsi="Times New Roman" w:eastAsia="仿宋_GB2312" w:cs="Times New Roman"/>
                <w:kern w:val="0"/>
                <w:sz w:val="28"/>
                <w:szCs w:val="28"/>
              </w:rPr>
              <w:t>。提高监管效能，深</w:t>
            </w:r>
            <w:r>
              <w:rPr>
                <w:rFonts w:hint="eastAsia" w:ascii="仿宋_GB2312" w:hAnsi="仿宋_GB2312" w:eastAsia="仿宋_GB2312" w:cs="仿宋_GB2312"/>
                <w:kern w:val="0"/>
                <w:sz w:val="28"/>
                <w:szCs w:val="28"/>
              </w:rPr>
              <w:t>化“</w:t>
            </w:r>
            <w:bookmarkStart w:id="94" w:name="_GoBack"/>
            <w:bookmarkEnd w:id="94"/>
            <w:r>
              <w:rPr>
                <w:rFonts w:hint="eastAsia" w:ascii="仿宋_GB2312" w:hAnsi="仿宋_GB2312" w:eastAsia="仿宋_GB2312" w:cs="仿宋_GB2312"/>
                <w:kern w:val="0"/>
                <w:sz w:val="28"/>
                <w:szCs w:val="28"/>
                <w:lang w:eastAsia="zh-CN"/>
              </w:rPr>
              <w:t>双随机、一公开</w:t>
            </w:r>
            <w:r>
              <w:rPr>
                <w:rFonts w:hint="eastAsia" w:ascii="仿宋_GB2312" w:hAnsi="仿宋_GB2312" w:eastAsia="仿宋_GB2312" w:cs="仿宋_GB2312"/>
                <w:kern w:val="0"/>
                <w:sz w:val="28"/>
                <w:szCs w:val="28"/>
              </w:rPr>
              <w:t>”联合监管和“互联网+监管”，加强招标投</w:t>
            </w:r>
            <w:r>
              <w:rPr>
                <w:rFonts w:ascii="Times New Roman" w:hAnsi="Times New Roman" w:eastAsia="仿宋_GB2312" w:cs="Times New Roman"/>
                <w:kern w:val="0"/>
                <w:sz w:val="28"/>
                <w:szCs w:val="28"/>
              </w:rPr>
              <w:t>标、政府采购管理，规范行政执法和市场行为。</w:t>
            </w:r>
          </w:p>
          <w:p>
            <w:pPr>
              <w:pStyle w:val="31"/>
              <w:adjustRightInd w:val="0"/>
              <w:snapToGrid w:val="0"/>
              <w:spacing w:line="400" w:lineRule="exact"/>
              <w:ind w:firstLine="562"/>
              <w:rPr>
                <w:rFonts w:ascii="仿宋_GB2312" w:hAnsi="仿宋_GB2312" w:eastAsia="仿宋_GB2312" w:cs="仿宋_GB2312"/>
                <w:kern w:val="0"/>
                <w:sz w:val="28"/>
                <w:szCs w:val="28"/>
              </w:rPr>
            </w:pPr>
            <w:r>
              <w:rPr>
                <w:rFonts w:ascii="Times New Roman" w:hAnsi="Times New Roman" w:eastAsia="楷体" w:cs="Times New Roman"/>
                <w:b/>
                <w:bCs/>
                <w:kern w:val="0"/>
                <w:sz w:val="28"/>
                <w:szCs w:val="28"/>
              </w:rPr>
              <w:t>政务服务水平提升。</w:t>
            </w:r>
            <w:r>
              <w:rPr>
                <w:rFonts w:hint="eastAsia" w:ascii="仿宋_GB2312" w:eastAsia="仿宋_GB2312" w:cs="Calibri"/>
                <w:smallCaps/>
                <w:kern w:val="0"/>
                <w:sz w:val="28"/>
                <w:szCs w:val="36"/>
              </w:rPr>
              <w:t>融入</w:t>
            </w:r>
            <w:r>
              <w:rPr>
                <w:rFonts w:ascii="仿宋_GB2312" w:eastAsia="仿宋_GB2312" w:cs="Calibri"/>
                <w:smallCaps/>
                <w:kern w:val="0"/>
                <w:sz w:val="28"/>
                <w:szCs w:val="36"/>
              </w:rPr>
              <w:t>广元APP，集</w:t>
            </w:r>
            <w:r>
              <w:rPr>
                <w:rFonts w:hint="eastAsia" w:ascii="仿宋_GB2312" w:hAnsi="仿宋_GB2312" w:eastAsia="仿宋_GB2312" w:cs="仿宋_GB2312"/>
                <w:smallCaps/>
                <w:kern w:val="0"/>
                <w:sz w:val="28"/>
                <w:szCs w:val="36"/>
              </w:rPr>
              <w:t>成“政务数据+公共数据”支撑网上办事、信息咨询、交通出行、便民缴费等</w:t>
            </w:r>
            <w:r>
              <w:rPr>
                <w:rFonts w:hint="eastAsia" w:ascii="仿宋_GB2312" w:hAnsi="仿宋_GB2312" w:eastAsia="仿宋_GB2312" w:cs="仿宋_GB2312"/>
                <w:kern w:val="0"/>
                <w:sz w:val="28"/>
                <w:szCs w:val="28"/>
              </w:rPr>
              <w:t>服务。深化网上服务能力评估，建立面向企业和群众统一的政务咨询、投诉、建议智能客服系统，实现统一业务管理和绩效考核，为政务服务应用提供预约、客服、物流等运营支撑能力。全面推进“一网通办”前提下“最多跑一次”改革，加快“天府通办”在旺苍县的应用。</w:t>
            </w:r>
          </w:p>
          <w:p>
            <w:pPr>
              <w:pStyle w:val="31"/>
              <w:adjustRightInd w:val="0"/>
              <w:snapToGrid w:val="0"/>
              <w:spacing w:line="400" w:lineRule="exact"/>
              <w:ind w:firstLine="560"/>
              <w:rPr>
                <w:rFonts w:ascii="仿宋_GB2312" w:hAnsi="仿宋_GB2312" w:eastAsia="仿宋_GB2312" w:cs="仿宋_GB2312"/>
                <w:kern w:val="0"/>
                <w:sz w:val="28"/>
                <w:szCs w:val="28"/>
              </w:rPr>
            </w:pPr>
            <w:r>
              <w:rPr>
                <w:rFonts w:hint="eastAsia" w:ascii="Times New Roman" w:hAnsi="Times New Roman" w:eastAsia="仿宋_GB2312" w:cs="Times New Roman"/>
                <w:kern w:val="0"/>
                <w:sz w:val="28"/>
                <w:szCs w:val="28"/>
              </w:rPr>
              <w:t>为</w:t>
            </w:r>
            <w:r>
              <w:rPr>
                <w:rFonts w:hint="eastAsia" w:ascii="Times New Roman" w:hAnsi="Times New Roman" w:eastAsia="仿宋_GB2312" w:cs="Times New Roman"/>
                <w:kern w:val="0"/>
                <w:sz w:val="28"/>
                <w:szCs w:val="28"/>
                <w:lang w:val="en-US" w:eastAsia="zh-CN"/>
              </w:rPr>
              <w:t>县</w:t>
            </w:r>
            <w:r>
              <w:rPr>
                <w:rFonts w:hint="eastAsia" w:ascii="Times New Roman" w:hAnsi="Times New Roman" w:eastAsia="仿宋_GB2312" w:cs="Times New Roman"/>
                <w:kern w:val="0"/>
                <w:sz w:val="28"/>
                <w:szCs w:val="28"/>
              </w:rPr>
              <w:t>生态环境数字管理平台提供基础数据，在米仓山自然保护地、旺苍大峡谷污水垃圾处理设施等项目建设中，着力推进数字化赋能系统建设。</w:t>
            </w:r>
          </w:p>
          <w:p>
            <w:pPr>
              <w:pStyle w:val="31"/>
              <w:adjustRightInd w:val="0"/>
              <w:snapToGrid w:val="0"/>
              <w:spacing w:line="440" w:lineRule="exact"/>
              <w:ind w:firstLine="562"/>
              <w:rPr>
                <w:rFonts w:ascii="Times New Roman" w:hAnsi="Times New Roman" w:eastAsia="仿宋_GB2312" w:cs="Times New Roman"/>
                <w:kern w:val="0"/>
                <w:sz w:val="28"/>
                <w:szCs w:val="28"/>
              </w:rPr>
            </w:pPr>
            <w:r>
              <w:rPr>
                <w:rFonts w:ascii="Times New Roman" w:hAnsi="Times New Roman" w:eastAsia="楷体" w:cs="Times New Roman"/>
                <w:b/>
                <w:bCs/>
                <w:kern w:val="0"/>
                <w:sz w:val="28"/>
                <w:szCs w:val="28"/>
              </w:rPr>
              <w:t>数字惠民服务工程。</w:t>
            </w:r>
            <w:r>
              <w:rPr>
                <w:rFonts w:ascii="Times New Roman" w:hAnsi="Times New Roman" w:eastAsia="仿宋_GB2312" w:cs="Times New Roman"/>
                <w:kern w:val="0"/>
                <w:sz w:val="28"/>
                <w:szCs w:val="28"/>
              </w:rPr>
              <w:t>深化智慧教育二期、智慧医疗、智慧社区、智慧交通等各领域服务系统应用，加快养老、托育、水电气、通信等便民服务设施数字化改造。</w:t>
            </w:r>
          </w:p>
          <w:p>
            <w:pPr>
              <w:pStyle w:val="31"/>
              <w:adjustRightInd w:val="0"/>
              <w:snapToGrid w:val="0"/>
              <w:spacing w:line="400" w:lineRule="exact"/>
              <w:ind w:firstLine="562"/>
              <w:rPr>
                <w:rFonts w:ascii="Times New Roman" w:hAnsi="Times New Roman" w:eastAsia="仿宋_GB2312" w:cs="Times New Roman"/>
                <w:kern w:val="0"/>
                <w:sz w:val="28"/>
                <w:szCs w:val="28"/>
              </w:rPr>
            </w:pPr>
            <w:r>
              <w:rPr>
                <w:rFonts w:eastAsia="楷体" w:cs="Times New Roman"/>
                <w:b/>
                <w:bCs/>
                <w:kern w:val="0"/>
                <w:sz w:val="28"/>
                <w:szCs w:val="28"/>
              </w:rPr>
              <w:t>数字服务创新工程。</w:t>
            </w:r>
            <w:r>
              <w:rPr>
                <w:rFonts w:eastAsia="仿宋_GB2312" w:cs="Times New Roman"/>
                <w:kern w:val="0"/>
                <w:sz w:val="28"/>
                <w:szCs w:val="28"/>
              </w:rPr>
              <w:t>深入实</w:t>
            </w:r>
            <w:r>
              <w:rPr>
                <w:rFonts w:hint="eastAsia" w:ascii="仿宋_GB2312" w:hAnsi="仿宋_GB2312" w:eastAsia="仿宋_GB2312" w:cs="仿宋_GB2312"/>
                <w:kern w:val="0"/>
                <w:sz w:val="28"/>
                <w:szCs w:val="28"/>
              </w:rPr>
              <w:t>施“三百工程”，培育壮大规上服务业和线上批零住餐企业，推广新产业新业态新商业模式，打造电商产业园，推进服务业集聚发展。推进推广线上“广元美味”餐饮公共品牌战略，建设一条特色街区</w:t>
            </w:r>
            <w:r>
              <w:rPr>
                <w:rFonts w:eastAsia="仿宋_GB2312" w:cs="Times New Roman"/>
                <w:kern w:val="0"/>
                <w:sz w:val="28"/>
                <w:szCs w:val="28"/>
              </w:rPr>
              <w:t>。</w:t>
            </w:r>
          </w:p>
        </w:tc>
      </w:tr>
    </w:tbl>
    <w:p>
      <w:pPr>
        <w:pStyle w:val="30"/>
        <w:adjustRightInd w:val="0"/>
        <w:snapToGrid w:val="0"/>
        <w:spacing w:line="540" w:lineRule="exact"/>
        <w:ind w:firstLine="0" w:firstLineChars="0"/>
        <w:outlineLvl w:val="0"/>
        <w:rPr>
          <w:rFonts w:eastAsia="黑体" w:cs="Times New Roman"/>
        </w:rPr>
      </w:pPr>
      <w:bookmarkStart w:id="64" w:name="_Toc99320431"/>
      <w:bookmarkStart w:id="65" w:name="_Toc84612409"/>
      <w:r>
        <w:rPr>
          <w:rFonts w:hint="eastAsia" w:eastAsia="黑体" w:cs="Times New Roman"/>
        </w:rPr>
        <w:t>六</w:t>
      </w:r>
      <w:r>
        <w:rPr>
          <w:rFonts w:eastAsia="黑体" w:cs="Times New Roman"/>
        </w:rPr>
        <w:t>、多通道把控网络安全防护关</w:t>
      </w:r>
      <w:bookmarkEnd w:id="64"/>
      <w:bookmarkEnd w:id="65"/>
    </w:p>
    <w:p>
      <w:pPr>
        <w:pStyle w:val="30"/>
        <w:adjustRightInd w:val="0"/>
        <w:snapToGrid w:val="0"/>
        <w:spacing w:line="540" w:lineRule="exact"/>
        <w:ind w:firstLine="640"/>
        <w:outlineLvl w:val="1"/>
        <w:rPr>
          <w:rFonts w:ascii="楷体_GB2312" w:eastAsia="楷体_GB2312" w:cs="Times New Roman"/>
        </w:rPr>
      </w:pPr>
      <w:bookmarkStart w:id="66" w:name="_Toc99320432"/>
      <w:bookmarkStart w:id="67" w:name="_Toc84612410"/>
      <w:r>
        <w:rPr>
          <w:rFonts w:ascii="楷体_GB2312" w:eastAsia="楷体_GB2312" w:cs="Times New Roman"/>
        </w:rPr>
        <w:t>（一）推进依法治网体系建设</w:t>
      </w:r>
      <w:bookmarkEnd w:id="66"/>
      <w:bookmarkEnd w:id="67"/>
    </w:p>
    <w:p>
      <w:pPr>
        <w:adjustRightInd w:val="0"/>
        <w:snapToGrid w:val="0"/>
        <w:spacing w:line="540" w:lineRule="exact"/>
        <w:ind w:firstLine="642" w:firstLineChars="200"/>
        <w:rPr>
          <w:rFonts w:ascii="Times New Roman" w:hAnsi="Times New Roman" w:eastAsia="仿宋_GB2312" w:cs="Times New Roman"/>
          <w:sz w:val="32"/>
          <w:szCs w:val="32"/>
        </w:rPr>
      </w:pPr>
      <w:r>
        <w:rPr>
          <w:rFonts w:ascii="楷体_GB2312" w:eastAsia="楷体_GB2312" w:cs="Calibri"/>
          <w:b/>
          <w:smallCaps/>
          <w:kern w:val="0"/>
          <w:sz w:val="32"/>
          <w:szCs w:val="40"/>
        </w:rPr>
        <w:t>加强互联网法</w:t>
      </w:r>
      <w:r>
        <w:rPr>
          <w:rFonts w:hint="eastAsia" w:ascii="楷体_GB2312" w:eastAsia="楷体_GB2312" w:cs="Calibri"/>
          <w:b/>
          <w:smallCaps/>
          <w:kern w:val="0"/>
          <w:sz w:val="32"/>
          <w:szCs w:val="40"/>
          <w:lang w:val="en-US" w:eastAsia="zh-CN"/>
        </w:rPr>
        <w:t>治</w:t>
      </w:r>
      <w:r>
        <w:rPr>
          <w:rFonts w:ascii="楷体_GB2312" w:eastAsia="楷体_GB2312" w:cs="Calibri"/>
          <w:b/>
          <w:smallCaps/>
          <w:kern w:val="0"/>
          <w:sz w:val="32"/>
          <w:szCs w:val="40"/>
        </w:rPr>
        <w:t>建设。</w:t>
      </w:r>
      <w:r>
        <w:rPr>
          <w:rFonts w:ascii="Times New Roman" w:hAnsi="Times New Roman" w:eastAsia="仿宋_GB2312" w:cs="Times New Roman"/>
          <w:sz w:val="32"/>
          <w:szCs w:val="32"/>
        </w:rPr>
        <w:t>制定互联网治理地方性规章制度，推动现行法律法规延伸适用到网络空间。科学制定网络空间治理规范，</w:t>
      </w:r>
      <w:r>
        <w:rPr>
          <w:rFonts w:hint="eastAsia" w:ascii="Times New Roman" w:hAnsi="Times New Roman" w:eastAsia="仿宋_GB2312" w:cs="Times New Roman"/>
          <w:sz w:val="32"/>
          <w:szCs w:val="32"/>
        </w:rPr>
        <w:t>加快建设网络综合治理平台</w:t>
      </w:r>
      <w:r>
        <w:rPr>
          <w:rFonts w:ascii="Times New Roman" w:hAnsi="Times New Roman" w:eastAsia="仿宋_GB2312" w:cs="Times New Roman"/>
          <w:sz w:val="32"/>
          <w:szCs w:val="32"/>
        </w:rPr>
        <w:t>，提高互联网舆情、互联网安全监测预警和态势感知能力。加强互联网领域监管部门行政执法资源统筹，建立健全网络行政执法体制机制。</w:t>
      </w:r>
    </w:p>
    <w:p>
      <w:pPr>
        <w:adjustRightInd w:val="0"/>
        <w:snapToGrid w:val="0"/>
        <w:spacing w:line="540" w:lineRule="exact"/>
        <w:ind w:firstLine="642" w:firstLineChars="200"/>
        <w:rPr>
          <w:rFonts w:ascii="Times New Roman" w:hAnsi="Times New Roman" w:eastAsia="仿宋_GB2312" w:cs="Times New Roman"/>
          <w:sz w:val="32"/>
          <w:szCs w:val="32"/>
        </w:rPr>
      </w:pPr>
      <w:r>
        <w:rPr>
          <w:rFonts w:ascii="楷体_GB2312" w:eastAsia="楷体_GB2312" w:cs="Calibri"/>
          <w:b/>
          <w:smallCaps/>
          <w:kern w:val="0"/>
          <w:sz w:val="32"/>
          <w:szCs w:val="40"/>
        </w:rPr>
        <w:t>打击网络违法犯罪。</w:t>
      </w:r>
      <w:r>
        <w:rPr>
          <w:rFonts w:ascii="Times New Roman" w:hAnsi="Times New Roman" w:eastAsia="仿宋_GB2312" w:cs="Times New Roman"/>
          <w:sz w:val="32"/>
          <w:szCs w:val="32"/>
        </w:rPr>
        <w:t>建立打击涉及互联网违法犯罪长效机制。加强网络黑灰产业链整治，深入开展网络水军治理行动，坚决遏制</w:t>
      </w:r>
      <w:r>
        <w:rPr>
          <w:rFonts w:hint="eastAsia" w:ascii="Times New Roman" w:hAnsi="Times New Roman" w:eastAsia="仿宋_GB2312" w:cs="Times New Roman"/>
          <w:sz w:val="32"/>
          <w:szCs w:val="32"/>
        </w:rPr>
        <w:t>电信网络诈骗、传销等</w:t>
      </w:r>
      <w:r>
        <w:rPr>
          <w:rFonts w:ascii="Times New Roman" w:hAnsi="Times New Roman" w:eastAsia="仿宋_GB2312" w:cs="Times New Roman"/>
          <w:sz w:val="32"/>
          <w:szCs w:val="32"/>
        </w:rPr>
        <w:t>新型网络犯罪。加大网络侵权盗版查处力度，规范网络传播各类作品版权秩序。完善涉法人及公民有害信息的举报处置机制，压实网络平台对投诉的处置责任，推动落实网络实名制。健全未成年人网络保护综合治理机制，严厉打击危害儿童身心健康的网络违法犯罪行为。</w:t>
      </w:r>
    </w:p>
    <w:p>
      <w:pPr>
        <w:adjustRightInd w:val="0"/>
        <w:snapToGrid w:val="0"/>
        <w:spacing w:line="540" w:lineRule="exact"/>
        <w:ind w:firstLine="642" w:firstLineChars="200"/>
        <w:rPr>
          <w:rFonts w:ascii="Times New Roman" w:hAnsi="Times New Roman" w:eastAsia="仿宋_GB2312" w:cs="Times New Roman"/>
          <w:sz w:val="32"/>
          <w:szCs w:val="32"/>
        </w:rPr>
      </w:pPr>
      <w:r>
        <w:rPr>
          <w:rFonts w:ascii="楷体_GB2312" w:eastAsia="楷体_GB2312" w:cs="Calibri"/>
          <w:b/>
          <w:smallCaps/>
          <w:kern w:val="0"/>
          <w:sz w:val="32"/>
          <w:szCs w:val="40"/>
        </w:rPr>
        <w:t>加强信息安全教育。</w:t>
      </w:r>
      <w:r>
        <w:rPr>
          <w:rFonts w:ascii="Times New Roman" w:hAnsi="Times New Roman" w:eastAsia="仿宋_GB2312" w:cs="Times New Roman"/>
          <w:sz w:val="32"/>
          <w:szCs w:val="32"/>
        </w:rPr>
        <w:t>加强产教联合，面向社会开展信息安全意识警示、信息安全日常技能宣传等专题活动，开展流程化、规范化的网络安全意识培训，提升全社会对信息安全的认识，培养形成良好的信息安全防范意识。办好国家网络安全宣传周，依托信息学院建立网络安全科普体验中心，采用丰富的视听互动技术开展网络安全宣传教育工作。</w:t>
      </w:r>
    </w:p>
    <w:p>
      <w:pPr>
        <w:pStyle w:val="30"/>
        <w:adjustRightInd w:val="0"/>
        <w:snapToGrid w:val="0"/>
        <w:spacing w:line="540" w:lineRule="exact"/>
        <w:ind w:firstLine="640"/>
        <w:outlineLvl w:val="1"/>
        <w:rPr>
          <w:rFonts w:ascii="楷体_GB2312" w:eastAsia="楷体_GB2312" w:cs="Times New Roman"/>
        </w:rPr>
      </w:pPr>
      <w:bookmarkStart w:id="68" w:name="_Toc84612411"/>
      <w:bookmarkStart w:id="69" w:name="_Toc99320433"/>
      <w:r>
        <w:rPr>
          <w:rFonts w:ascii="楷体_GB2312" w:eastAsia="楷体_GB2312" w:cs="Times New Roman"/>
        </w:rPr>
        <w:t>（二）加强网络安全设施建设</w:t>
      </w:r>
      <w:bookmarkEnd w:id="68"/>
      <w:bookmarkEnd w:id="69"/>
    </w:p>
    <w:p>
      <w:pPr>
        <w:adjustRightInd w:val="0"/>
        <w:snapToGrid w:val="0"/>
        <w:spacing w:line="540" w:lineRule="exact"/>
        <w:ind w:firstLine="642" w:firstLineChars="200"/>
        <w:rPr>
          <w:rFonts w:ascii="Times New Roman" w:hAnsi="Times New Roman" w:eastAsia="仿宋_GB2312" w:cs="Times New Roman"/>
          <w:sz w:val="32"/>
          <w:szCs w:val="32"/>
        </w:rPr>
      </w:pPr>
      <w:r>
        <w:rPr>
          <w:rFonts w:ascii="楷体_GB2312" w:eastAsia="楷体_GB2312" w:cs="Calibri"/>
          <w:b/>
          <w:smallCaps/>
          <w:kern w:val="0"/>
          <w:sz w:val="32"/>
          <w:szCs w:val="40"/>
        </w:rPr>
        <w:t>加强重点领域信息安全设施建设。</w:t>
      </w:r>
      <w:r>
        <w:rPr>
          <w:rFonts w:ascii="仿宋_GB2312" w:eastAsia="仿宋_GB2312" w:cs="Calibri"/>
          <w:smallCaps/>
          <w:kern w:val="0"/>
          <w:sz w:val="32"/>
          <w:szCs w:val="40"/>
        </w:rPr>
        <w:t>建设高安全5G行业专网、区块链安全基础设施、密码应用基础设施和数据安全共享服务基础设施。鼓励建设漏洞库、病毒库等网络安全基础资源库，建立网络安全运维中心、灾备中心。重点围绕工业互联网、车联网、物联网、云计算、大数据、AR/VR等新型应用场景，建设网络安全测试验证、培训演练、设备安全检测等共性基础平台。支持构</w:t>
      </w:r>
      <w:r>
        <w:rPr>
          <w:rFonts w:ascii="仿宋_GB2312" w:eastAsia="仿宋_GB2312" w:cs="Calibri"/>
          <w:smallCaps/>
          <w:spacing w:val="-6"/>
          <w:kern w:val="0"/>
          <w:sz w:val="32"/>
          <w:szCs w:val="40"/>
        </w:rPr>
        <w:t>建基于商用密码、指纹识别、人脸识别等技术的网络身份认证体系。</w:t>
      </w:r>
    </w:p>
    <w:p>
      <w:pPr>
        <w:adjustRightInd w:val="0"/>
        <w:snapToGrid w:val="0"/>
        <w:spacing w:line="540" w:lineRule="exact"/>
        <w:ind w:firstLine="642" w:firstLineChars="200"/>
        <w:rPr>
          <w:rFonts w:ascii="Times New Roman" w:hAnsi="Times New Roman" w:eastAsia="仿宋_GB2312" w:cs="Times New Roman"/>
          <w:sz w:val="32"/>
          <w:szCs w:val="32"/>
        </w:rPr>
      </w:pPr>
      <w:r>
        <w:rPr>
          <w:rFonts w:ascii="楷体_GB2312" w:eastAsia="楷体_GB2312" w:cs="Calibri"/>
          <w:b/>
          <w:smallCaps/>
          <w:kern w:val="0"/>
          <w:sz w:val="32"/>
          <w:szCs w:val="40"/>
        </w:rPr>
        <w:t>建设城市信息安全运营服务平台。</w:t>
      </w:r>
      <w:r>
        <w:rPr>
          <w:rFonts w:ascii="仿宋_GB2312" w:eastAsia="仿宋_GB2312" w:cs="Calibri"/>
          <w:smallCaps/>
          <w:kern w:val="0"/>
          <w:sz w:val="32"/>
          <w:szCs w:val="40"/>
        </w:rPr>
        <w:t>推动网络安全服务</w:t>
      </w:r>
      <w:r>
        <w:rPr>
          <w:rFonts w:hint="eastAsia" w:ascii="仿宋_GB2312" w:eastAsia="仿宋_GB2312" w:cs="Calibri"/>
          <w:smallCaps/>
          <w:kern w:val="0"/>
          <w:sz w:val="32"/>
          <w:szCs w:val="40"/>
        </w:rPr>
        <w:t>、关键基础设施保护</w:t>
      </w:r>
      <w:r>
        <w:rPr>
          <w:rFonts w:ascii="仿宋_GB2312" w:eastAsia="仿宋_GB2312" w:cs="Calibri"/>
          <w:smallCaps/>
          <w:kern w:val="0"/>
          <w:sz w:val="32"/>
          <w:szCs w:val="40"/>
        </w:rPr>
        <w:t>和大数据安全监管</w:t>
      </w:r>
      <w:r>
        <w:rPr>
          <w:rFonts w:hint="eastAsia" w:ascii="仿宋_GB2312" w:eastAsia="仿宋_GB2312" w:cs="Calibri"/>
          <w:smallCaps/>
          <w:kern w:val="0"/>
          <w:sz w:val="32"/>
          <w:szCs w:val="40"/>
        </w:rPr>
        <w:t>等</w:t>
      </w:r>
      <w:r>
        <w:rPr>
          <w:rFonts w:ascii="仿宋_GB2312" w:eastAsia="仿宋_GB2312" w:cs="Calibri"/>
          <w:smallCaps/>
          <w:kern w:val="0"/>
          <w:sz w:val="32"/>
          <w:szCs w:val="40"/>
        </w:rPr>
        <w:t>平台建设，建立云端和本地两级AI高级威胁分析平台，</w:t>
      </w:r>
      <w:r>
        <w:rPr>
          <w:rFonts w:hint="eastAsia" w:ascii="仿宋_GB2312" w:eastAsia="仿宋_GB2312" w:cs="Calibri"/>
          <w:smallCaps/>
          <w:kern w:val="0"/>
          <w:sz w:val="32"/>
          <w:szCs w:val="40"/>
        </w:rPr>
        <w:t>提升</w:t>
      </w:r>
      <w:r>
        <w:rPr>
          <w:rFonts w:ascii="仿宋_GB2312" w:eastAsia="仿宋_GB2312" w:cs="Calibri"/>
          <w:smallCaps/>
          <w:kern w:val="0"/>
          <w:sz w:val="32"/>
          <w:szCs w:val="40"/>
        </w:rPr>
        <w:t>现</w:t>
      </w:r>
      <w:r>
        <w:rPr>
          <w:rFonts w:hint="eastAsia" w:ascii="仿宋_GB2312" w:eastAsia="仿宋_GB2312" w:cs="Calibri"/>
          <w:smallCaps/>
          <w:kern w:val="0"/>
          <w:sz w:val="32"/>
          <w:szCs w:val="40"/>
        </w:rPr>
        <w:t>有</w:t>
      </w:r>
      <w:r>
        <w:rPr>
          <w:rFonts w:ascii="仿宋_GB2312" w:eastAsia="仿宋_GB2312" w:cs="Calibri"/>
          <w:smallCaps/>
          <w:kern w:val="0"/>
          <w:sz w:val="32"/>
          <w:szCs w:val="40"/>
        </w:rPr>
        <w:t>网</w:t>
      </w:r>
      <w:r>
        <w:rPr>
          <w:rFonts w:hint="eastAsia" w:ascii="仿宋_GB2312" w:eastAsia="仿宋_GB2312" w:cs="Calibri"/>
          <w:smallCaps/>
          <w:kern w:val="0"/>
          <w:sz w:val="32"/>
          <w:szCs w:val="40"/>
        </w:rPr>
        <w:t>络</w:t>
      </w:r>
      <w:r>
        <w:rPr>
          <w:rFonts w:ascii="仿宋_GB2312" w:eastAsia="仿宋_GB2312" w:cs="Calibri"/>
          <w:smallCaps/>
          <w:kern w:val="0"/>
          <w:sz w:val="32"/>
          <w:szCs w:val="40"/>
        </w:rPr>
        <w:t>安全设备威胁</w:t>
      </w:r>
      <w:r>
        <w:rPr>
          <w:rFonts w:hint="eastAsia" w:ascii="仿宋_GB2312" w:eastAsia="仿宋_GB2312" w:cs="Calibri"/>
          <w:smallCaps/>
          <w:kern w:val="0"/>
          <w:sz w:val="32"/>
          <w:szCs w:val="40"/>
        </w:rPr>
        <w:t>自动化</w:t>
      </w:r>
      <w:r>
        <w:rPr>
          <w:rFonts w:ascii="仿宋_GB2312" w:eastAsia="仿宋_GB2312" w:cs="Calibri"/>
          <w:smallCaps/>
          <w:kern w:val="0"/>
          <w:sz w:val="32"/>
          <w:szCs w:val="40"/>
        </w:rPr>
        <w:t>检测能力，构建网络安全联动能力。加强网络安全态势感知平台建设，确保关键设备的自主可控，保障关键信息基础设施安全。积极对接融入国家网络安全信息共享平台和应急指挥平台，实现跨企业、跨行业、跨地区信息共享和协调联动。</w:t>
      </w:r>
    </w:p>
    <w:p>
      <w:pPr>
        <w:pStyle w:val="30"/>
        <w:adjustRightInd w:val="0"/>
        <w:snapToGrid w:val="0"/>
        <w:spacing w:line="540" w:lineRule="exact"/>
        <w:ind w:firstLine="640"/>
        <w:outlineLvl w:val="1"/>
        <w:rPr>
          <w:rFonts w:ascii="楷体_GB2312" w:eastAsia="楷体_GB2312" w:cs="Times New Roman"/>
        </w:rPr>
      </w:pPr>
      <w:bookmarkStart w:id="70" w:name="_Toc99320434"/>
      <w:bookmarkStart w:id="71" w:name="_Toc84612412"/>
      <w:r>
        <w:rPr>
          <w:rFonts w:hint="eastAsia" w:ascii="楷体_GB2312" w:eastAsia="楷体_GB2312" w:cs="Times New Roman"/>
        </w:rPr>
        <w:t>（三）强化意识形态安全监管</w:t>
      </w:r>
      <w:bookmarkEnd w:id="70"/>
    </w:p>
    <w:p>
      <w:pPr>
        <w:pStyle w:val="29"/>
        <w:widowControl w:val="0"/>
        <w:spacing w:line="540" w:lineRule="exact"/>
        <w:ind w:left="0" w:firstLine="642" w:firstLineChars="200"/>
        <w:jc w:val="both"/>
        <w:rPr>
          <w:spacing w:val="-8"/>
        </w:rPr>
      </w:pPr>
      <w:r>
        <w:rPr>
          <w:rFonts w:ascii="楷体_GB2312" w:hAnsi="Calibri" w:eastAsia="楷体_GB2312"/>
          <w:b/>
          <w:kern w:val="0"/>
          <w:sz w:val="32"/>
          <w:szCs w:val="40"/>
        </w:rPr>
        <w:t>加强网上正能量宣传。</w:t>
      </w:r>
      <w:r>
        <w:rPr>
          <w:rFonts w:eastAsia="仿宋_GB2312" w:cs="仿宋_GB2312"/>
          <w:smallCaps w:val="0"/>
          <w:sz w:val="32"/>
        </w:rPr>
        <w:t>突出展示总书记大国领袖、大党领袖形象，推动习近平新时代中国特色社会主义思想网络宣传不断往深里走、往实里走、往心里走</w:t>
      </w:r>
      <w:r>
        <w:rPr>
          <w:rFonts w:hint="eastAsia" w:eastAsia="仿宋_GB2312" w:cs="仿宋_GB2312"/>
          <w:smallCaps w:val="0"/>
          <w:sz w:val="32"/>
        </w:rPr>
        <w:t>，</w:t>
      </w:r>
      <w:r>
        <w:rPr>
          <w:rFonts w:eastAsia="仿宋_GB2312" w:cs="仿宋_GB2312"/>
          <w:smallCaps w:val="0"/>
          <w:sz w:val="32"/>
        </w:rPr>
        <w:t>实现入脑入心、落地生根。大力推动马克思主义中国化最新成果、中国特色社会主义理论最新成果的网上宣传，深入实施社会主义核心价值观传播工程，做好党史、新中国史、改革开放史和社会主义发展史网上宣传。加强网络诚信体系建设，打造具有公信力和权威性的网络诚信认证品牌</w:t>
      </w:r>
      <w:r>
        <w:rPr>
          <w:rFonts w:hint="eastAsia" w:eastAsia="仿宋_GB2312" w:cs="仿宋_GB2312"/>
          <w:smallCaps w:val="0"/>
          <w:sz w:val="32"/>
        </w:rPr>
        <w:t>，</w:t>
      </w:r>
      <w:r>
        <w:rPr>
          <w:rFonts w:eastAsia="仿宋_GB2312" w:cs="仿宋_GB2312"/>
          <w:smallCaps w:val="0"/>
          <w:sz w:val="32"/>
        </w:rPr>
        <w:t>建立互联网信息服务严重失信主体失信联合惩戒对象名单制</w:t>
      </w:r>
      <w:r>
        <w:rPr>
          <w:rFonts w:eastAsia="仿宋_GB2312" w:cs="仿宋_GB2312"/>
          <w:smallCaps w:val="0"/>
          <w:spacing w:val="-8"/>
          <w:sz w:val="32"/>
        </w:rPr>
        <w:t>度。加强网络评论队伍体系建设</w:t>
      </w:r>
      <w:r>
        <w:rPr>
          <w:rFonts w:hint="eastAsia" w:eastAsia="仿宋_GB2312" w:cs="仿宋_GB2312"/>
          <w:smallCaps w:val="0"/>
          <w:spacing w:val="-8"/>
          <w:sz w:val="32"/>
        </w:rPr>
        <w:t>，</w:t>
      </w:r>
      <w:r>
        <w:rPr>
          <w:rFonts w:eastAsia="仿宋_GB2312" w:cs="仿宋_GB2312"/>
          <w:smallCaps w:val="0"/>
          <w:spacing w:val="-8"/>
          <w:sz w:val="32"/>
        </w:rPr>
        <w:t>完善网络人士数据库，筛选正能量骨干的网络人士重点培养对象，建立完善网络人士建言资政渠道。</w:t>
      </w:r>
    </w:p>
    <w:p>
      <w:pPr>
        <w:pStyle w:val="29"/>
        <w:widowControl w:val="0"/>
        <w:spacing w:line="540" w:lineRule="exact"/>
        <w:ind w:left="0" w:firstLine="642" w:firstLineChars="200"/>
        <w:jc w:val="both"/>
        <w:rPr>
          <w:rFonts w:eastAsia="仿宋_GB2312" w:cs="仿宋_GB2312"/>
          <w:smallCaps w:val="0"/>
          <w:sz w:val="32"/>
        </w:rPr>
      </w:pPr>
      <w:r>
        <w:rPr>
          <w:rFonts w:ascii="楷体_GB2312" w:hAnsi="Calibri" w:eastAsia="楷体_GB2312"/>
          <w:b/>
          <w:kern w:val="0"/>
          <w:sz w:val="32"/>
          <w:szCs w:val="40"/>
        </w:rPr>
        <w:t>提升主流网络媒体传播力和影响力。</w:t>
      </w:r>
      <w:r>
        <w:rPr>
          <w:rFonts w:eastAsia="仿宋_GB2312" w:cs="仿宋_GB2312"/>
          <w:smallCaps w:val="0"/>
          <w:sz w:val="32"/>
        </w:rPr>
        <w:t>发挥主流媒体及其新媒体定向定调作用，突出网上主流舆论。坚持因地制宜、因势利导、灵活机动，</w:t>
      </w:r>
      <w:r>
        <w:rPr>
          <w:rFonts w:hint="eastAsia" w:eastAsia="仿宋_GB2312" w:cs="仿宋_GB2312"/>
          <w:smallCaps w:val="0"/>
          <w:sz w:val="32"/>
        </w:rPr>
        <w:t>积极</w:t>
      </w:r>
      <w:r>
        <w:rPr>
          <w:rFonts w:eastAsia="仿宋_GB2312" w:cs="仿宋_GB2312"/>
          <w:smallCaps w:val="0"/>
          <w:sz w:val="32"/>
        </w:rPr>
        <w:t>探索自身融合发展模式。做好旺苍县融媒体中心网信工作职能，做到立足服务本地</w:t>
      </w:r>
      <w:r>
        <w:rPr>
          <w:rFonts w:hint="eastAsia" w:eastAsia="仿宋_GB2312" w:cs="仿宋_GB2312"/>
          <w:smallCaps w:val="0"/>
          <w:sz w:val="32"/>
        </w:rPr>
        <w:t>，</w:t>
      </w:r>
      <w:r>
        <w:rPr>
          <w:rFonts w:eastAsia="仿宋_GB2312" w:cs="仿宋_GB2312"/>
          <w:smallCaps w:val="0"/>
          <w:sz w:val="32"/>
        </w:rPr>
        <w:t>逐步建成面向基层的主流舆论阵地、综合服务平台和社会信息枢纽。实施新型主流媒体建设工程</w:t>
      </w:r>
      <w:r>
        <w:rPr>
          <w:rFonts w:hint="eastAsia" w:eastAsia="仿宋_GB2312" w:cs="仿宋_GB2312"/>
          <w:smallCaps w:val="0"/>
          <w:sz w:val="32"/>
        </w:rPr>
        <w:t>，</w:t>
      </w:r>
      <w:r>
        <w:rPr>
          <w:rFonts w:eastAsia="仿宋_GB2312" w:cs="仿宋_GB2312"/>
          <w:smallCaps w:val="0"/>
          <w:sz w:val="32"/>
        </w:rPr>
        <w:t>以互联网思维优化资源配置，加大投入力度</w:t>
      </w:r>
      <w:r>
        <w:rPr>
          <w:rFonts w:hint="eastAsia" w:eastAsia="仿宋_GB2312" w:cs="仿宋_GB2312"/>
          <w:smallCaps w:val="0"/>
          <w:sz w:val="32"/>
        </w:rPr>
        <w:t>，努力建设</w:t>
      </w:r>
      <w:r>
        <w:rPr>
          <w:rFonts w:eastAsia="仿宋_GB2312" w:cs="仿宋_GB2312"/>
          <w:smallCaps w:val="0"/>
          <w:sz w:val="32"/>
        </w:rPr>
        <w:t>主流媒体网络舆论传播高地。</w:t>
      </w:r>
    </w:p>
    <w:p>
      <w:pPr>
        <w:pStyle w:val="29"/>
        <w:widowControl w:val="0"/>
        <w:spacing w:line="540" w:lineRule="exact"/>
        <w:ind w:left="0" w:firstLine="642" w:firstLineChars="200"/>
        <w:jc w:val="both"/>
        <w:rPr>
          <w:rFonts w:eastAsia="仿宋_GB2312" w:cs="仿宋_GB2312"/>
          <w:smallCaps w:val="0"/>
          <w:sz w:val="32"/>
        </w:rPr>
      </w:pPr>
      <w:r>
        <w:rPr>
          <w:rFonts w:ascii="楷体_GB2312" w:hAnsi="Calibri" w:eastAsia="楷体_GB2312"/>
          <w:b/>
          <w:kern w:val="0"/>
          <w:sz w:val="32"/>
          <w:szCs w:val="40"/>
        </w:rPr>
        <w:t>丰富网络文化内容供给。</w:t>
      </w:r>
      <w:r>
        <w:rPr>
          <w:rFonts w:eastAsia="仿宋_GB2312" w:cs="仿宋_GB2312"/>
          <w:smallCaps w:val="0"/>
          <w:sz w:val="32"/>
        </w:rPr>
        <w:t>积极培育健康向上向善的网络文化。充分运用各类网络媒体平台，强化移动端传播</w:t>
      </w:r>
      <w:r>
        <w:rPr>
          <w:rFonts w:hint="eastAsia" w:eastAsia="仿宋_GB2312" w:cs="仿宋_GB2312"/>
          <w:smallCaps w:val="0"/>
          <w:sz w:val="32"/>
        </w:rPr>
        <w:t>，</w:t>
      </w:r>
      <w:r>
        <w:rPr>
          <w:rFonts w:eastAsia="仿宋_GB2312" w:cs="仿宋_GB2312"/>
          <w:smallCaps w:val="0"/>
          <w:sz w:val="32"/>
        </w:rPr>
        <w:t>将社会主义核心价值观、中华优秀传统文化、巴蜀文化、</w:t>
      </w:r>
      <w:r>
        <w:rPr>
          <w:rFonts w:hint="eastAsia" w:eastAsia="仿宋_GB2312" w:cs="仿宋_GB2312"/>
          <w:smallCaps w:val="0"/>
          <w:sz w:val="32"/>
        </w:rPr>
        <w:t>旺苍</w:t>
      </w:r>
      <w:r>
        <w:rPr>
          <w:rFonts w:eastAsia="仿宋_GB2312" w:cs="仿宋_GB2312"/>
          <w:smallCaps w:val="0"/>
          <w:sz w:val="32"/>
        </w:rPr>
        <w:t>文化等根植到网络产品、业态和服务中，铸牢中华民族共同体意识。加强网络文艺精品创作和传播</w:t>
      </w:r>
      <w:r>
        <w:rPr>
          <w:rFonts w:hint="eastAsia" w:eastAsia="仿宋_GB2312" w:cs="仿宋_GB2312"/>
          <w:smallCaps w:val="0"/>
          <w:sz w:val="32"/>
        </w:rPr>
        <w:t>，</w:t>
      </w:r>
      <w:r>
        <w:rPr>
          <w:rFonts w:eastAsia="仿宋_GB2312" w:cs="仿宋_GB2312"/>
          <w:smallCaps w:val="0"/>
          <w:sz w:val="32"/>
        </w:rPr>
        <w:t>推动传统文艺和网络文艺创新融合</w:t>
      </w:r>
      <w:r>
        <w:rPr>
          <w:rFonts w:hint="eastAsia" w:eastAsia="仿宋_GB2312" w:cs="仿宋_GB2312"/>
          <w:smallCaps w:val="0"/>
          <w:sz w:val="32"/>
        </w:rPr>
        <w:t>。</w:t>
      </w:r>
      <w:r>
        <w:rPr>
          <w:rFonts w:eastAsia="仿宋_GB2312" w:cs="仿宋_GB2312"/>
          <w:smallCaps w:val="0"/>
          <w:sz w:val="32"/>
        </w:rPr>
        <w:t>推动现有新闻、出版、广电、文旅、文艺等领域有关奖项向网络领域</w:t>
      </w:r>
      <w:r>
        <w:rPr>
          <w:rFonts w:hint="eastAsia" w:eastAsia="仿宋_GB2312" w:cs="仿宋_GB2312"/>
          <w:smallCaps w:val="0"/>
          <w:sz w:val="32"/>
        </w:rPr>
        <w:t>延伸</w:t>
      </w:r>
      <w:r>
        <w:rPr>
          <w:rFonts w:eastAsia="仿宋_GB2312" w:cs="仿宋_GB2312"/>
          <w:smallCaps w:val="0"/>
          <w:sz w:val="32"/>
        </w:rPr>
        <w:t>，构建覆盖网络文化产品创作生产、传播、衍生、评价等的全链条管理机制。提升网络公共文化服务水平，以数字化推动公共文化设施提档升级。</w:t>
      </w:r>
    </w:p>
    <w:p>
      <w:pPr>
        <w:pStyle w:val="30"/>
        <w:adjustRightInd w:val="0"/>
        <w:snapToGrid w:val="0"/>
        <w:spacing w:line="540" w:lineRule="exact"/>
        <w:ind w:firstLine="640"/>
        <w:outlineLvl w:val="1"/>
        <w:rPr>
          <w:rFonts w:ascii="楷体_GB2312" w:eastAsia="楷体_GB2312" w:cs="Times New Roman"/>
        </w:rPr>
      </w:pPr>
      <w:bookmarkStart w:id="72" w:name="_Toc99320435"/>
      <w:r>
        <w:rPr>
          <w:rFonts w:ascii="楷体_GB2312" w:eastAsia="楷体_GB2312" w:cs="Times New Roman"/>
        </w:rPr>
        <w:t>（</w:t>
      </w:r>
      <w:r>
        <w:rPr>
          <w:rFonts w:hint="eastAsia" w:ascii="楷体_GB2312" w:eastAsia="楷体_GB2312" w:cs="Times New Roman"/>
        </w:rPr>
        <w:t>四</w:t>
      </w:r>
      <w:r>
        <w:rPr>
          <w:rFonts w:ascii="楷体_GB2312" w:eastAsia="楷体_GB2312" w:cs="Times New Roman"/>
        </w:rPr>
        <w:t>）加强网络安全应急处置</w:t>
      </w:r>
      <w:bookmarkEnd w:id="71"/>
      <w:bookmarkEnd w:id="72"/>
    </w:p>
    <w:p>
      <w:pPr>
        <w:spacing w:line="540" w:lineRule="exact"/>
        <w:ind w:firstLine="642" w:firstLineChars="200"/>
        <w:rPr>
          <w:rFonts w:ascii="仿宋_GB2312" w:eastAsia="仿宋_GB2312"/>
          <w:sz w:val="32"/>
          <w:szCs w:val="32"/>
        </w:rPr>
      </w:pPr>
      <w:r>
        <w:rPr>
          <w:rFonts w:hint="eastAsia" w:ascii="楷体_GB2312" w:eastAsia="楷体_GB2312" w:cs="Calibri"/>
          <w:b/>
          <w:smallCaps/>
          <w:kern w:val="0"/>
          <w:sz w:val="32"/>
          <w:szCs w:val="40"/>
        </w:rPr>
        <w:t>健全网络</w:t>
      </w:r>
      <w:r>
        <w:rPr>
          <w:rFonts w:ascii="楷体_GB2312" w:eastAsia="楷体_GB2312" w:cs="Calibri"/>
          <w:b/>
          <w:smallCaps/>
          <w:kern w:val="0"/>
          <w:sz w:val="32"/>
          <w:szCs w:val="40"/>
        </w:rPr>
        <w:t>安全</w:t>
      </w:r>
      <w:r>
        <w:rPr>
          <w:rFonts w:hint="eastAsia" w:ascii="楷体_GB2312" w:eastAsia="楷体_GB2312" w:cs="Calibri"/>
          <w:b/>
          <w:smallCaps/>
          <w:kern w:val="0"/>
          <w:sz w:val="32"/>
          <w:szCs w:val="40"/>
        </w:rPr>
        <w:t>应急处置体系。</w:t>
      </w:r>
      <w:r>
        <w:rPr>
          <w:rFonts w:hint="eastAsia" w:ascii="仿宋_GB2312" w:eastAsia="仿宋_GB2312"/>
          <w:sz w:val="32"/>
          <w:szCs w:val="32"/>
        </w:rPr>
        <w:t>落实网络</w:t>
      </w:r>
      <w:r>
        <w:rPr>
          <w:rFonts w:ascii="仿宋_GB2312" w:eastAsia="仿宋_GB2312"/>
          <w:sz w:val="32"/>
          <w:szCs w:val="32"/>
        </w:rPr>
        <w:t>安全</w:t>
      </w:r>
      <w:r>
        <w:rPr>
          <w:rFonts w:hint="eastAsia" w:ascii="仿宋_GB2312" w:eastAsia="仿宋_GB2312"/>
          <w:sz w:val="32"/>
          <w:szCs w:val="32"/>
        </w:rPr>
        <w:t>应急指挥工作机制，推进</w:t>
      </w:r>
      <w:r>
        <w:rPr>
          <w:rFonts w:ascii="仿宋_GB2312" w:eastAsia="仿宋_GB2312"/>
          <w:sz w:val="32"/>
          <w:szCs w:val="32"/>
        </w:rPr>
        <w:t>网络安全</w:t>
      </w:r>
      <w:r>
        <w:rPr>
          <w:rFonts w:hint="eastAsia" w:ascii="仿宋_GB2312" w:eastAsia="仿宋_GB2312"/>
          <w:sz w:val="32"/>
          <w:szCs w:val="32"/>
        </w:rPr>
        <w:t>应急指挥平台规范化建设。对网上重大舆情，建立宣传办、网信</w:t>
      </w:r>
      <w:r>
        <w:rPr>
          <w:rFonts w:ascii="仿宋_GB2312" w:eastAsia="仿宋_GB2312"/>
          <w:sz w:val="32"/>
          <w:szCs w:val="32"/>
        </w:rPr>
        <w:t>办</w:t>
      </w:r>
      <w:r>
        <w:rPr>
          <w:rFonts w:hint="eastAsia" w:ascii="仿宋_GB2312" w:eastAsia="仿宋_GB2312"/>
          <w:sz w:val="32"/>
          <w:szCs w:val="32"/>
        </w:rPr>
        <w:t>、涉事地方和单位线上线下一体化快速应对处置机制，打造专业化网络舆情应急队伍。</w:t>
      </w:r>
    </w:p>
    <w:p>
      <w:pPr>
        <w:spacing w:line="540" w:lineRule="exact"/>
        <w:ind w:firstLine="642" w:firstLineChars="200"/>
        <w:rPr>
          <w:rFonts w:ascii="仿宋_GB2312" w:eastAsia="仿宋_GB2312"/>
          <w:sz w:val="32"/>
          <w:szCs w:val="32"/>
        </w:rPr>
      </w:pPr>
      <w:r>
        <w:rPr>
          <w:rFonts w:hint="eastAsia" w:ascii="楷体_GB2312" w:eastAsia="楷体_GB2312" w:cs="Calibri"/>
          <w:b/>
          <w:smallCaps/>
          <w:kern w:val="0"/>
          <w:sz w:val="32"/>
          <w:szCs w:val="40"/>
        </w:rPr>
        <w:t>完善网络</w:t>
      </w:r>
      <w:r>
        <w:rPr>
          <w:rFonts w:ascii="楷体_GB2312" w:eastAsia="楷体_GB2312" w:cs="Calibri"/>
          <w:b/>
          <w:smallCaps/>
          <w:kern w:val="0"/>
          <w:sz w:val="32"/>
          <w:szCs w:val="40"/>
        </w:rPr>
        <w:t>信息安全</w:t>
      </w:r>
      <w:r>
        <w:rPr>
          <w:rFonts w:hint="eastAsia" w:ascii="楷体_GB2312" w:eastAsia="楷体_GB2312" w:cs="Calibri"/>
          <w:b/>
          <w:smallCaps/>
          <w:kern w:val="0"/>
          <w:sz w:val="32"/>
          <w:szCs w:val="40"/>
        </w:rPr>
        <w:t>联动协调机制。</w:t>
      </w:r>
      <w:r>
        <w:rPr>
          <w:rFonts w:hint="eastAsia" w:ascii="仿宋_GB2312" w:eastAsia="仿宋_GB2312"/>
          <w:sz w:val="32"/>
          <w:szCs w:val="32"/>
        </w:rPr>
        <w:t>落实重大政策、重大项目、突发事件等网络</w:t>
      </w:r>
      <w:r>
        <w:rPr>
          <w:rFonts w:ascii="仿宋_GB2312" w:eastAsia="仿宋_GB2312"/>
          <w:sz w:val="32"/>
          <w:szCs w:val="32"/>
        </w:rPr>
        <w:t>安全</w:t>
      </w:r>
      <w:r>
        <w:rPr>
          <w:rFonts w:hint="eastAsia" w:ascii="仿宋_GB2312" w:eastAsia="仿宋_GB2312"/>
          <w:sz w:val="32"/>
          <w:szCs w:val="32"/>
        </w:rPr>
        <w:t>风险评估机制，完善涉军涉干涉腐涉灾网络舆情联动处置机制。加强对非国有资本进入新媒体业务的监管。防范资本控制舆情风险，规范互联网企业重要涉外活动，有效防范境外势力向新媒体领域渗透。</w:t>
      </w:r>
    </w:p>
    <w:p>
      <w:pPr>
        <w:spacing w:line="540" w:lineRule="exact"/>
        <w:ind w:firstLine="642" w:firstLineChars="200"/>
        <w:jc w:val="left"/>
        <w:rPr>
          <w:rFonts w:ascii="仿宋_GB2312" w:eastAsia="仿宋_GB2312"/>
          <w:sz w:val="32"/>
          <w:szCs w:val="32"/>
        </w:rPr>
      </w:pPr>
      <w:r>
        <w:rPr>
          <w:rFonts w:hint="eastAsia" w:ascii="楷体_GB2312" w:eastAsia="楷体_GB2312" w:cs="Calibri"/>
          <w:b/>
          <w:smallCaps/>
          <w:kern w:val="0"/>
          <w:sz w:val="32"/>
          <w:szCs w:val="40"/>
        </w:rPr>
        <w:t>坚决落实网络</w:t>
      </w:r>
      <w:r>
        <w:rPr>
          <w:rFonts w:ascii="楷体_GB2312" w:eastAsia="楷体_GB2312" w:cs="Calibri"/>
          <w:b/>
          <w:smallCaps/>
          <w:kern w:val="0"/>
          <w:sz w:val="32"/>
          <w:szCs w:val="40"/>
        </w:rPr>
        <w:t>安全</w:t>
      </w:r>
      <w:r>
        <w:rPr>
          <w:rFonts w:hint="eastAsia" w:ascii="楷体_GB2312" w:eastAsia="楷体_GB2312" w:cs="Calibri"/>
          <w:b/>
          <w:smallCaps/>
          <w:kern w:val="0"/>
          <w:sz w:val="32"/>
          <w:szCs w:val="40"/>
        </w:rPr>
        <w:t>主体责任。</w:t>
      </w:r>
      <w:r>
        <w:rPr>
          <w:rFonts w:hint="eastAsia" w:ascii="仿宋_GB2312" w:eastAsia="仿宋_GB2312"/>
          <w:sz w:val="32"/>
          <w:szCs w:val="32"/>
        </w:rPr>
        <w:t>落实涉事地方和单位主体责任，坚持以疏为主、疏堵结合，线上线下联动，稳妥调控管控经济、民生、教育、卫生、统战、民族、宗教、侨务、自然灾害、生态环境等领域网上</w:t>
      </w:r>
      <w:r>
        <w:rPr>
          <w:rFonts w:ascii="仿宋_GB2312" w:eastAsia="仿宋_GB2312"/>
          <w:sz w:val="32"/>
          <w:szCs w:val="32"/>
        </w:rPr>
        <w:t>信息内容</w:t>
      </w:r>
      <w:r>
        <w:rPr>
          <w:rFonts w:hint="eastAsia" w:ascii="仿宋_GB2312" w:eastAsia="仿宋_GB2312"/>
          <w:sz w:val="32"/>
          <w:szCs w:val="32"/>
        </w:rPr>
        <w:t>。落实重大敏感事件依法处置、舆论引导和社会面管控“三同步”机制。</w:t>
      </w:r>
      <w:bookmarkStart w:id="73" w:name="_Toc18500_WPSOffice_Level2"/>
      <w:bookmarkStart w:id="74" w:name="_Toc8688_WPSOffice_Level2"/>
    </w:p>
    <w:p>
      <w:pPr>
        <w:adjustRightInd w:val="0"/>
        <w:snapToGrid w:val="0"/>
        <w:spacing w:line="576" w:lineRule="exact"/>
        <w:jc w:val="center"/>
        <w:rPr>
          <w:rFonts w:ascii="仿宋_GB2312" w:eastAsia="仿宋_GB2312" w:cs="Calibri"/>
          <w:b/>
          <w:bCs/>
          <w:smallCaps/>
          <w:kern w:val="0"/>
          <w:sz w:val="28"/>
          <w:szCs w:val="36"/>
        </w:rPr>
      </w:pPr>
      <w:r>
        <w:rPr>
          <w:rFonts w:ascii="仿宋_GB2312" w:eastAsia="仿宋_GB2312" w:cs="Calibri"/>
          <w:b/>
          <w:bCs/>
          <w:smallCaps/>
          <w:kern w:val="0"/>
          <w:sz w:val="28"/>
          <w:szCs w:val="36"/>
        </w:rPr>
        <w:t>专栏4 网络安全保障工程</w:t>
      </w:r>
      <w:bookmarkEnd w:id="73"/>
      <w:bookmarkEnd w:id="74"/>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67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ind w:firstLine="562" w:firstLineChars="200"/>
              <w:rPr>
                <w:rFonts w:ascii="仿宋_GB2312" w:eastAsia="仿宋_GB2312" w:cs="Calibri"/>
                <w:smallCaps/>
                <w:kern w:val="0"/>
                <w:sz w:val="28"/>
                <w:szCs w:val="36"/>
              </w:rPr>
            </w:pPr>
            <w:r>
              <w:rPr>
                <w:rFonts w:ascii="Times New Roman" w:hAnsi="Times New Roman" w:eastAsia="楷体" w:cs="Times New Roman"/>
                <w:b/>
                <w:bCs/>
                <w:kern w:val="0"/>
                <w:sz w:val="28"/>
                <w:szCs w:val="28"/>
              </w:rPr>
              <w:t>建设网络安全设施。</w:t>
            </w:r>
            <w:r>
              <w:rPr>
                <w:rFonts w:ascii="仿宋_GB2312" w:eastAsia="仿宋_GB2312" w:cs="Calibri"/>
                <w:smallCaps/>
                <w:kern w:val="0"/>
                <w:sz w:val="28"/>
                <w:szCs w:val="36"/>
              </w:rPr>
              <w:t>建设城市级信息安全公共服务平台，构建分布式全网AI架构，并配合边缘+本地+云，应对未来的网络安全威胁，结合AI技术自动生成威胁情报，提升系统自适应防护能力。通过建设配套的自适应体系架构和运维机制，为安全运营提供可靠的信息数据支撑，快速发现、分析和解决安全问题，实现安全闭环管理。</w:t>
            </w:r>
          </w:p>
          <w:p>
            <w:pPr>
              <w:pStyle w:val="31"/>
              <w:widowControl/>
              <w:adjustRightInd w:val="0"/>
              <w:snapToGrid w:val="0"/>
              <w:spacing w:line="360" w:lineRule="exact"/>
              <w:ind w:firstLine="562"/>
              <w:rPr>
                <w:rFonts w:ascii="Times New Roman" w:hAnsi="Times New Roman" w:eastAsia="仿宋_GB2312" w:cs="Times New Roman"/>
                <w:kern w:val="0"/>
                <w:sz w:val="28"/>
                <w:szCs w:val="28"/>
              </w:rPr>
            </w:pPr>
            <w:r>
              <w:rPr>
                <w:rFonts w:ascii="Times New Roman" w:hAnsi="Times New Roman" w:eastAsia="楷体" w:cs="Times New Roman"/>
                <w:b/>
                <w:bCs/>
                <w:kern w:val="0"/>
                <w:sz w:val="28"/>
                <w:szCs w:val="28"/>
              </w:rPr>
              <w:t>强化标准引领。</w:t>
            </w:r>
            <w:r>
              <w:rPr>
                <w:rFonts w:hint="eastAsia" w:ascii="仿宋_GB2312" w:eastAsia="仿宋_GB2312" w:cs="Calibri"/>
                <w:smallCaps/>
                <w:kern w:val="0"/>
                <w:sz w:val="28"/>
                <w:szCs w:val="36"/>
              </w:rPr>
              <w:t>依照</w:t>
            </w:r>
            <w:r>
              <w:rPr>
                <w:rFonts w:ascii="仿宋_GB2312" w:eastAsia="仿宋_GB2312" w:cs="Calibri"/>
                <w:smallCaps/>
                <w:kern w:val="0"/>
                <w:sz w:val="28"/>
                <w:szCs w:val="36"/>
              </w:rPr>
              <w:t>广元市</w:t>
            </w:r>
            <w:r>
              <w:rPr>
                <w:rFonts w:hint="eastAsia" w:ascii="仿宋_GB2312" w:hAnsi="仿宋_GB2312" w:eastAsia="仿宋_GB2312" w:cs="仿宋_GB2312"/>
                <w:smallCaps/>
                <w:kern w:val="0"/>
                <w:sz w:val="28"/>
                <w:szCs w:val="36"/>
              </w:rPr>
              <w:t>“信息安全监管标准”“关键基础设施的信息安全保障工作”的技术要求和</w:t>
            </w:r>
            <w:r>
              <w:rPr>
                <w:rFonts w:ascii="仿宋_GB2312" w:eastAsia="仿宋_GB2312" w:cs="Calibri"/>
                <w:smallCaps/>
                <w:kern w:val="0"/>
                <w:sz w:val="28"/>
                <w:szCs w:val="36"/>
              </w:rPr>
              <w:t>规范，推进相关领域安全保障工作。严格落实信息安全保障行业规范，围绕省、市数字经济发展规划，</w:t>
            </w:r>
            <w:r>
              <w:rPr>
                <w:rFonts w:hint="eastAsia" w:ascii="仿宋_GB2312" w:eastAsia="仿宋_GB2312" w:cs="Calibri"/>
                <w:smallCaps/>
                <w:kern w:val="0"/>
                <w:sz w:val="28"/>
                <w:szCs w:val="36"/>
              </w:rPr>
              <w:t>积极</w:t>
            </w:r>
            <w:r>
              <w:rPr>
                <w:rFonts w:ascii="仿宋_GB2312" w:eastAsia="仿宋_GB2312" w:cs="Calibri"/>
                <w:smallCaps/>
                <w:kern w:val="0"/>
                <w:sz w:val="28"/>
                <w:szCs w:val="36"/>
              </w:rPr>
              <w:t>参与数字安全、个人信息安全保护及互联网+安全、工业互联网+安全、智能+安全、5G+安全等数字经济融合应用技术的标准研究。结合</w:t>
            </w:r>
            <w:r>
              <w:rPr>
                <w:rFonts w:hint="eastAsia" w:ascii="仿宋_GB2312" w:eastAsia="仿宋_GB2312" w:cs="Calibri"/>
                <w:smallCaps/>
                <w:kern w:val="0"/>
                <w:sz w:val="28"/>
                <w:szCs w:val="36"/>
              </w:rPr>
              <w:t>旺苍县</w:t>
            </w:r>
            <w:r>
              <w:rPr>
                <w:rFonts w:ascii="仿宋_GB2312" w:eastAsia="仿宋_GB2312" w:cs="Calibri"/>
                <w:smallCaps/>
                <w:kern w:val="0"/>
                <w:sz w:val="28"/>
                <w:szCs w:val="36"/>
              </w:rPr>
              <w:t>数字经济发展需要，引导和支持数字经济安全基础共性标准、关键技术标准的研制及推广。</w:t>
            </w:r>
          </w:p>
          <w:p>
            <w:pPr>
              <w:pStyle w:val="31"/>
              <w:widowControl/>
              <w:adjustRightInd w:val="0"/>
              <w:snapToGrid w:val="0"/>
              <w:spacing w:line="360" w:lineRule="exact"/>
              <w:ind w:firstLine="562"/>
              <w:rPr>
                <w:rFonts w:ascii="Times New Roman" w:hAnsi="Times New Roman" w:eastAsia="仿宋_GB2312" w:cs="Times New Roman"/>
                <w:kern w:val="0"/>
                <w:sz w:val="28"/>
                <w:szCs w:val="28"/>
              </w:rPr>
            </w:pPr>
            <w:r>
              <w:rPr>
                <w:rFonts w:ascii="Times New Roman" w:hAnsi="Times New Roman" w:eastAsia="楷体" w:cs="Times New Roman"/>
                <w:b/>
                <w:bCs/>
                <w:kern w:val="0"/>
                <w:sz w:val="28"/>
                <w:szCs w:val="28"/>
              </w:rPr>
              <w:t>提供信息安全服务。</w:t>
            </w:r>
            <w:r>
              <w:rPr>
                <w:rFonts w:ascii="仿宋_GB2312" w:eastAsia="仿宋_GB2312" w:cs="Calibri"/>
                <w:smallCaps/>
                <w:kern w:val="0"/>
                <w:sz w:val="28"/>
                <w:szCs w:val="36"/>
              </w:rPr>
              <w:t>大力支持各行业购买相关信息安全运营服务，提升自身业务系统安全性。</w:t>
            </w:r>
          </w:p>
        </w:tc>
      </w:tr>
    </w:tbl>
    <w:p>
      <w:pPr>
        <w:pStyle w:val="30"/>
        <w:adjustRightInd w:val="0"/>
        <w:snapToGrid w:val="0"/>
        <w:spacing w:line="550" w:lineRule="exact"/>
        <w:ind w:firstLine="640"/>
        <w:outlineLvl w:val="0"/>
        <w:rPr>
          <w:rFonts w:eastAsia="黑体" w:cs="Times New Roman"/>
        </w:rPr>
      </w:pPr>
      <w:bookmarkStart w:id="75" w:name="_Toc84612417"/>
      <w:bookmarkStart w:id="76" w:name="_Toc99320436"/>
      <w:r>
        <w:rPr>
          <w:rFonts w:hint="eastAsia" w:eastAsia="黑体" w:cs="Times New Roman"/>
        </w:rPr>
        <w:t>七</w:t>
      </w:r>
      <w:r>
        <w:rPr>
          <w:rFonts w:eastAsia="黑体" w:cs="Times New Roman"/>
        </w:rPr>
        <w:t>、保障措施</w:t>
      </w:r>
      <w:bookmarkEnd w:id="75"/>
      <w:bookmarkEnd w:id="76"/>
    </w:p>
    <w:p>
      <w:pPr>
        <w:pStyle w:val="30"/>
        <w:adjustRightInd w:val="0"/>
        <w:snapToGrid w:val="0"/>
        <w:spacing w:line="550" w:lineRule="exact"/>
        <w:ind w:firstLine="640"/>
        <w:outlineLvl w:val="1"/>
        <w:rPr>
          <w:rFonts w:ascii="楷体_GB2312" w:eastAsia="楷体_GB2312" w:cs="Times New Roman"/>
        </w:rPr>
      </w:pPr>
      <w:bookmarkStart w:id="77" w:name="_Toc99320437"/>
      <w:bookmarkStart w:id="78" w:name="_Toc84612418"/>
      <w:r>
        <w:rPr>
          <w:rFonts w:hint="eastAsia" w:ascii="楷体_GB2312" w:eastAsia="楷体_GB2312" w:cs="Times New Roman"/>
        </w:rPr>
        <w:t>（一）完善保障机制</w:t>
      </w:r>
      <w:bookmarkEnd w:id="77"/>
    </w:p>
    <w:p>
      <w:pPr>
        <w:autoSpaceDE w:val="0"/>
        <w:spacing w:line="576" w:lineRule="exact"/>
        <w:ind w:firstLine="640" w:firstLineChars="200"/>
        <w:rPr>
          <w:rFonts w:ascii="楷体_GB2312" w:eastAsia="楷体_GB2312" w:cs="楷体_GB2312"/>
          <w:sz w:val="32"/>
          <w:szCs w:val="32"/>
        </w:rPr>
      </w:pPr>
      <w:r>
        <w:rPr>
          <w:rFonts w:hint="eastAsia" w:ascii="仿宋_GB2312" w:hAnsi="Times New Roman" w:eastAsia="仿宋_GB2312" w:cs="仿宋_GB2312"/>
          <w:kern w:val="0"/>
          <w:sz w:val="32"/>
          <w:szCs w:val="32"/>
          <w:lang w:bidi="ar"/>
        </w:rPr>
        <w:t>组建旺苍县推进数字经济发展领导小组，加强与市推进数字经济发展领导小组工作对接。鼓励企业、高校、科研机构开展数字经济理论政策的战略性、前瞻性研究和数字经济核心技术的创新性、应用性研究，为数字经济发展提供支撑保障。建立数字经济目标考核机制，将数字经济发展纳入经济社会发展考核体系，切实推进全县数字经济快速发展。</w:t>
      </w:r>
    </w:p>
    <w:p>
      <w:pPr>
        <w:pStyle w:val="30"/>
        <w:adjustRightInd w:val="0"/>
        <w:snapToGrid w:val="0"/>
        <w:spacing w:line="550" w:lineRule="exact"/>
        <w:ind w:firstLine="640"/>
        <w:outlineLvl w:val="1"/>
        <w:rPr>
          <w:rFonts w:ascii="楷体_GB2312" w:eastAsia="楷体_GB2312" w:cs="Times New Roman"/>
        </w:rPr>
      </w:pPr>
      <w:bookmarkStart w:id="79" w:name="_Toc99320438"/>
      <w:r>
        <w:rPr>
          <w:rFonts w:hint="eastAsia" w:ascii="楷体_GB2312" w:eastAsia="楷体_GB2312" w:cs="Times New Roman"/>
        </w:rPr>
        <w:t>（二）加强政策扶持</w:t>
      </w:r>
      <w:bookmarkEnd w:id="79"/>
    </w:p>
    <w:p>
      <w:pPr>
        <w:autoSpaceDE w:val="0"/>
        <w:spacing w:line="576" w:lineRule="exact"/>
        <w:ind w:firstLine="640" w:firstLineChars="200"/>
        <w:rPr>
          <w:rFonts w:ascii="仿宋_GB2312" w:eastAsia="仿宋_GB2312" w:cs="仿宋_GB2312"/>
          <w:sz w:val="32"/>
          <w:szCs w:val="32"/>
        </w:rPr>
      </w:pPr>
      <w:r>
        <w:rPr>
          <w:rFonts w:ascii="Times New Roman" w:hAnsi="Times New Roman" w:eastAsia="仿宋_GB2312" w:cs="Times New Roman"/>
          <w:sz w:val="32"/>
          <w:szCs w:val="32"/>
        </w:rPr>
        <w:t>贯彻落实国家、省、市相关产业政策，加强旺苍县数字经济顶层设计和相关专项规划与国家、省、市相关产业政策的有效衔接、同步推进。积极落实数字经济重大项目降低电力、土地使用成本等相关政策，制定支持数字经济发展的重点平台、重大基地等项目建设优惠政策。</w:t>
      </w:r>
      <w:r>
        <w:rPr>
          <w:rFonts w:hint="eastAsia" w:ascii="仿宋_GB2312" w:hAnsi="Times New Roman" w:eastAsia="仿宋_GB2312" w:cs="仿宋_GB2312"/>
          <w:sz w:val="32"/>
          <w:szCs w:val="32"/>
          <w:lang w:bidi="ar"/>
        </w:rPr>
        <w:t>加大对数字经济领域产业平台、项目、企业、人才的扶持力度，搭建政府与企业间、县场与企业间的沟通“桥梁”，满足数字经济企业多层次发展需求，为数字经济发展提供有力支撑。</w:t>
      </w:r>
    </w:p>
    <w:p>
      <w:pPr>
        <w:pStyle w:val="30"/>
        <w:adjustRightInd w:val="0"/>
        <w:snapToGrid w:val="0"/>
        <w:spacing w:line="550" w:lineRule="exact"/>
        <w:ind w:firstLine="640"/>
        <w:outlineLvl w:val="1"/>
        <w:rPr>
          <w:rFonts w:ascii="楷体_GB2312" w:eastAsia="楷体_GB2312" w:cs="Times New Roman"/>
        </w:rPr>
      </w:pPr>
      <w:bookmarkStart w:id="80" w:name="_Toc99320439"/>
      <w:r>
        <w:rPr>
          <w:rFonts w:hint="eastAsia" w:ascii="楷体_GB2312" w:eastAsia="楷体_GB2312" w:cs="Times New Roman"/>
        </w:rPr>
        <w:t>（三）突出创新提升</w:t>
      </w:r>
      <w:bookmarkEnd w:id="80"/>
    </w:p>
    <w:p>
      <w:pPr>
        <w:autoSpaceDE w:val="0"/>
        <w:spacing w:line="576" w:lineRule="exact"/>
        <w:ind w:firstLine="640" w:firstLineChars="200"/>
        <w:rPr>
          <w:rFonts w:ascii="楷体_GB2312" w:eastAsia="楷体_GB2312" w:cs="楷体_GB2312"/>
          <w:sz w:val="32"/>
          <w:szCs w:val="32"/>
        </w:rPr>
      </w:pPr>
      <w:r>
        <w:rPr>
          <w:rFonts w:hint="eastAsia" w:ascii="仿宋_GB2312" w:hAnsi="Times New Roman" w:eastAsia="仿宋_GB2312" w:cs="仿宋_GB2312"/>
          <w:sz w:val="32"/>
          <w:szCs w:val="32"/>
          <w:lang w:bidi="ar"/>
        </w:rPr>
        <w:t>全力支持创新平台建设，促进更多的创新主体和创新项目集聚。发挥优势企业和重大项目的支撑作用，提升数字产业整体实力和核心竞争力。积极培育新业态新模式，发展数字生活服务，推进网上超县、网上餐厅等数字商贸创新发展，鼓励智能营销新业态。</w:t>
      </w:r>
    </w:p>
    <w:p>
      <w:pPr>
        <w:pStyle w:val="30"/>
        <w:adjustRightInd w:val="0"/>
        <w:snapToGrid w:val="0"/>
        <w:spacing w:line="550" w:lineRule="exact"/>
        <w:ind w:firstLine="640"/>
        <w:outlineLvl w:val="1"/>
        <w:rPr>
          <w:rFonts w:ascii="楷体_GB2312" w:eastAsia="楷体_GB2312" w:cs="Times New Roman"/>
        </w:rPr>
      </w:pPr>
      <w:bookmarkStart w:id="81" w:name="_Toc99320440"/>
      <w:r>
        <w:rPr>
          <w:rFonts w:hint="eastAsia" w:ascii="楷体_GB2312" w:eastAsia="楷体_GB2312" w:cs="Times New Roman"/>
        </w:rPr>
        <w:t>（四）强化人才支撑</w:t>
      </w:r>
      <w:bookmarkEnd w:id="81"/>
    </w:p>
    <w:p>
      <w:pPr>
        <w:autoSpaceDE w:val="0"/>
        <w:spacing w:line="576"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实施应用技能型人才培育计划、高端综合型人才发展计划，依托校企合作，引进省内外数字技术优秀人才，积极打造高端人才聚集地。</w:t>
      </w:r>
      <w:r>
        <w:rPr>
          <w:rFonts w:ascii="Times New Roman" w:hAnsi="Times New Roman" w:eastAsia="仿宋_GB2312" w:cs="Times New Roman"/>
          <w:sz w:val="32"/>
          <w:szCs w:val="32"/>
        </w:rPr>
        <w:t>大力实施人才回引工程，鼓励本地籍科技、管理人才回乡创业。</w:t>
      </w:r>
      <w:r>
        <w:rPr>
          <w:rFonts w:hint="eastAsia" w:ascii="仿宋_GB2312" w:hAnsi="Times New Roman" w:eastAsia="仿宋_GB2312" w:cs="仿宋_GB2312"/>
          <w:sz w:val="32"/>
          <w:szCs w:val="32"/>
          <w:lang w:bidi="ar"/>
        </w:rPr>
        <w:t>注重提升企业家数字素养，增强企业数字化转型的内生动力。</w:t>
      </w:r>
    </w:p>
    <w:p>
      <w:pPr>
        <w:pStyle w:val="30"/>
        <w:adjustRightInd w:val="0"/>
        <w:snapToGrid w:val="0"/>
        <w:spacing w:line="550" w:lineRule="exact"/>
        <w:ind w:firstLine="640"/>
        <w:outlineLvl w:val="1"/>
        <w:rPr>
          <w:rFonts w:ascii="楷体_GB2312" w:eastAsia="楷体_GB2312" w:cs="Times New Roman"/>
        </w:rPr>
      </w:pPr>
      <w:bookmarkStart w:id="82" w:name="_Toc99320441"/>
      <w:r>
        <w:rPr>
          <w:rFonts w:hint="eastAsia" w:ascii="楷体_GB2312" w:eastAsia="楷体_GB2312" w:cs="楷体_GB2312"/>
          <w:szCs w:val="32"/>
          <w:lang w:bidi="ar"/>
        </w:rPr>
        <w:t>（五）做好监测统计</w:t>
      </w:r>
      <w:bookmarkEnd w:id="82"/>
    </w:p>
    <w:p>
      <w:pPr>
        <w:autoSpaceDE w:val="0"/>
        <w:spacing w:line="576"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统计部门要及时制定符合旺苍县数字经济发展监测指标体系，精准做好数字经济统计工作，及时准确反映数字经济发展状况，为研判数字经济发展提供决策服务。</w:t>
      </w:r>
    </w:p>
    <w:bookmarkEnd w:id="78"/>
    <w:p>
      <w:pPr>
        <w:pStyle w:val="2"/>
        <w:ind w:firstLine="320"/>
      </w:pPr>
    </w:p>
    <w:p>
      <w:pPr>
        <w:pStyle w:val="2"/>
        <w:ind w:firstLine="320"/>
        <w:sectPr>
          <w:footerReference r:id="rId6" w:type="default"/>
          <w:pgSz w:w="11906" w:h="16838"/>
          <w:pgMar w:top="1701" w:right="1474" w:bottom="1588" w:left="1588" w:header="851" w:footer="1247" w:gutter="0"/>
          <w:pgNumType w:start="1"/>
          <w:cols w:space="720" w:num="1"/>
          <w:docGrid w:type="lines" w:linePitch="312" w:charSpace="0"/>
        </w:sectPr>
      </w:pPr>
    </w:p>
    <w:p>
      <w:pPr>
        <w:widowControl/>
        <w:ind w:left="-1" w:leftChars="-337" w:hanging="707" w:hangingChars="221"/>
        <w:jc w:val="left"/>
        <w:outlineLvl w:val="0"/>
        <w:rPr>
          <w:rFonts w:ascii="黑体" w:eastAsia="黑体" w:cs="Times New Roman"/>
          <w:bCs/>
          <w:sz w:val="32"/>
          <w:szCs w:val="32"/>
        </w:rPr>
      </w:pPr>
      <w:bookmarkStart w:id="83" w:name="_Toc89010545"/>
      <w:bookmarkStart w:id="84" w:name="_Toc99320442"/>
      <w:bookmarkStart w:id="85" w:name="_Toc86929005"/>
      <w:bookmarkStart w:id="86" w:name="_Toc84612423"/>
      <w:bookmarkStart w:id="87" w:name="_Toc81383551"/>
      <w:r>
        <w:rPr>
          <w:rFonts w:ascii="黑体" w:eastAsia="黑体" w:cs="Times New Roman"/>
          <w:bCs/>
          <w:sz w:val="32"/>
          <w:szCs w:val="32"/>
        </w:rPr>
        <w:t>附件</w:t>
      </w:r>
      <w:bookmarkEnd w:id="83"/>
      <w:bookmarkEnd w:id="84"/>
      <w:bookmarkStart w:id="88" w:name="_Toc4676"/>
      <w:bookmarkStart w:id="89" w:name="_Toc30815"/>
    </w:p>
    <w:p>
      <w:pPr>
        <w:adjustRightInd w:val="0"/>
        <w:snapToGrid w:val="0"/>
        <w:spacing w:before="48" w:beforeLines="20" w:after="24" w:afterLines="10"/>
        <w:jc w:val="center"/>
        <w:outlineLvl w:val="0"/>
        <w:rPr>
          <w:rFonts w:eastAsia="仿宋" w:cs="Times New Roman"/>
        </w:rPr>
      </w:pPr>
      <w:bookmarkStart w:id="90" w:name="_Toc99320443"/>
      <w:bookmarkStart w:id="91" w:name="_Toc89010546"/>
      <w:bookmarkStart w:id="92" w:name="_Toc95817642"/>
      <w:bookmarkStart w:id="93" w:name="_Toc95918348"/>
      <w:r>
        <w:rPr>
          <w:rFonts w:hint="eastAsia" w:ascii="方正小标宋简体" w:eastAsia="方正小标宋简体" w:cs="Times New Roman"/>
          <w:kern w:val="0"/>
          <w:sz w:val="44"/>
          <w:szCs w:val="44"/>
        </w:rPr>
        <w:t>“十四五”专项规划重大事项清单</w:t>
      </w:r>
      <w:bookmarkEnd w:id="85"/>
      <w:bookmarkEnd w:id="88"/>
      <w:bookmarkEnd w:id="89"/>
      <w:bookmarkEnd w:id="90"/>
      <w:bookmarkEnd w:id="91"/>
      <w:bookmarkEnd w:id="92"/>
      <w:bookmarkEnd w:id="93"/>
    </w:p>
    <w:bookmarkEnd w:id="86"/>
    <w:bookmarkEnd w:id="87"/>
    <w:p>
      <w:pPr>
        <w:tabs>
          <w:tab w:val="left" w:pos="1273"/>
        </w:tabs>
        <w:rPr>
          <w:rFonts w:eastAsia="仿宋" w:cs="Times New Roman"/>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276"/>
        <w:gridCol w:w="992"/>
        <w:gridCol w:w="7087"/>
        <w:gridCol w:w="1287"/>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sz w:val="24"/>
              </w:rPr>
            </w:pPr>
            <w:r>
              <w:rPr>
                <w:rFonts w:hint="eastAsia" w:ascii="仿宋" w:hAnsi="仿宋" w:eastAsia="仿宋" w:cs="仿宋_GB2312"/>
                <w:sz w:val="24"/>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_GB2312"/>
                <w:sz w:val="24"/>
              </w:rPr>
            </w:pPr>
            <w:r>
              <w:rPr>
                <w:rFonts w:hint="eastAsia" w:ascii="仿宋" w:hAnsi="仿宋" w:eastAsia="仿宋" w:cs="仿宋_GB2312"/>
                <w:sz w:val="24"/>
              </w:rPr>
              <w:t>项目名称</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_GB2312"/>
                <w:sz w:val="24"/>
              </w:rPr>
            </w:pPr>
            <w:r>
              <w:rPr>
                <w:rFonts w:hint="eastAsia" w:ascii="仿宋" w:hAnsi="仿宋" w:eastAsia="仿宋" w:cs="仿宋_GB2312"/>
                <w:sz w:val="24"/>
              </w:rPr>
              <w:t>领域</w:t>
            </w:r>
          </w:p>
        </w:tc>
        <w:tc>
          <w:tcPr>
            <w:tcW w:w="70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_GB2312"/>
                <w:sz w:val="24"/>
              </w:rPr>
            </w:pPr>
            <w:r>
              <w:rPr>
                <w:rFonts w:hint="eastAsia" w:ascii="仿宋" w:hAnsi="仿宋" w:eastAsia="仿宋" w:cs="仿宋_GB2312"/>
                <w:sz w:val="24"/>
              </w:rPr>
              <w:t>建设内容</w:t>
            </w:r>
          </w:p>
        </w:tc>
        <w:tc>
          <w:tcPr>
            <w:tcW w:w="12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sz w:val="24"/>
              </w:rPr>
            </w:pPr>
            <w:r>
              <w:rPr>
                <w:rFonts w:hint="eastAsia" w:ascii="仿宋" w:hAnsi="仿宋" w:eastAsia="仿宋" w:cs="仿宋_GB2312"/>
                <w:sz w:val="24"/>
              </w:rPr>
              <w:t>总投资</w:t>
            </w:r>
          </w:p>
          <w:p>
            <w:pPr>
              <w:jc w:val="center"/>
              <w:rPr>
                <w:rFonts w:hint="eastAsia" w:ascii="仿宋" w:hAnsi="仿宋" w:eastAsia="仿宋" w:cs="仿宋_GB2312"/>
                <w:sz w:val="24"/>
              </w:rPr>
            </w:pPr>
            <w:r>
              <w:rPr>
                <w:rFonts w:hint="eastAsia" w:ascii="仿宋" w:hAnsi="仿宋" w:eastAsia="仿宋" w:cs="仿宋_GB2312"/>
                <w:sz w:val="24"/>
              </w:rPr>
              <w:t>（亿元）</w:t>
            </w:r>
          </w:p>
        </w:tc>
        <w:tc>
          <w:tcPr>
            <w:tcW w:w="114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_GB2312"/>
                <w:sz w:val="24"/>
                <w:lang w:eastAsia="zh-CN"/>
              </w:rPr>
            </w:pPr>
            <w:r>
              <w:rPr>
                <w:rFonts w:hint="eastAsia" w:ascii="仿宋" w:hAnsi="仿宋" w:eastAsia="仿宋" w:cs="仿宋_GB2312"/>
                <w:sz w:val="24"/>
              </w:rPr>
              <w:t>主体</w:t>
            </w:r>
          </w:p>
          <w:p>
            <w:pPr>
              <w:jc w:val="left"/>
              <w:rPr>
                <w:rFonts w:hint="eastAsia" w:ascii="仿宋" w:hAnsi="仿宋" w:eastAsia="仿宋" w:cs="仿宋_GB2312"/>
                <w:sz w:val="24"/>
              </w:rPr>
            </w:pPr>
            <w:r>
              <w:rPr>
                <w:rFonts w:hint="eastAsia" w:ascii="仿宋" w:hAnsi="仿宋" w:eastAsia="仿宋" w:cs="仿宋_GB2312"/>
                <w:sz w:val="24"/>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_GB2312"/>
                <w:sz w:val="24"/>
              </w:rPr>
            </w:pPr>
            <w:r>
              <w:rPr>
                <w:rFonts w:hint="eastAsia" w:ascii="仿宋" w:hAnsi="仿宋" w:eastAsia="仿宋" w:cs="仿宋_GB2312"/>
                <w:sz w:val="24"/>
              </w:rPr>
              <w:t>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_GB2312"/>
                <w:color w:val="000000"/>
                <w:sz w:val="24"/>
              </w:rPr>
            </w:pPr>
            <w:r>
              <w:rPr>
                <w:rFonts w:hint="eastAsia" w:ascii="仿宋" w:hAnsi="仿宋" w:eastAsia="仿宋" w:cs="仿宋_GB2312"/>
                <w:color w:val="000000"/>
                <w:kern w:val="0"/>
                <w:sz w:val="24"/>
                <w:lang w:bidi="ar"/>
              </w:rPr>
              <w:t>旺苍“5G”信息化建设项目</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_GB2312"/>
                <w:sz w:val="24"/>
              </w:rPr>
            </w:pPr>
            <w:r>
              <w:rPr>
                <w:rFonts w:hint="eastAsia" w:ascii="仿宋" w:hAnsi="仿宋" w:eastAsia="仿宋" w:cs="仿宋_GB2312"/>
                <w:sz w:val="24"/>
              </w:rPr>
              <w:t>5G网络</w:t>
            </w:r>
          </w:p>
        </w:tc>
        <w:tc>
          <w:tcPr>
            <w:tcW w:w="7087"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textAlignment w:val="center"/>
              <w:rPr>
                <w:rFonts w:hint="eastAsia" w:ascii="仿宋" w:hAnsi="仿宋" w:eastAsia="仿宋" w:cs="仿宋_GB2312"/>
                <w:color w:val="000000"/>
                <w:sz w:val="24"/>
              </w:rPr>
            </w:pPr>
            <w:r>
              <w:rPr>
                <w:rFonts w:hint="eastAsia" w:ascii="仿宋" w:hAnsi="仿宋" w:eastAsia="仿宋" w:cs="仿宋_GB2312"/>
                <w:color w:val="000000"/>
                <w:kern w:val="0"/>
                <w:sz w:val="24"/>
                <w:lang w:bidi="ar"/>
              </w:rPr>
              <w:t>在全县完成5G基站设备安装，新建光缆、直流电源系统、核心网系统、承载设备系统、业务网云端应用平台、边缘计算平台的安装及附属工程等项目</w:t>
            </w:r>
          </w:p>
        </w:tc>
        <w:tc>
          <w:tcPr>
            <w:tcW w:w="12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_GB2312"/>
                <w:color w:val="000000"/>
                <w:sz w:val="24"/>
              </w:rPr>
            </w:pPr>
            <w:r>
              <w:rPr>
                <w:rFonts w:hint="eastAsia" w:ascii="仿宋" w:hAnsi="仿宋" w:eastAsia="仿宋" w:cs="仿宋_GB2312"/>
                <w:color w:val="000000"/>
                <w:kern w:val="0"/>
                <w:sz w:val="24"/>
                <w:lang w:bidi="ar"/>
              </w:rPr>
              <w:t>3.2</w:t>
            </w:r>
          </w:p>
        </w:tc>
        <w:tc>
          <w:tcPr>
            <w:tcW w:w="114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_GB2312"/>
                <w:sz w:val="24"/>
              </w:rPr>
            </w:pPr>
            <w:r>
              <w:rPr>
                <w:rFonts w:hint="eastAsia" w:ascii="仿宋" w:hAnsi="仿宋" w:eastAsia="仿宋" w:cs="仿宋_GB2312"/>
                <w:sz w:val="24"/>
              </w:rPr>
              <w:t>信息基础设施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_GB2312"/>
                <w:sz w:val="24"/>
              </w:rPr>
            </w:pPr>
            <w:r>
              <w:rPr>
                <w:rFonts w:hint="eastAsia" w:ascii="仿宋" w:hAnsi="仿宋" w:eastAsia="仿宋" w:cs="仿宋_GB2312"/>
                <w:sz w:val="24"/>
              </w:rPr>
              <w:t>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_GB2312"/>
                <w:color w:val="000000"/>
                <w:sz w:val="24"/>
              </w:rPr>
            </w:pPr>
            <w:r>
              <w:rPr>
                <w:rFonts w:hint="eastAsia" w:ascii="仿宋" w:hAnsi="仿宋" w:eastAsia="仿宋" w:cs="仿宋_GB2312"/>
                <w:color w:val="000000"/>
                <w:kern w:val="0"/>
                <w:sz w:val="24"/>
                <w:lang w:bidi="ar"/>
              </w:rPr>
              <w:t>旺苍县数字水利工程</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_GB2312"/>
                <w:sz w:val="24"/>
              </w:rPr>
            </w:pPr>
            <w:r>
              <w:rPr>
                <w:rFonts w:hint="eastAsia" w:ascii="仿宋" w:hAnsi="仿宋" w:eastAsia="仿宋" w:cs="仿宋_GB2312"/>
                <w:sz w:val="24"/>
              </w:rPr>
              <w:t>智慧能源</w:t>
            </w:r>
          </w:p>
        </w:tc>
        <w:tc>
          <w:tcPr>
            <w:tcW w:w="7087"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textAlignment w:val="center"/>
              <w:rPr>
                <w:rFonts w:hint="eastAsia" w:ascii="仿宋" w:hAnsi="仿宋" w:eastAsia="仿宋" w:cs="仿宋_GB2312"/>
                <w:color w:val="000000"/>
                <w:sz w:val="24"/>
              </w:rPr>
            </w:pPr>
            <w:r>
              <w:rPr>
                <w:rFonts w:hint="eastAsia" w:ascii="仿宋" w:hAnsi="仿宋" w:eastAsia="仿宋" w:cs="仿宋_GB2312"/>
                <w:color w:val="000000"/>
                <w:kern w:val="0"/>
                <w:sz w:val="24"/>
                <w:lang w:bidi="ar"/>
              </w:rPr>
              <w:t>建设一套自动雨量站，一套自动水位站，包括RTU、DTU、气泡水位计、北斗接收机、太阳能供电系统、视频等设备和观测步道、水尺等设施。更换120套预警广播实施设备。改造升级县级会商中心；视频会商系统延伸至23个乡镇、新建视频监控站点、预警广播等设施。加强水利政务、防汛减灾、水资源监控管理、水环境综合治理、水利工程设计和施工、罐区综合管理。</w:t>
            </w:r>
          </w:p>
        </w:tc>
        <w:tc>
          <w:tcPr>
            <w:tcW w:w="12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_GB2312"/>
                <w:color w:val="000000"/>
                <w:sz w:val="24"/>
              </w:rPr>
            </w:pPr>
            <w:r>
              <w:rPr>
                <w:rFonts w:hint="eastAsia" w:ascii="仿宋" w:hAnsi="仿宋" w:eastAsia="仿宋" w:cs="仿宋_GB2312"/>
                <w:color w:val="000000"/>
                <w:kern w:val="0"/>
                <w:sz w:val="24"/>
                <w:lang w:bidi="ar"/>
              </w:rPr>
              <w:t>0.9</w:t>
            </w:r>
          </w:p>
        </w:tc>
        <w:tc>
          <w:tcPr>
            <w:tcW w:w="114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_GB2312"/>
                <w:sz w:val="24"/>
              </w:rPr>
            </w:pPr>
            <w:r>
              <w:rPr>
                <w:rFonts w:hint="eastAsia" w:ascii="仿宋" w:hAnsi="仿宋" w:eastAsia="仿宋" w:cs="仿宋_GB2312"/>
                <w:sz w:val="24"/>
              </w:rPr>
              <w:t>融合基础设施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_GB2312"/>
                <w:sz w:val="24"/>
              </w:rPr>
            </w:pPr>
            <w:r>
              <w:rPr>
                <w:rFonts w:hint="eastAsia" w:ascii="仿宋" w:hAnsi="仿宋" w:eastAsia="仿宋" w:cs="仿宋_GB2312"/>
                <w:sz w:val="24"/>
              </w:rPr>
              <w:t>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_GB2312"/>
                <w:color w:val="000000"/>
                <w:sz w:val="24"/>
              </w:rPr>
            </w:pPr>
            <w:r>
              <w:rPr>
                <w:rFonts w:hint="eastAsia" w:ascii="仿宋" w:hAnsi="仿宋" w:eastAsia="仿宋" w:cs="仿宋_GB2312"/>
                <w:color w:val="000000"/>
                <w:kern w:val="0"/>
                <w:sz w:val="24"/>
                <w:lang w:bidi="ar"/>
              </w:rPr>
              <w:t>旺苍县智慧教育建设项目</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_GB2312"/>
                <w:sz w:val="24"/>
              </w:rPr>
            </w:pPr>
            <w:r>
              <w:rPr>
                <w:rFonts w:hint="eastAsia" w:ascii="仿宋" w:hAnsi="仿宋" w:eastAsia="仿宋" w:cs="仿宋_GB2312"/>
                <w:sz w:val="24"/>
              </w:rPr>
              <w:t>其他融合基础设施</w:t>
            </w:r>
          </w:p>
        </w:tc>
        <w:tc>
          <w:tcPr>
            <w:tcW w:w="7087"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textAlignment w:val="center"/>
              <w:rPr>
                <w:rFonts w:hint="eastAsia" w:ascii="仿宋" w:hAnsi="仿宋" w:eastAsia="仿宋" w:cs="仿宋_GB2312"/>
                <w:color w:val="000000"/>
                <w:sz w:val="24"/>
              </w:rPr>
            </w:pPr>
            <w:r>
              <w:rPr>
                <w:rFonts w:hint="eastAsia" w:ascii="仿宋" w:hAnsi="仿宋" w:eastAsia="仿宋" w:cs="仿宋_GB2312"/>
                <w:color w:val="000000"/>
                <w:kern w:val="0"/>
                <w:sz w:val="24"/>
                <w:lang w:bidi="ar"/>
              </w:rPr>
              <w:t>全县教育5G专网建设、学校智慧校园建设60所（包含智慧安防、智慧管理、体温智慧检测系统、智慧课堂班1000个、班班通设备升级改造1000个、教师备授课硬软件和资源系统、教师教研专业正常系统、三个课堂硬软件及系统、云桌面办公硬软件3800套）、创客空间设备设施60套、虚拟现实数字教室各学科共280间、全县教育大平台大数据中心升级1个。</w:t>
            </w:r>
          </w:p>
        </w:tc>
        <w:tc>
          <w:tcPr>
            <w:tcW w:w="12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_GB2312"/>
                <w:sz w:val="24"/>
              </w:rPr>
            </w:pPr>
            <w:r>
              <w:rPr>
                <w:rFonts w:hint="eastAsia" w:ascii="仿宋" w:hAnsi="仿宋" w:eastAsia="仿宋" w:cs="仿宋_GB2312"/>
                <w:sz w:val="24"/>
              </w:rPr>
              <w:t>4</w:t>
            </w:r>
          </w:p>
        </w:tc>
        <w:tc>
          <w:tcPr>
            <w:tcW w:w="114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_GB2312"/>
                <w:sz w:val="24"/>
              </w:rPr>
            </w:pPr>
            <w:r>
              <w:rPr>
                <w:rFonts w:hint="eastAsia" w:ascii="仿宋" w:hAnsi="仿宋" w:eastAsia="仿宋" w:cs="仿宋_GB2312"/>
                <w:sz w:val="24"/>
              </w:rPr>
              <w:t>融合基础设施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_GB2312"/>
                <w:sz w:val="24"/>
              </w:rPr>
            </w:pPr>
            <w:r>
              <w:rPr>
                <w:rFonts w:hint="eastAsia" w:ascii="仿宋" w:hAnsi="仿宋" w:eastAsia="仿宋" w:cs="仿宋_GB2312"/>
                <w:sz w:val="24"/>
              </w:rPr>
              <w:t>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_GB2312"/>
                <w:color w:val="000000"/>
                <w:sz w:val="24"/>
              </w:rPr>
            </w:pPr>
            <w:r>
              <w:rPr>
                <w:rFonts w:hint="eastAsia" w:ascii="仿宋" w:hAnsi="仿宋" w:eastAsia="仿宋" w:cs="仿宋_GB2312"/>
                <w:color w:val="000000"/>
                <w:kern w:val="0"/>
                <w:sz w:val="24"/>
                <w:lang w:bidi="ar"/>
              </w:rPr>
              <w:t>旺苍县智慧治超监控系统</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_GB2312"/>
                <w:sz w:val="24"/>
              </w:rPr>
            </w:pPr>
            <w:r>
              <w:rPr>
                <w:rFonts w:hint="eastAsia" w:ascii="仿宋" w:hAnsi="仿宋" w:eastAsia="仿宋" w:cs="仿宋_GB2312"/>
                <w:sz w:val="24"/>
              </w:rPr>
              <w:t>智慧物流</w:t>
            </w:r>
          </w:p>
        </w:tc>
        <w:tc>
          <w:tcPr>
            <w:tcW w:w="7087"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textAlignment w:val="center"/>
              <w:rPr>
                <w:rFonts w:hint="eastAsia" w:ascii="仿宋" w:hAnsi="仿宋" w:eastAsia="仿宋" w:cs="仿宋_GB2312"/>
                <w:color w:val="000000"/>
                <w:sz w:val="24"/>
              </w:rPr>
            </w:pPr>
            <w:r>
              <w:rPr>
                <w:rFonts w:hint="eastAsia" w:ascii="仿宋" w:hAnsi="仿宋" w:eastAsia="仿宋" w:cs="仿宋_GB2312"/>
                <w:color w:val="000000"/>
                <w:kern w:val="0"/>
                <w:sz w:val="24"/>
                <w:lang w:bidi="ar"/>
              </w:rPr>
              <w:t>智慧治超监控系统、配套规划的卸货场2550平方米</w:t>
            </w:r>
          </w:p>
        </w:tc>
        <w:tc>
          <w:tcPr>
            <w:tcW w:w="12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_GB2312"/>
                <w:sz w:val="24"/>
              </w:rPr>
            </w:pPr>
            <w:r>
              <w:rPr>
                <w:rFonts w:hint="eastAsia" w:ascii="仿宋" w:hAnsi="仿宋" w:eastAsia="仿宋" w:cs="仿宋_GB2312"/>
                <w:sz w:val="24"/>
              </w:rPr>
              <w:t>0.02</w:t>
            </w:r>
          </w:p>
        </w:tc>
        <w:tc>
          <w:tcPr>
            <w:tcW w:w="114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_GB2312"/>
                <w:sz w:val="24"/>
              </w:rPr>
            </w:pPr>
            <w:r>
              <w:rPr>
                <w:rFonts w:hint="eastAsia" w:ascii="仿宋" w:hAnsi="仿宋" w:eastAsia="仿宋" w:cs="仿宋_GB2312"/>
                <w:sz w:val="24"/>
              </w:rPr>
              <w:t>融合基础设施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_GB2312"/>
                <w:sz w:val="24"/>
              </w:rPr>
            </w:pPr>
            <w:r>
              <w:rPr>
                <w:rFonts w:hint="eastAsia" w:ascii="仿宋" w:hAnsi="仿宋" w:eastAsia="仿宋" w:cs="仿宋_GB2312"/>
                <w:sz w:val="24"/>
              </w:rPr>
              <w:t>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_GB2312"/>
                <w:color w:val="000000"/>
                <w:sz w:val="24"/>
              </w:rPr>
            </w:pPr>
            <w:r>
              <w:rPr>
                <w:rFonts w:hint="eastAsia" w:ascii="仿宋" w:hAnsi="仿宋" w:eastAsia="仿宋" w:cs="仿宋_GB2312"/>
                <w:color w:val="000000"/>
                <w:kern w:val="0"/>
                <w:sz w:val="24"/>
                <w:lang w:bidi="ar"/>
              </w:rPr>
              <w:t>旺苍县智慧城市建设项目</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_GB2312"/>
                <w:sz w:val="24"/>
              </w:rPr>
            </w:pPr>
            <w:r>
              <w:rPr>
                <w:rFonts w:hint="eastAsia" w:ascii="仿宋" w:hAnsi="仿宋" w:eastAsia="仿宋" w:cs="仿宋_GB2312"/>
                <w:sz w:val="24"/>
              </w:rPr>
              <w:t>智慧新型城市</w:t>
            </w:r>
          </w:p>
        </w:tc>
        <w:tc>
          <w:tcPr>
            <w:tcW w:w="7087"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textAlignment w:val="center"/>
              <w:rPr>
                <w:rFonts w:hint="eastAsia" w:ascii="仿宋" w:hAnsi="仿宋" w:eastAsia="仿宋" w:cs="仿宋_GB2312"/>
                <w:color w:val="000000"/>
                <w:sz w:val="24"/>
              </w:rPr>
            </w:pPr>
            <w:r>
              <w:rPr>
                <w:rFonts w:hint="eastAsia" w:ascii="仿宋" w:hAnsi="仿宋" w:eastAsia="仿宋" w:cs="仿宋_GB2312"/>
                <w:color w:val="000000"/>
                <w:kern w:val="0"/>
                <w:sz w:val="24"/>
                <w:lang w:bidi="ar"/>
              </w:rPr>
              <w:t>一期建设内容：综合应急指挥中心、智慧综治、智慧公安、智慧住建、智慧安监、智慧政务中心、智慧国土及智慧水务。二期建设内容：智慧交通、智慧林业、智慧农业、智慧环保及智慧气象、智慧教育。三期建设内容：智慧便民、智慧园区、智慧民政、智慧人防、智慧防震、智慧食药监、智慧卫计、智慧司法及智慧旅游。</w:t>
            </w:r>
          </w:p>
        </w:tc>
        <w:tc>
          <w:tcPr>
            <w:tcW w:w="12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_GB2312"/>
                <w:sz w:val="24"/>
              </w:rPr>
            </w:pPr>
            <w:r>
              <w:rPr>
                <w:rFonts w:hint="eastAsia" w:ascii="仿宋" w:hAnsi="仿宋" w:eastAsia="仿宋" w:cs="仿宋_GB2312"/>
                <w:sz w:val="24"/>
              </w:rPr>
              <w:t>7.6</w:t>
            </w:r>
          </w:p>
        </w:tc>
        <w:tc>
          <w:tcPr>
            <w:tcW w:w="114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_GB2312"/>
                <w:sz w:val="24"/>
              </w:rPr>
            </w:pPr>
            <w:r>
              <w:rPr>
                <w:rFonts w:hint="eastAsia" w:ascii="仿宋" w:hAnsi="仿宋" w:eastAsia="仿宋" w:cs="仿宋_GB2312"/>
                <w:sz w:val="24"/>
              </w:rPr>
              <w:t>融合基础设施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_GB2312"/>
                <w:sz w:val="24"/>
              </w:rPr>
            </w:pPr>
            <w:r>
              <w:rPr>
                <w:rFonts w:hint="eastAsia" w:ascii="仿宋" w:hAnsi="仿宋" w:eastAsia="仿宋" w:cs="仿宋_GB2312"/>
                <w:sz w:val="24"/>
              </w:rPr>
              <w:t>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_GB2312"/>
                <w:color w:val="000000"/>
                <w:sz w:val="24"/>
              </w:rPr>
            </w:pPr>
            <w:r>
              <w:rPr>
                <w:rFonts w:hint="eastAsia" w:ascii="仿宋" w:hAnsi="仿宋" w:eastAsia="仿宋" w:cs="仿宋_GB2312"/>
                <w:color w:val="000000"/>
                <w:kern w:val="0"/>
                <w:sz w:val="24"/>
                <w:lang w:bidi="ar"/>
              </w:rPr>
              <w:t>旺苍县茶叶科创中心建设项目</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_GB2312"/>
                <w:sz w:val="24"/>
              </w:rPr>
            </w:pPr>
            <w:r>
              <w:rPr>
                <w:rFonts w:hint="eastAsia" w:ascii="仿宋" w:hAnsi="仿宋" w:eastAsia="仿宋" w:cs="仿宋_GB2312"/>
                <w:sz w:val="24"/>
              </w:rPr>
              <w:t>智慧农业</w:t>
            </w:r>
          </w:p>
        </w:tc>
        <w:tc>
          <w:tcPr>
            <w:tcW w:w="7087"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textAlignment w:val="center"/>
              <w:rPr>
                <w:rFonts w:hint="eastAsia" w:ascii="仿宋" w:hAnsi="仿宋" w:eastAsia="仿宋" w:cs="仿宋_GB2312"/>
                <w:color w:val="000000"/>
                <w:sz w:val="24"/>
              </w:rPr>
            </w:pPr>
            <w:r>
              <w:rPr>
                <w:rFonts w:hint="eastAsia" w:ascii="仿宋" w:hAnsi="仿宋" w:eastAsia="仿宋" w:cs="仿宋_GB2312"/>
                <w:color w:val="000000"/>
                <w:kern w:val="0"/>
                <w:sz w:val="24"/>
                <w:lang w:bidi="ar"/>
              </w:rPr>
              <w:t>建设科创中心1处，配套茶叶加工、技术研发、信息物流等</w:t>
            </w:r>
          </w:p>
        </w:tc>
        <w:tc>
          <w:tcPr>
            <w:tcW w:w="12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_GB2312"/>
                <w:sz w:val="24"/>
              </w:rPr>
            </w:pPr>
            <w:r>
              <w:rPr>
                <w:rFonts w:hint="eastAsia" w:ascii="仿宋" w:hAnsi="仿宋" w:eastAsia="仿宋" w:cs="仿宋_GB2312"/>
                <w:sz w:val="24"/>
              </w:rPr>
              <w:t>0.1</w:t>
            </w:r>
          </w:p>
        </w:tc>
        <w:tc>
          <w:tcPr>
            <w:tcW w:w="114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_GB2312"/>
                <w:sz w:val="24"/>
              </w:rPr>
            </w:pPr>
            <w:r>
              <w:rPr>
                <w:rFonts w:hint="eastAsia" w:ascii="仿宋" w:hAnsi="仿宋" w:eastAsia="仿宋" w:cs="仿宋_GB2312"/>
                <w:sz w:val="24"/>
              </w:rPr>
              <w:t>融合基础设施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_GB2312"/>
                <w:sz w:val="24"/>
              </w:rPr>
            </w:pPr>
            <w:r>
              <w:rPr>
                <w:rFonts w:hint="eastAsia" w:ascii="仿宋" w:hAnsi="仿宋" w:eastAsia="仿宋" w:cs="仿宋_GB2312"/>
                <w:sz w:val="24"/>
              </w:rPr>
              <w:t>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_GB2312"/>
                <w:color w:val="000000"/>
                <w:sz w:val="24"/>
              </w:rPr>
            </w:pPr>
            <w:r>
              <w:rPr>
                <w:rFonts w:hint="eastAsia" w:ascii="仿宋" w:hAnsi="仿宋" w:eastAsia="仿宋" w:cs="仿宋_GB2312"/>
                <w:color w:val="000000"/>
                <w:kern w:val="0"/>
                <w:sz w:val="24"/>
                <w:lang w:bidi="ar"/>
              </w:rPr>
              <w:t>重点文物保护单位安防工程</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_GB2312"/>
                <w:sz w:val="24"/>
              </w:rPr>
            </w:pPr>
            <w:r>
              <w:rPr>
                <w:rFonts w:hint="eastAsia" w:ascii="仿宋" w:hAnsi="仿宋" w:eastAsia="仿宋" w:cs="仿宋_GB2312"/>
                <w:sz w:val="24"/>
              </w:rPr>
              <w:t>其他融合基础设施</w:t>
            </w:r>
          </w:p>
        </w:tc>
        <w:tc>
          <w:tcPr>
            <w:tcW w:w="7087"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textAlignment w:val="center"/>
              <w:rPr>
                <w:rFonts w:hint="eastAsia" w:ascii="仿宋" w:hAnsi="仿宋" w:eastAsia="仿宋" w:cs="仿宋_GB2312"/>
                <w:color w:val="000000"/>
                <w:sz w:val="24"/>
              </w:rPr>
            </w:pPr>
            <w:r>
              <w:rPr>
                <w:rFonts w:hint="eastAsia" w:ascii="仿宋" w:hAnsi="仿宋" w:eastAsia="仿宋" w:cs="仿宋_GB2312"/>
                <w:color w:val="000000"/>
                <w:kern w:val="0"/>
                <w:sz w:val="24"/>
                <w:lang w:bidi="ar"/>
              </w:rPr>
              <w:t>对74处县级以上重点文物保护单位安装监控设备，消防设施及周边安防配套建设等。</w:t>
            </w:r>
          </w:p>
        </w:tc>
        <w:tc>
          <w:tcPr>
            <w:tcW w:w="12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_GB2312"/>
                <w:sz w:val="24"/>
              </w:rPr>
            </w:pPr>
            <w:r>
              <w:rPr>
                <w:rFonts w:hint="eastAsia" w:ascii="仿宋" w:hAnsi="仿宋" w:eastAsia="仿宋" w:cs="仿宋_GB2312"/>
                <w:sz w:val="24"/>
              </w:rPr>
              <w:t>2</w:t>
            </w:r>
          </w:p>
        </w:tc>
        <w:tc>
          <w:tcPr>
            <w:tcW w:w="114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_GB2312"/>
                <w:sz w:val="24"/>
              </w:rPr>
            </w:pPr>
            <w:r>
              <w:rPr>
                <w:rFonts w:hint="eastAsia" w:ascii="仿宋" w:hAnsi="仿宋" w:eastAsia="仿宋" w:cs="仿宋_GB2312"/>
                <w:sz w:val="24"/>
              </w:rPr>
              <w:t>融合基础设施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_GB2312"/>
                <w:sz w:val="24"/>
              </w:rPr>
            </w:pPr>
            <w:r>
              <w:rPr>
                <w:rFonts w:hint="eastAsia" w:ascii="仿宋" w:hAnsi="仿宋" w:eastAsia="仿宋" w:cs="仿宋_GB2312"/>
                <w:sz w:val="24"/>
              </w:rPr>
              <w:t>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_GB2312"/>
                <w:color w:val="000000"/>
                <w:sz w:val="24"/>
              </w:rPr>
            </w:pPr>
            <w:r>
              <w:rPr>
                <w:rFonts w:hint="eastAsia" w:ascii="仿宋" w:hAnsi="仿宋" w:eastAsia="仿宋" w:cs="仿宋_GB2312"/>
                <w:color w:val="000000"/>
                <w:kern w:val="0"/>
                <w:sz w:val="24"/>
                <w:lang w:bidi="ar"/>
              </w:rPr>
              <w:t>旺苍县区域中心卫生院信息化建设项目</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_GB2312"/>
                <w:sz w:val="24"/>
              </w:rPr>
            </w:pPr>
            <w:r>
              <w:rPr>
                <w:rFonts w:hint="eastAsia" w:ascii="仿宋" w:hAnsi="仿宋" w:eastAsia="仿宋" w:cs="仿宋_GB2312"/>
                <w:sz w:val="24"/>
              </w:rPr>
              <w:t>智慧民生</w:t>
            </w:r>
          </w:p>
        </w:tc>
        <w:tc>
          <w:tcPr>
            <w:tcW w:w="7087"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textAlignment w:val="center"/>
              <w:rPr>
                <w:rFonts w:hint="eastAsia" w:ascii="仿宋" w:hAnsi="仿宋" w:eastAsia="仿宋" w:cs="仿宋_GB2312"/>
                <w:color w:val="000000"/>
                <w:sz w:val="24"/>
              </w:rPr>
            </w:pPr>
            <w:r>
              <w:rPr>
                <w:rFonts w:hint="eastAsia" w:ascii="仿宋" w:hAnsi="仿宋" w:eastAsia="仿宋" w:cs="仿宋_GB2312"/>
                <w:color w:val="000000"/>
                <w:kern w:val="0"/>
                <w:sz w:val="24"/>
                <w:lang w:bidi="ar"/>
              </w:rPr>
              <w:t>打造区域中心卫生院信息化建设，带动片区医疗、卫生工作。在全县225个村（居）继续使用好卫健E通，新增健康体检包225个。依拓广元市人口健康系统，在23个乡镇建设远程会诊中心。依拓5G技术，建设好区域中心卫生院自助设备。扩容改造四川省医疗卫生管理信息系统服务器。</w:t>
            </w:r>
          </w:p>
        </w:tc>
        <w:tc>
          <w:tcPr>
            <w:tcW w:w="12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_GB2312"/>
                <w:sz w:val="24"/>
              </w:rPr>
            </w:pPr>
            <w:r>
              <w:rPr>
                <w:rFonts w:hint="eastAsia" w:ascii="仿宋" w:hAnsi="仿宋" w:eastAsia="仿宋" w:cs="仿宋_GB2312"/>
                <w:sz w:val="24"/>
              </w:rPr>
              <w:t>0.5</w:t>
            </w:r>
          </w:p>
        </w:tc>
        <w:tc>
          <w:tcPr>
            <w:tcW w:w="114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_GB2312"/>
                <w:sz w:val="24"/>
              </w:rPr>
            </w:pPr>
            <w:r>
              <w:rPr>
                <w:rFonts w:hint="eastAsia" w:ascii="仿宋" w:hAnsi="仿宋" w:eastAsia="仿宋" w:cs="仿宋_GB2312"/>
                <w:sz w:val="24"/>
              </w:rPr>
              <w:t>融合基础设施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_GB2312"/>
                <w:sz w:val="24"/>
              </w:rPr>
            </w:pPr>
            <w:r>
              <w:rPr>
                <w:rFonts w:hint="eastAsia" w:ascii="仿宋" w:hAnsi="仿宋" w:eastAsia="仿宋" w:cs="仿宋_GB2312"/>
                <w:sz w:val="24"/>
              </w:rPr>
              <w:t>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_GB2312"/>
                <w:color w:val="000000"/>
                <w:sz w:val="24"/>
              </w:rPr>
            </w:pPr>
            <w:r>
              <w:rPr>
                <w:rFonts w:hint="eastAsia" w:ascii="仿宋" w:hAnsi="仿宋" w:eastAsia="仿宋" w:cs="仿宋_GB2312"/>
                <w:color w:val="000000"/>
                <w:kern w:val="0"/>
                <w:sz w:val="24"/>
                <w:lang w:bidi="ar"/>
              </w:rPr>
              <w:t>2020年省级现代农业园区奖补项目</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_GB2312"/>
                <w:sz w:val="24"/>
              </w:rPr>
            </w:pPr>
            <w:r>
              <w:rPr>
                <w:rFonts w:hint="eastAsia" w:ascii="仿宋" w:hAnsi="仿宋" w:eastAsia="仿宋" w:cs="仿宋_GB2312"/>
                <w:sz w:val="24"/>
              </w:rPr>
              <w:t>智慧农业</w:t>
            </w:r>
          </w:p>
        </w:tc>
        <w:tc>
          <w:tcPr>
            <w:tcW w:w="7087"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textAlignment w:val="center"/>
              <w:rPr>
                <w:rFonts w:hint="eastAsia" w:ascii="仿宋" w:hAnsi="仿宋" w:eastAsia="仿宋" w:cs="仿宋_GB2312"/>
                <w:color w:val="000000"/>
                <w:sz w:val="24"/>
              </w:rPr>
            </w:pPr>
            <w:r>
              <w:rPr>
                <w:rFonts w:hint="eastAsia" w:ascii="仿宋" w:hAnsi="仿宋" w:eastAsia="仿宋" w:cs="仿宋_GB2312"/>
                <w:color w:val="000000"/>
                <w:kern w:val="0"/>
                <w:sz w:val="24"/>
                <w:lang w:bidi="ar"/>
              </w:rPr>
              <w:t>整治山坪塘，建设良繁基地水肥一体化设施、科研育苗基地、冷链物流集配中心等</w:t>
            </w:r>
          </w:p>
        </w:tc>
        <w:tc>
          <w:tcPr>
            <w:tcW w:w="12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_GB2312"/>
                <w:sz w:val="24"/>
              </w:rPr>
            </w:pPr>
            <w:r>
              <w:rPr>
                <w:rFonts w:hint="eastAsia" w:ascii="仿宋" w:hAnsi="仿宋" w:eastAsia="仿宋" w:cs="仿宋_GB2312"/>
                <w:sz w:val="24"/>
              </w:rPr>
              <w:t>0.2</w:t>
            </w:r>
          </w:p>
        </w:tc>
        <w:tc>
          <w:tcPr>
            <w:tcW w:w="114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_GB2312"/>
                <w:sz w:val="24"/>
              </w:rPr>
            </w:pPr>
            <w:r>
              <w:rPr>
                <w:rFonts w:hint="eastAsia" w:ascii="仿宋" w:hAnsi="仿宋" w:eastAsia="仿宋" w:cs="仿宋_GB2312"/>
                <w:sz w:val="24"/>
              </w:rPr>
              <w:t>融合基础设施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_GB2312"/>
                <w:sz w:val="24"/>
              </w:rPr>
            </w:pPr>
            <w:r>
              <w:rPr>
                <w:rFonts w:hint="eastAsia" w:ascii="仿宋" w:hAnsi="仿宋" w:eastAsia="仿宋" w:cs="仿宋_GB2312"/>
                <w:sz w:val="24"/>
              </w:rPr>
              <w:t>10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_GB2312"/>
                <w:color w:val="000000"/>
                <w:sz w:val="24"/>
              </w:rPr>
            </w:pPr>
            <w:r>
              <w:rPr>
                <w:rFonts w:hint="eastAsia" w:ascii="仿宋" w:hAnsi="仿宋" w:eastAsia="仿宋" w:cs="仿宋_GB2312"/>
                <w:color w:val="000000"/>
                <w:kern w:val="0"/>
                <w:sz w:val="24"/>
                <w:lang w:bidi="ar"/>
              </w:rPr>
              <w:t>旺苍县城区路灯智能化改造项目</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_GB2312"/>
                <w:sz w:val="24"/>
              </w:rPr>
            </w:pPr>
            <w:r>
              <w:rPr>
                <w:rFonts w:hint="eastAsia" w:ascii="仿宋" w:hAnsi="仿宋" w:eastAsia="仿宋" w:cs="仿宋_GB2312"/>
                <w:sz w:val="24"/>
              </w:rPr>
              <w:t>智慧城市</w:t>
            </w:r>
          </w:p>
        </w:tc>
        <w:tc>
          <w:tcPr>
            <w:tcW w:w="7087"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textAlignment w:val="center"/>
              <w:rPr>
                <w:rFonts w:hint="eastAsia" w:ascii="仿宋" w:hAnsi="仿宋" w:eastAsia="仿宋" w:cs="仿宋_GB2312"/>
                <w:color w:val="000000"/>
                <w:sz w:val="24"/>
              </w:rPr>
            </w:pPr>
            <w:r>
              <w:rPr>
                <w:rFonts w:hint="eastAsia" w:ascii="仿宋" w:hAnsi="仿宋" w:eastAsia="仿宋" w:cs="仿宋_GB2312"/>
                <w:color w:val="000000"/>
                <w:kern w:val="0"/>
                <w:sz w:val="24"/>
                <w:lang w:bidi="ar"/>
              </w:rPr>
              <w:t>改造路灯约500盏（含灯杆智能化改造），建设路灯物联网系统建设10%，配套电缆、单灯控制器、控制柜等其他设施设备。</w:t>
            </w:r>
          </w:p>
        </w:tc>
        <w:tc>
          <w:tcPr>
            <w:tcW w:w="12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_GB2312"/>
                <w:sz w:val="24"/>
              </w:rPr>
            </w:pPr>
            <w:r>
              <w:rPr>
                <w:rFonts w:hint="eastAsia" w:ascii="仿宋" w:hAnsi="仿宋" w:eastAsia="仿宋" w:cs="仿宋_GB2312"/>
                <w:sz w:val="24"/>
              </w:rPr>
              <w:t>0.7</w:t>
            </w:r>
          </w:p>
        </w:tc>
        <w:tc>
          <w:tcPr>
            <w:tcW w:w="114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_GB2312"/>
                <w:sz w:val="24"/>
              </w:rPr>
            </w:pPr>
            <w:r>
              <w:rPr>
                <w:rFonts w:hint="eastAsia" w:ascii="仿宋" w:hAnsi="仿宋" w:eastAsia="仿宋" w:cs="仿宋_GB2312"/>
                <w:sz w:val="24"/>
              </w:rPr>
              <w:t>融合基础设施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_GB2312"/>
                <w:sz w:val="24"/>
              </w:rPr>
            </w:pPr>
            <w:r>
              <w:rPr>
                <w:rFonts w:hint="eastAsia" w:ascii="仿宋" w:hAnsi="仿宋" w:eastAsia="仿宋" w:cs="仿宋_GB2312"/>
                <w:sz w:val="24"/>
              </w:rPr>
              <w:t>11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_GB2312"/>
                <w:color w:val="000000"/>
                <w:sz w:val="24"/>
              </w:rPr>
            </w:pPr>
            <w:r>
              <w:rPr>
                <w:rFonts w:hint="eastAsia" w:ascii="仿宋" w:hAnsi="仿宋" w:eastAsia="仿宋" w:cs="仿宋_GB2312"/>
                <w:color w:val="000000"/>
                <w:kern w:val="0"/>
                <w:sz w:val="24"/>
                <w:lang w:bidi="ar"/>
              </w:rPr>
              <w:t>旺苍县城区智能化停车改造项目</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_GB2312"/>
                <w:sz w:val="24"/>
              </w:rPr>
            </w:pPr>
            <w:r>
              <w:rPr>
                <w:rFonts w:hint="eastAsia" w:ascii="仿宋" w:hAnsi="仿宋" w:eastAsia="仿宋" w:cs="仿宋_GB2312"/>
                <w:sz w:val="24"/>
              </w:rPr>
              <w:t>智慧交通</w:t>
            </w:r>
          </w:p>
        </w:tc>
        <w:tc>
          <w:tcPr>
            <w:tcW w:w="7087"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textAlignment w:val="center"/>
              <w:rPr>
                <w:rFonts w:hint="eastAsia" w:ascii="仿宋" w:hAnsi="仿宋" w:eastAsia="仿宋" w:cs="仿宋_GB2312"/>
                <w:color w:val="000000"/>
                <w:sz w:val="24"/>
              </w:rPr>
            </w:pPr>
            <w:r>
              <w:rPr>
                <w:rFonts w:hint="eastAsia" w:ascii="仿宋" w:hAnsi="仿宋" w:eastAsia="仿宋" w:cs="仿宋_GB2312"/>
                <w:color w:val="000000"/>
                <w:kern w:val="0"/>
                <w:sz w:val="24"/>
                <w:lang w:bidi="ar"/>
              </w:rPr>
              <w:t>城市停车平台无服务器系统完成10%，改造停车泊位500个，安装视频桩500个，摄像机10台，购买巡逻队设备60套，智能收费设备200套，及其他配套设施设备。</w:t>
            </w:r>
          </w:p>
        </w:tc>
        <w:tc>
          <w:tcPr>
            <w:tcW w:w="12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_GB2312"/>
                <w:sz w:val="24"/>
              </w:rPr>
            </w:pPr>
            <w:r>
              <w:rPr>
                <w:rFonts w:hint="eastAsia" w:ascii="仿宋" w:hAnsi="仿宋" w:eastAsia="仿宋" w:cs="仿宋_GB2312"/>
                <w:sz w:val="24"/>
              </w:rPr>
              <w:t>1</w:t>
            </w:r>
          </w:p>
        </w:tc>
        <w:tc>
          <w:tcPr>
            <w:tcW w:w="114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_GB2312"/>
                <w:sz w:val="24"/>
              </w:rPr>
            </w:pPr>
            <w:r>
              <w:rPr>
                <w:rFonts w:hint="eastAsia" w:ascii="仿宋" w:hAnsi="仿宋" w:eastAsia="仿宋" w:cs="仿宋_GB2312"/>
                <w:sz w:val="24"/>
              </w:rPr>
              <w:t>融合基础设施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_GB2312"/>
                <w:sz w:val="24"/>
              </w:rPr>
            </w:pPr>
            <w:r>
              <w:rPr>
                <w:rFonts w:hint="eastAsia" w:ascii="仿宋" w:hAnsi="仿宋" w:eastAsia="仿宋" w:cs="仿宋_GB2312"/>
                <w:sz w:val="24"/>
              </w:rPr>
              <w:t>12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_GB2312"/>
                <w:color w:val="000000"/>
                <w:sz w:val="24"/>
              </w:rPr>
            </w:pPr>
            <w:r>
              <w:rPr>
                <w:rFonts w:hint="eastAsia" w:ascii="仿宋" w:hAnsi="仿宋" w:eastAsia="仿宋" w:cs="仿宋_GB2312"/>
                <w:color w:val="000000"/>
                <w:kern w:val="0"/>
                <w:sz w:val="24"/>
                <w:lang w:bidi="ar"/>
              </w:rPr>
              <w:t>旺苍物流基础设施及冷链物流建设项目</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_GB2312"/>
                <w:sz w:val="24"/>
              </w:rPr>
            </w:pPr>
            <w:r>
              <w:rPr>
                <w:rFonts w:hint="eastAsia" w:ascii="仿宋" w:hAnsi="仿宋" w:eastAsia="仿宋" w:cs="仿宋_GB2312"/>
                <w:sz w:val="24"/>
              </w:rPr>
              <w:t>智慧物流</w:t>
            </w:r>
          </w:p>
        </w:tc>
        <w:tc>
          <w:tcPr>
            <w:tcW w:w="7087"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textAlignment w:val="center"/>
              <w:rPr>
                <w:rFonts w:hint="eastAsia" w:ascii="仿宋" w:hAnsi="仿宋" w:eastAsia="仿宋" w:cs="仿宋_GB2312"/>
                <w:color w:val="000000"/>
                <w:sz w:val="24"/>
              </w:rPr>
            </w:pPr>
            <w:r>
              <w:rPr>
                <w:rFonts w:hint="eastAsia" w:ascii="仿宋" w:hAnsi="仿宋" w:eastAsia="仿宋" w:cs="仿宋_GB2312"/>
                <w:color w:val="000000"/>
                <w:kern w:val="0"/>
                <w:sz w:val="24"/>
                <w:lang w:bidi="ar"/>
              </w:rPr>
              <w:t>（1）旺苍白水镇物流集散中心：规划占600亩，计划建成仓储库100000平方米、物流厂房40000平方米、配套用房10000平方米、设备用房（地下室）8000平方米、木材市场16000平方米、停车位2000个、快速充电桩25个；（2）东河镇冷链物流集散中心：东河镇冷链物流集散中心规划占地100亩，计划建成1000平方米冷冻库8个，500平方米气调保鲜库12个，冷链物流车辆专用停车位100个，其他车辆停车位800个、快速充电桩15个、配套用房10000平方米；（3）嘉川镇物流集散中心：嘉川镇物流集散中心规划占地160亩，计划建成仓储厂房35000平方米、室外堆场35000平方米、配套用房10000平方米、车停车位1200个、快速</w:t>
            </w:r>
            <w:r>
              <w:rPr>
                <w:rFonts w:hint="eastAsia" w:ascii="仿宋" w:hAnsi="仿宋" w:eastAsia="仿宋" w:cs="仿宋_GB2312"/>
                <w:sz w:val="24"/>
              </w:rPr>
              <w:t>融合基础设施</w:t>
            </w:r>
            <w:r>
              <w:rPr>
                <w:rFonts w:hint="eastAsia" w:ascii="仿宋" w:hAnsi="仿宋" w:eastAsia="仿宋" w:cs="仿宋_GB2312"/>
                <w:color w:val="000000"/>
                <w:kern w:val="0"/>
                <w:sz w:val="24"/>
                <w:lang w:bidi="ar"/>
              </w:rPr>
              <w:t>充电桩20个；（4）配套设施：本项目配套运输货车（载重30吨）50辆、运输冷冻车10辆、加油站1座。</w:t>
            </w:r>
          </w:p>
        </w:tc>
        <w:tc>
          <w:tcPr>
            <w:tcW w:w="12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_GB2312"/>
                <w:color w:val="000000"/>
                <w:sz w:val="24"/>
              </w:rPr>
            </w:pPr>
            <w:r>
              <w:rPr>
                <w:rFonts w:hint="eastAsia" w:ascii="仿宋" w:hAnsi="仿宋" w:eastAsia="仿宋" w:cs="仿宋_GB2312"/>
                <w:color w:val="000000"/>
                <w:kern w:val="0"/>
                <w:sz w:val="24"/>
                <w:lang w:bidi="ar"/>
              </w:rPr>
              <w:t>8.9</w:t>
            </w:r>
          </w:p>
        </w:tc>
        <w:tc>
          <w:tcPr>
            <w:tcW w:w="114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_GB2312"/>
                <w:sz w:val="24"/>
              </w:rPr>
            </w:pPr>
            <w:r>
              <w:rPr>
                <w:rFonts w:hint="eastAsia" w:ascii="仿宋" w:hAnsi="仿宋" w:eastAsia="仿宋" w:cs="仿宋_GB2312"/>
                <w:sz w:val="24"/>
              </w:rPr>
              <w:t>融合基础设施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_GB2312"/>
                <w:sz w:val="24"/>
              </w:rPr>
            </w:pPr>
            <w:r>
              <w:rPr>
                <w:rFonts w:hint="eastAsia" w:ascii="仿宋" w:hAnsi="仿宋" w:eastAsia="仿宋" w:cs="仿宋_GB2312"/>
                <w:sz w:val="24"/>
              </w:rPr>
              <w:t>13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_GB2312"/>
                <w:color w:val="000000"/>
                <w:sz w:val="24"/>
              </w:rPr>
            </w:pPr>
            <w:r>
              <w:rPr>
                <w:rFonts w:hint="eastAsia" w:ascii="仿宋" w:hAnsi="仿宋" w:eastAsia="仿宋" w:cs="仿宋_GB2312"/>
                <w:color w:val="000000"/>
                <w:kern w:val="0"/>
                <w:sz w:val="24"/>
                <w:lang w:bidi="ar"/>
              </w:rPr>
              <w:t>旺苍县交通智慧建设工程</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_GB2312"/>
                <w:sz w:val="24"/>
              </w:rPr>
            </w:pPr>
            <w:r>
              <w:rPr>
                <w:rFonts w:hint="eastAsia" w:ascii="仿宋" w:hAnsi="仿宋" w:eastAsia="仿宋" w:cs="仿宋_GB2312"/>
                <w:sz w:val="24"/>
              </w:rPr>
              <w:t>智慧交通</w:t>
            </w:r>
          </w:p>
        </w:tc>
        <w:tc>
          <w:tcPr>
            <w:tcW w:w="7087"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textAlignment w:val="center"/>
              <w:rPr>
                <w:rFonts w:hint="eastAsia" w:ascii="仿宋" w:hAnsi="仿宋" w:eastAsia="仿宋" w:cs="仿宋_GB2312"/>
                <w:color w:val="000000"/>
                <w:sz w:val="24"/>
              </w:rPr>
            </w:pPr>
            <w:r>
              <w:rPr>
                <w:rFonts w:hint="eastAsia" w:ascii="仿宋" w:hAnsi="仿宋" w:eastAsia="仿宋" w:cs="仿宋_GB2312"/>
                <w:color w:val="000000"/>
                <w:kern w:val="0"/>
                <w:sz w:val="24"/>
                <w:lang w:bidi="ar"/>
              </w:rPr>
              <w:t>建设应用系统、应用支撑平台、交通运输数据资源中心、</w:t>
            </w:r>
          </w:p>
        </w:tc>
        <w:tc>
          <w:tcPr>
            <w:tcW w:w="12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_GB2312"/>
                <w:sz w:val="24"/>
              </w:rPr>
            </w:pPr>
            <w:r>
              <w:rPr>
                <w:rFonts w:hint="eastAsia" w:ascii="仿宋" w:hAnsi="仿宋" w:eastAsia="仿宋" w:cs="仿宋_GB2312"/>
                <w:sz w:val="24"/>
              </w:rPr>
              <w:t>0.6</w:t>
            </w:r>
          </w:p>
        </w:tc>
        <w:tc>
          <w:tcPr>
            <w:tcW w:w="114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_GB2312"/>
                <w:sz w:val="24"/>
              </w:rPr>
            </w:pPr>
            <w:r>
              <w:rPr>
                <w:rFonts w:hint="eastAsia" w:ascii="仿宋" w:hAnsi="仿宋" w:eastAsia="仿宋" w:cs="仿宋_GB2312"/>
                <w:sz w:val="24"/>
              </w:rPr>
              <w:t>融合基础设施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_GB2312"/>
                <w:sz w:val="24"/>
              </w:rPr>
            </w:pPr>
            <w:r>
              <w:rPr>
                <w:rFonts w:hint="eastAsia" w:ascii="仿宋" w:hAnsi="仿宋" w:eastAsia="仿宋" w:cs="仿宋_GB2312"/>
                <w:sz w:val="24"/>
              </w:rPr>
              <w:t>14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_GB2312"/>
                <w:color w:val="000000"/>
                <w:sz w:val="24"/>
              </w:rPr>
            </w:pPr>
            <w:r>
              <w:rPr>
                <w:rFonts w:hint="eastAsia" w:ascii="仿宋" w:hAnsi="仿宋" w:eastAsia="仿宋" w:cs="仿宋_GB2312"/>
                <w:color w:val="000000"/>
                <w:kern w:val="0"/>
                <w:sz w:val="24"/>
                <w:lang w:bidi="ar"/>
              </w:rPr>
              <w:t>中国西部(广元）智慧家居产业城尚武片区</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_GB2312"/>
                <w:sz w:val="24"/>
              </w:rPr>
            </w:pPr>
            <w:r>
              <w:rPr>
                <w:rFonts w:hint="eastAsia" w:ascii="仿宋" w:hAnsi="仿宋" w:eastAsia="仿宋" w:cs="仿宋_GB2312"/>
                <w:sz w:val="24"/>
              </w:rPr>
              <w:t>其他融合基础设施</w:t>
            </w:r>
          </w:p>
        </w:tc>
        <w:tc>
          <w:tcPr>
            <w:tcW w:w="7087"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textAlignment w:val="center"/>
              <w:rPr>
                <w:rFonts w:hint="eastAsia" w:ascii="仿宋" w:hAnsi="仿宋" w:eastAsia="仿宋" w:cs="仿宋_GB2312"/>
                <w:color w:val="000000"/>
                <w:sz w:val="24"/>
              </w:rPr>
            </w:pPr>
            <w:r>
              <w:rPr>
                <w:rFonts w:hint="eastAsia" w:ascii="仿宋" w:hAnsi="仿宋" w:eastAsia="仿宋" w:cs="仿宋_GB2312"/>
                <w:color w:val="000000"/>
                <w:kern w:val="0"/>
                <w:sz w:val="24"/>
                <w:lang w:bidi="ar"/>
              </w:rPr>
              <w:t>“智慧园区”综合管理平台，智慧安防、人员管理系统、智慧停车厂、人脸识别系统、智慧门禁、智慧路灯、信息发布系统、智慧展厅，配套完成基础设施</w:t>
            </w:r>
          </w:p>
        </w:tc>
        <w:tc>
          <w:tcPr>
            <w:tcW w:w="12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_GB2312"/>
                <w:sz w:val="24"/>
              </w:rPr>
            </w:pPr>
            <w:r>
              <w:rPr>
                <w:rFonts w:hint="eastAsia" w:ascii="仿宋" w:hAnsi="仿宋" w:eastAsia="仿宋" w:cs="仿宋_GB2312"/>
                <w:sz w:val="24"/>
              </w:rPr>
              <w:t>0.4</w:t>
            </w:r>
          </w:p>
        </w:tc>
        <w:tc>
          <w:tcPr>
            <w:tcW w:w="114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_GB2312"/>
                <w:sz w:val="24"/>
              </w:rPr>
            </w:pPr>
            <w:r>
              <w:rPr>
                <w:rFonts w:hint="eastAsia" w:ascii="仿宋" w:hAnsi="仿宋" w:eastAsia="仿宋" w:cs="仿宋_GB2312"/>
                <w:sz w:val="24"/>
              </w:rPr>
              <w:t>融合基础设施</w:t>
            </w:r>
          </w:p>
        </w:tc>
      </w:tr>
    </w:tbl>
    <w:p>
      <w:pPr>
        <w:pStyle w:val="2"/>
        <w:ind w:firstLine="320"/>
        <w:rPr>
          <w:rFonts w:hint="eastAsia"/>
        </w:rPr>
      </w:pPr>
    </w:p>
    <w:sectPr>
      <w:footerReference r:id="rId7" w:type="even"/>
      <w:pgSz w:w="16838" w:h="11906" w:orient="landscape"/>
      <w:pgMar w:top="1588" w:right="2098" w:bottom="1474" w:left="1985" w:header="851" w:footer="1588"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libri Light">
    <w:altName w:val="Lucida Sans"/>
    <w:panose1 w:val="020F0302020204030204"/>
    <w:charset w:val="00"/>
    <w:family w:val="swiss"/>
    <w:pitch w:val="default"/>
    <w:sig w:usb0="00000000" w:usb1="00000000" w:usb2="00000009" w:usb3="00000000" w:csb0="200001FF" w:csb1="00000000"/>
  </w:font>
  <w:font w:name="??">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仿宋">
    <w:altName w:val="方正仿宋_GBK"/>
    <w:panose1 w:val="00000000000000000000"/>
    <w:charset w:val="86"/>
    <w:family w:val="auto"/>
    <w:pitch w:val="default"/>
    <w:sig w:usb0="00000000" w:usb1="0000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文泉驿微米黑">
    <w:panose1 w:val="020B0606030804020204"/>
    <w:charset w:val="86"/>
    <w:family w:val="auto"/>
    <w:pitch w:val="default"/>
    <w:sig w:usb0="E10002EF" w:usb1="6BDFFCFB" w:usb2="00800036" w:usb3="00000000" w:csb0="603E019F" w:csb1="DFD7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Lucida Sans">
    <w:panose1 w:val="020B0602030504020204"/>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4"/>
        <w:rFonts w:ascii="宋体" w:hAnsi="宋体"/>
        <w:sz w:val="28"/>
        <w:szCs w:val="28"/>
      </w:rPr>
    </w:pPr>
    <w:r>
      <w:rPr>
        <w:rFonts w:hint="eastAsia" w:ascii="宋体" w:hAnsi="宋体"/>
        <w:sz w:val="28"/>
        <w:szCs w:val="28"/>
      </w:rPr>
      <w:t xml:space="preserve">— </w:t>
    </w:r>
    <w:r>
      <w:rPr>
        <w:rStyle w:val="24"/>
        <w:rFonts w:ascii="宋体" w:hAnsi="宋体"/>
        <w:sz w:val="28"/>
        <w:szCs w:val="28"/>
      </w:rPr>
      <w:fldChar w:fldCharType="begin"/>
    </w:r>
    <w:r>
      <w:rPr>
        <w:rStyle w:val="24"/>
        <w:rFonts w:ascii="宋体" w:hAnsi="宋体"/>
        <w:sz w:val="28"/>
        <w:szCs w:val="28"/>
      </w:rPr>
      <w:instrText xml:space="preserve">PAGE  </w:instrText>
    </w:r>
    <w:r>
      <w:rPr>
        <w:rStyle w:val="24"/>
        <w:rFonts w:ascii="宋体" w:hAnsi="宋体"/>
        <w:sz w:val="28"/>
        <w:szCs w:val="28"/>
      </w:rPr>
      <w:fldChar w:fldCharType="separate"/>
    </w:r>
    <w:r>
      <w:rPr>
        <w:rStyle w:val="24"/>
        <w:rFonts w:ascii="宋体" w:hAnsi="宋体"/>
        <w:sz w:val="28"/>
        <w:szCs w:val="28"/>
      </w:rPr>
      <w:t>1</w:t>
    </w:r>
    <w:r>
      <w:rPr>
        <w:rStyle w:val="24"/>
        <w:rFonts w:ascii="宋体" w:hAnsi="宋体"/>
        <w:sz w:val="28"/>
        <w:szCs w:val="28"/>
      </w:rPr>
      <w:fldChar w:fldCharType="end"/>
    </w:r>
    <w:r>
      <w:rPr>
        <w:rStyle w:val="24"/>
        <w:rFonts w:hint="eastAsia" w:ascii="宋体" w:hAnsi="宋体"/>
        <w:sz w:val="28"/>
        <w:szCs w:val="28"/>
      </w:rPr>
      <w:t xml:space="preserve"> </w:t>
    </w:r>
    <w:r>
      <w:rPr>
        <w:rFonts w:hint="eastAsia" w:ascii="宋体" w:hAnsi="宋体"/>
        <w:sz w:val="28"/>
        <w:szCs w:val="28"/>
      </w:rPr>
      <w:t>—</w:t>
    </w:r>
  </w:p>
  <w:p>
    <w:pPr>
      <w:pStyle w:val="13"/>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4"/>
      </w:rPr>
    </w:pPr>
    <w:r>
      <w:rPr>
        <w:rStyle w:val="24"/>
      </w:rPr>
      <w:fldChar w:fldCharType="begin"/>
    </w:r>
    <w:r>
      <w:rPr>
        <w:rStyle w:val="24"/>
      </w:rPr>
      <w:instrText xml:space="preserve">PAGE  </w:instrText>
    </w:r>
    <w:r>
      <w:rPr>
        <w:rStyle w:val="24"/>
      </w:rPr>
      <w:fldChar w:fldCharType="separate"/>
    </w:r>
    <w:r>
      <w:rPr>
        <w:rStyle w:val="24"/>
      </w:rPr>
      <w:t>4</w:t>
    </w:r>
    <w:r>
      <w:rPr>
        <w:rStyle w:val="24"/>
      </w:rPr>
      <w:fldChar w:fldCharType="end"/>
    </w:r>
  </w:p>
  <w:p>
    <w:pPr>
      <w:pStyle w:val="13"/>
      <w:ind w:right="360" w:firstLine="360"/>
    </w:pPr>
    <w:r>
      <w:rPr>
        <w:rFonts w:hint="eastAsia" w:ascii="宋体" w:hAnsi="宋体"/>
        <w:sz w:val="28"/>
        <w:szCs w:val="28"/>
      </w:rPr>
      <w: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4"/>
        <w:rFonts w:ascii="宋体" w:hAnsi="宋体"/>
        <w:sz w:val="28"/>
        <w:szCs w:val="28"/>
      </w:rPr>
    </w:pPr>
    <w:r>
      <w:rPr>
        <w:rFonts w:hint="eastAsia" w:ascii="宋体" w:hAnsi="宋体"/>
        <w:sz w:val="28"/>
        <w:szCs w:val="28"/>
      </w:rPr>
      <w:t xml:space="preserve">— </w:t>
    </w:r>
    <w:r>
      <w:rPr>
        <w:rStyle w:val="24"/>
        <w:rFonts w:ascii="宋体" w:hAnsi="宋体"/>
        <w:sz w:val="28"/>
        <w:szCs w:val="28"/>
      </w:rPr>
      <w:fldChar w:fldCharType="begin"/>
    </w:r>
    <w:r>
      <w:rPr>
        <w:rStyle w:val="24"/>
        <w:rFonts w:ascii="宋体" w:hAnsi="宋体"/>
        <w:sz w:val="28"/>
        <w:szCs w:val="28"/>
      </w:rPr>
      <w:instrText xml:space="preserve">PAGE  </w:instrText>
    </w:r>
    <w:r>
      <w:rPr>
        <w:rStyle w:val="24"/>
        <w:rFonts w:ascii="宋体" w:hAnsi="宋体"/>
        <w:sz w:val="28"/>
        <w:szCs w:val="28"/>
      </w:rPr>
      <w:fldChar w:fldCharType="separate"/>
    </w:r>
    <w:r>
      <w:rPr>
        <w:rStyle w:val="24"/>
        <w:rFonts w:ascii="宋体" w:hAnsi="宋体"/>
        <w:sz w:val="28"/>
        <w:szCs w:val="28"/>
      </w:rPr>
      <w:t>I</w:t>
    </w:r>
    <w:r>
      <w:rPr>
        <w:rStyle w:val="24"/>
        <w:rFonts w:ascii="宋体" w:hAnsi="宋体"/>
        <w:sz w:val="28"/>
        <w:szCs w:val="28"/>
      </w:rPr>
      <w:fldChar w:fldCharType="end"/>
    </w:r>
    <w:r>
      <w:rPr>
        <w:rStyle w:val="24"/>
        <w:rFonts w:hint="eastAsia" w:ascii="宋体" w:hAnsi="宋体"/>
        <w:sz w:val="28"/>
        <w:szCs w:val="28"/>
      </w:rPr>
      <w:t xml:space="preserve"> </w:t>
    </w:r>
    <w:r>
      <w:rPr>
        <w:rFonts w:hint="eastAsia" w:ascii="宋体" w:hAnsi="宋体"/>
        <w:sz w:val="28"/>
        <w:szCs w:val="28"/>
      </w:rPr>
      <w:t>—</w:t>
    </w:r>
  </w:p>
  <w:p>
    <w:pPr>
      <w:pStyle w:val="13"/>
      <w:ind w:right="360" w:firstLine="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4"/>
        <w:rFonts w:ascii="宋体" w:hAnsi="宋体"/>
        <w:sz w:val="28"/>
        <w:szCs w:val="28"/>
      </w:rPr>
    </w:pPr>
    <w:r>
      <w:rPr>
        <w:rFonts w:hint="eastAsia" w:ascii="宋体" w:hAnsi="宋体"/>
        <w:sz w:val="28"/>
        <w:szCs w:val="28"/>
      </w:rPr>
      <w:t xml:space="preserve">— </w:t>
    </w:r>
    <w:r>
      <w:rPr>
        <w:rStyle w:val="24"/>
        <w:rFonts w:ascii="宋体" w:hAnsi="宋体"/>
        <w:sz w:val="28"/>
        <w:szCs w:val="28"/>
      </w:rPr>
      <w:fldChar w:fldCharType="begin"/>
    </w:r>
    <w:r>
      <w:rPr>
        <w:rStyle w:val="24"/>
        <w:rFonts w:ascii="宋体" w:hAnsi="宋体"/>
        <w:sz w:val="28"/>
        <w:szCs w:val="28"/>
      </w:rPr>
      <w:instrText xml:space="preserve">PAGE  </w:instrText>
    </w:r>
    <w:r>
      <w:rPr>
        <w:rStyle w:val="24"/>
        <w:rFonts w:ascii="宋体" w:hAnsi="宋体"/>
        <w:sz w:val="28"/>
        <w:szCs w:val="28"/>
      </w:rPr>
      <w:fldChar w:fldCharType="separate"/>
    </w:r>
    <w:r>
      <w:rPr>
        <w:rStyle w:val="24"/>
        <w:rFonts w:ascii="宋体" w:hAnsi="宋体"/>
        <w:sz w:val="28"/>
        <w:szCs w:val="28"/>
      </w:rPr>
      <w:t>21</w:t>
    </w:r>
    <w:r>
      <w:rPr>
        <w:rStyle w:val="24"/>
        <w:rFonts w:ascii="宋体" w:hAnsi="宋体"/>
        <w:sz w:val="28"/>
        <w:szCs w:val="28"/>
      </w:rPr>
      <w:fldChar w:fldCharType="end"/>
    </w:r>
    <w:r>
      <w:rPr>
        <w:rStyle w:val="24"/>
        <w:rFonts w:hint="eastAsia" w:ascii="宋体" w:hAnsi="宋体"/>
        <w:sz w:val="28"/>
        <w:szCs w:val="28"/>
      </w:rPr>
      <w:t xml:space="preserve"> </w:t>
    </w:r>
    <w:r>
      <w:rPr>
        <w:rFonts w:hint="eastAsia" w:ascii="宋体" w:hAnsi="宋体"/>
        <w:sz w:val="28"/>
        <w:szCs w:val="28"/>
      </w:rPr>
      <w:t>—</w:t>
    </w:r>
  </w:p>
  <w:p>
    <w:pPr>
      <w:pStyle w:val="13"/>
      <w:ind w:right="360" w:firstLine="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48</w:t>
    </w:r>
    <w:r>
      <w:rPr>
        <w:rStyle w:val="24"/>
      </w:rP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0ODUxZDcxOTA3YzJjZDFkMGYxN2Q2ZmZlMzNhZGIifQ=="/>
  </w:docVars>
  <w:rsids>
    <w:rsidRoot w:val="00D41922"/>
    <w:rsid w:val="000075C0"/>
    <w:rsid w:val="0001393B"/>
    <w:rsid w:val="00020D90"/>
    <w:rsid w:val="00021AD6"/>
    <w:rsid w:val="00022FD3"/>
    <w:rsid w:val="00027299"/>
    <w:rsid w:val="00036373"/>
    <w:rsid w:val="00042208"/>
    <w:rsid w:val="0005199B"/>
    <w:rsid w:val="00056715"/>
    <w:rsid w:val="00061D32"/>
    <w:rsid w:val="000637B1"/>
    <w:rsid w:val="00067757"/>
    <w:rsid w:val="000705AB"/>
    <w:rsid w:val="00072E15"/>
    <w:rsid w:val="000757E4"/>
    <w:rsid w:val="00077787"/>
    <w:rsid w:val="00081BA3"/>
    <w:rsid w:val="0009287A"/>
    <w:rsid w:val="000A0F70"/>
    <w:rsid w:val="000A2D09"/>
    <w:rsid w:val="000A6B5B"/>
    <w:rsid w:val="000C3EBA"/>
    <w:rsid w:val="000F4CF1"/>
    <w:rsid w:val="000F62DC"/>
    <w:rsid w:val="00102508"/>
    <w:rsid w:val="00105CAE"/>
    <w:rsid w:val="00106839"/>
    <w:rsid w:val="001072AF"/>
    <w:rsid w:val="00114342"/>
    <w:rsid w:val="00126208"/>
    <w:rsid w:val="00126431"/>
    <w:rsid w:val="001334E6"/>
    <w:rsid w:val="00163AA3"/>
    <w:rsid w:val="00164D8D"/>
    <w:rsid w:val="00175F2C"/>
    <w:rsid w:val="001872CD"/>
    <w:rsid w:val="00196CD3"/>
    <w:rsid w:val="001A18E0"/>
    <w:rsid w:val="001B6E8E"/>
    <w:rsid w:val="001C066B"/>
    <w:rsid w:val="001C1305"/>
    <w:rsid w:val="001C2A82"/>
    <w:rsid w:val="001C79CA"/>
    <w:rsid w:val="001E68C3"/>
    <w:rsid w:val="002010B2"/>
    <w:rsid w:val="00202329"/>
    <w:rsid w:val="0020564C"/>
    <w:rsid w:val="0021430F"/>
    <w:rsid w:val="002155BA"/>
    <w:rsid w:val="00231AEC"/>
    <w:rsid w:val="00237528"/>
    <w:rsid w:val="00247071"/>
    <w:rsid w:val="00247D44"/>
    <w:rsid w:val="00251381"/>
    <w:rsid w:val="00251E6C"/>
    <w:rsid w:val="00256ADC"/>
    <w:rsid w:val="00260EEF"/>
    <w:rsid w:val="00261147"/>
    <w:rsid w:val="0026274F"/>
    <w:rsid w:val="002653B1"/>
    <w:rsid w:val="002656AC"/>
    <w:rsid w:val="002720EF"/>
    <w:rsid w:val="00280CD8"/>
    <w:rsid w:val="00291B35"/>
    <w:rsid w:val="00297118"/>
    <w:rsid w:val="002A2D46"/>
    <w:rsid w:val="002A3BFE"/>
    <w:rsid w:val="002A5498"/>
    <w:rsid w:val="002A5FA6"/>
    <w:rsid w:val="002B7815"/>
    <w:rsid w:val="002D1437"/>
    <w:rsid w:val="002E05CF"/>
    <w:rsid w:val="002E56BA"/>
    <w:rsid w:val="002E6795"/>
    <w:rsid w:val="002F46EC"/>
    <w:rsid w:val="002F5EC1"/>
    <w:rsid w:val="003075B9"/>
    <w:rsid w:val="00311A30"/>
    <w:rsid w:val="00311C42"/>
    <w:rsid w:val="00325B95"/>
    <w:rsid w:val="003273B6"/>
    <w:rsid w:val="00330CC7"/>
    <w:rsid w:val="00332408"/>
    <w:rsid w:val="0033394A"/>
    <w:rsid w:val="00345974"/>
    <w:rsid w:val="00345F57"/>
    <w:rsid w:val="003476BA"/>
    <w:rsid w:val="00352622"/>
    <w:rsid w:val="00371096"/>
    <w:rsid w:val="00371ACC"/>
    <w:rsid w:val="00376C8F"/>
    <w:rsid w:val="00381CDE"/>
    <w:rsid w:val="00386992"/>
    <w:rsid w:val="0038705B"/>
    <w:rsid w:val="003A0B2C"/>
    <w:rsid w:val="003A69FF"/>
    <w:rsid w:val="003B13A2"/>
    <w:rsid w:val="003F00CC"/>
    <w:rsid w:val="003F5529"/>
    <w:rsid w:val="003F7A0F"/>
    <w:rsid w:val="003F7C7E"/>
    <w:rsid w:val="00402511"/>
    <w:rsid w:val="00402B00"/>
    <w:rsid w:val="004118BE"/>
    <w:rsid w:val="00411FEF"/>
    <w:rsid w:val="00412BF0"/>
    <w:rsid w:val="00412DCC"/>
    <w:rsid w:val="00416639"/>
    <w:rsid w:val="00420875"/>
    <w:rsid w:val="00440178"/>
    <w:rsid w:val="004439AF"/>
    <w:rsid w:val="00450543"/>
    <w:rsid w:val="00452EBB"/>
    <w:rsid w:val="004622F8"/>
    <w:rsid w:val="00463CF9"/>
    <w:rsid w:val="00467B86"/>
    <w:rsid w:val="00472404"/>
    <w:rsid w:val="00472B66"/>
    <w:rsid w:val="004744BB"/>
    <w:rsid w:val="00477DC1"/>
    <w:rsid w:val="00480283"/>
    <w:rsid w:val="004803E5"/>
    <w:rsid w:val="00480859"/>
    <w:rsid w:val="004A63B4"/>
    <w:rsid w:val="004B55AE"/>
    <w:rsid w:val="004C3BA7"/>
    <w:rsid w:val="004C6EE7"/>
    <w:rsid w:val="004D4EE7"/>
    <w:rsid w:val="004D57FD"/>
    <w:rsid w:val="004D7D7F"/>
    <w:rsid w:val="004E4B97"/>
    <w:rsid w:val="004E5980"/>
    <w:rsid w:val="004F409A"/>
    <w:rsid w:val="00513F1B"/>
    <w:rsid w:val="005156E1"/>
    <w:rsid w:val="00520B6E"/>
    <w:rsid w:val="0054045A"/>
    <w:rsid w:val="00541199"/>
    <w:rsid w:val="00563B3B"/>
    <w:rsid w:val="00574649"/>
    <w:rsid w:val="00593F6C"/>
    <w:rsid w:val="005A335B"/>
    <w:rsid w:val="005A3BCB"/>
    <w:rsid w:val="005B3242"/>
    <w:rsid w:val="005B48E9"/>
    <w:rsid w:val="005C4F43"/>
    <w:rsid w:val="005D168F"/>
    <w:rsid w:val="005D371B"/>
    <w:rsid w:val="005D5BA3"/>
    <w:rsid w:val="005E7D53"/>
    <w:rsid w:val="005F0443"/>
    <w:rsid w:val="00625340"/>
    <w:rsid w:val="00625F5B"/>
    <w:rsid w:val="00626C0F"/>
    <w:rsid w:val="00627AE9"/>
    <w:rsid w:val="00630C82"/>
    <w:rsid w:val="006406FD"/>
    <w:rsid w:val="006416FA"/>
    <w:rsid w:val="0066208A"/>
    <w:rsid w:val="00680301"/>
    <w:rsid w:val="006818FA"/>
    <w:rsid w:val="006826E2"/>
    <w:rsid w:val="00683233"/>
    <w:rsid w:val="006842E9"/>
    <w:rsid w:val="0068544D"/>
    <w:rsid w:val="00686F95"/>
    <w:rsid w:val="00690F99"/>
    <w:rsid w:val="0069173F"/>
    <w:rsid w:val="00696869"/>
    <w:rsid w:val="006B183C"/>
    <w:rsid w:val="006E2D38"/>
    <w:rsid w:val="006E2FC0"/>
    <w:rsid w:val="006E473B"/>
    <w:rsid w:val="006E4A50"/>
    <w:rsid w:val="006F1A87"/>
    <w:rsid w:val="006F3648"/>
    <w:rsid w:val="00702088"/>
    <w:rsid w:val="007208AC"/>
    <w:rsid w:val="00720EC7"/>
    <w:rsid w:val="00721F49"/>
    <w:rsid w:val="0073473B"/>
    <w:rsid w:val="007371A6"/>
    <w:rsid w:val="0073783C"/>
    <w:rsid w:val="0074554C"/>
    <w:rsid w:val="0074678A"/>
    <w:rsid w:val="00762568"/>
    <w:rsid w:val="00781A79"/>
    <w:rsid w:val="007920BE"/>
    <w:rsid w:val="007B1DDB"/>
    <w:rsid w:val="007B2493"/>
    <w:rsid w:val="007C1EA2"/>
    <w:rsid w:val="007F1F53"/>
    <w:rsid w:val="00801645"/>
    <w:rsid w:val="00807BE4"/>
    <w:rsid w:val="008164EC"/>
    <w:rsid w:val="00820E71"/>
    <w:rsid w:val="0082626D"/>
    <w:rsid w:val="00842684"/>
    <w:rsid w:val="0085392D"/>
    <w:rsid w:val="00855C54"/>
    <w:rsid w:val="008606D3"/>
    <w:rsid w:val="00864E56"/>
    <w:rsid w:val="00865D87"/>
    <w:rsid w:val="00871E0C"/>
    <w:rsid w:val="00876A72"/>
    <w:rsid w:val="0087723B"/>
    <w:rsid w:val="00886968"/>
    <w:rsid w:val="00890F8E"/>
    <w:rsid w:val="008A325D"/>
    <w:rsid w:val="008B1236"/>
    <w:rsid w:val="008C2148"/>
    <w:rsid w:val="008C5D75"/>
    <w:rsid w:val="008C74DC"/>
    <w:rsid w:val="008D2462"/>
    <w:rsid w:val="008E3328"/>
    <w:rsid w:val="008F2979"/>
    <w:rsid w:val="008F49DD"/>
    <w:rsid w:val="0090357B"/>
    <w:rsid w:val="009074A4"/>
    <w:rsid w:val="00910A60"/>
    <w:rsid w:val="009256D7"/>
    <w:rsid w:val="00941727"/>
    <w:rsid w:val="009456BD"/>
    <w:rsid w:val="00950716"/>
    <w:rsid w:val="00950C74"/>
    <w:rsid w:val="009543A7"/>
    <w:rsid w:val="00963536"/>
    <w:rsid w:val="0097517E"/>
    <w:rsid w:val="009755E3"/>
    <w:rsid w:val="00994D48"/>
    <w:rsid w:val="009A0553"/>
    <w:rsid w:val="009A3F5A"/>
    <w:rsid w:val="009A5290"/>
    <w:rsid w:val="009B575E"/>
    <w:rsid w:val="009C5C2A"/>
    <w:rsid w:val="009D162C"/>
    <w:rsid w:val="009E1315"/>
    <w:rsid w:val="009F4CE6"/>
    <w:rsid w:val="009F72D3"/>
    <w:rsid w:val="00A0465B"/>
    <w:rsid w:val="00A075F1"/>
    <w:rsid w:val="00A10670"/>
    <w:rsid w:val="00A112A7"/>
    <w:rsid w:val="00A145D2"/>
    <w:rsid w:val="00A159D2"/>
    <w:rsid w:val="00A21FEB"/>
    <w:rsid w:val="00A22F16"/>
    <w:rsid w:val="00A311B8"/>
    <w:rsid w:val="00A355EC"/>
    <w:rsid w:val="00A401CB"/>
    <w:rsid w:val="00A42F72"/>
    <w:rsid w:val="00A53091"/>
    <w:rsid w:val="00A54B6B"/>
    <w:rsid w:val="00A65B46"/>
    <w:rsid w:val="00A80459"/>
    <w:rsid w:val="00A8307F"/>
    <w:rsid w:val="00A83F8E"/>
    <w:rsid w:val="00A8684D"/>
    <w:rsid w:val="00AA6177"/>
    <w:rsid w:val="00AB49DB"/>
    <w:rsid w:val="00AC06BC"/>
    <w:rsid w:val="00AC10A7"/>
    <w:rsid w:val="00AC5F01"/>
    <w:rsid w:val="00AC7359"/>
    <w:rsid w:val="00AD611F"/>
    <w:rsid w:val="00AD7702"/>
    <w:rsid w:val="00AE14AD"/>
    <w:rsid w:val="00AE7C32"/>
    <w:rsid w:val="00AF1FEF"/>
    <w:rsid w:val="00AF5356"/>
    <w:rsid w:val="00B01F6D"/>
    <w:rsid w:val="00B17A4E"/>
    <w:rsid w:val="00B302B0"/>
    <w:rsid w:val="00B3270E"/>
    <w:rsid w:val="00B40F73"/>
    <w:rsid w:val="00B579FA"/>
    <w:rsid w:val="00B651D6"/>
    <w:rsid w:val="00B97513"/>
    <w:rsid w:val="00BA06BC"/>
    <w:rsid w:val="00BB0FD1"/>
    <w:rsid w:val="00BC0AAE"/>
    <w:rsid w:val="00BD0449"/>
    <w:rsid w:val="00BD3AD0"/>
    <w:rsid w:val="00BE55AF"/>
    <w:rsid w:val="00BF1BAF"/>
    <w:rsid w:val="00BF5FCA"/>
    <w:rsid w:val="00C00A36"/>
    <w:rsid w:val="00C016DA"/>
    <w:rsid w:val="00C021CF"/>
    <w:rsid w:val="00C04661"/>
    <w:rsid w:val="00C115D0"/>
    <w:rsid w:val="00C154FF"/>
    <w:rsid w:val="00C241A4"/>
    <w:rsid w:val="00C244B0"/>
    <w:rsid w:val="00C521D2"/>
    <w:rsid w:val="00C71ED9"/>
    <w:rsid w:val="00C80111"/>
    <w:rsid w:val="00C81D64"/>
    <w:rsid w:val="00CA1B83"/>
    <w:rsid w:val="00CA3218"/>
    <w:rsid w:val="00CA39F2"/>
    <w:rsid w:val="00CA76F5"/>
    <w:rsid w:val="00CB03D8"/>
    <w:rsid w:val="00CC6A14"/>
    <w:rsid w:val="00CC7670"/>
    <w:rsid w:val="00CD1494"/>
    <w:rsid w:val="00CE3511"/>
    <w:rsid w:val="00D00A70"/>
    <w:rsid w:val="00D039B5"/>
    <w:rsid w:val="00D30698"/>
    <w:rsid w:val="00D30DA3"/>
    <w:rsid w:val="00D33281"/>
    <w:rsid w:val="00D40863"/>
    <w:rsid w:val="00D41922"/>
    <w:rsid w:val="00D42A0A"/>
    <w:rsid w:val="00D44458"/>
    <w:rsid w:val="00D4536B"/>
    <w:rsid w:val="00D46AB7"/>
    <w:rsid w:val="00D514E3"/>
    <w:rsid w:val="00D53761"/>
    <w:rsid w:val="00D5661D"/>
    <w:rsid w:val="00D57433"/>
    <w:rsid w:val="00D74D52"/>
    <w:rsid w:val="00D768BF"/>
    <w:rsid w:val="00D821FB"/>
    <w:rsid w:val="00D91839"/>
    <w:rsid w:val="00D93C6F"/>
    <w:rsid w:val="00D95A1F"/>
    <w:rsid w:val="00DA1F4B"/>
    <w:rsid w:val="00DB0A5B"/>
    <w:rsid w:val="00DC37D2"/>
    <w:rsid w:val="00DD719D"/>
    <w:rsid w:val="00E04A51"/>
    <w:rsid w:val="00E30854"/>
    <w:rsid w:val="00E34A66"/>
    <w:rsid w:val="00E36E56"/>
    <w:rsid w:val="00E40C75"/>
    <w:rsid w:val="00E4208B"/>
    <w:rsid w:val="00E46930"/>
    <w:rsid w:val="00E60088"/>
    <w:rsid w:val="00E603DC"/>
    <w:rsid w:val="00E63CB7"/>
    <w:rsid w:val="00E7719E"/>
    <w:rsid w:val="00E817EC"/>
    <w:rsid w:val="00E875A0"/>
    <w:rsid w:val="00E90DF6"/>
    <w:rsid w:val="00E9666B"/>
    <w:rsid w:val="00E97A4D"/>
    <w:rsid w:val="00EA00B6"/>
    <w:rsid w:val="00EA1778"/>
    <w:rsid w:val="00EA23FE"/>
    <w:rsid w:val="00EA4DC2"/>
    <w:rsid w:val="00EB781A"/>
    <w:rsid w:val="00EC17B3"/>
    <w:rsid w:val="00EC3EC9"/>
    <w:rsid w:val="00EC657D"/>
    <w:rsid w:val="00EC7297"/>
    <w:rsid w:val="00ED2981"/>
    <w:rsid w:val="00ED66E0"/>
    <w:rsid w:val="00EE0395"/>
    <w:rsid w:val="00EE5D7F"/>
    <w:rsid w:val="00EF2DAC"/>
    <w:rsid w:val="00EF6C9A"/>
    <w:rsid w:val="00F575B3"/>
    <w:rsid w:val="00F67551"/>
    <w:rsid w:val="00F808DB"/>
    <w:rsid w:val="00F82AB4"/>
    <w:rsid w:val="00F87334"/>
    <w:rsid w:val="00F9164A"/>
    <w:rsid w:val="00F91B75"/>
    <w:rsid w:val="00F95F5C"/>
    <w:rsid w:val="00FA23E8"/>
    <w:rsid w:val="00FA7643"/>
    <w:rsid w:val="00FB76CB"/>
    <w:rsid w:val="00FC159E"/>
    <w:rsid w:val="00FC44C0"/>
    <w:rsid w:val="00FC5E32"/>
    <w:rsid w:val="00FD48BE"/>
    <w:rsid w:val="00FD4F1F"/>
    <w:rsid w:val="00FE52C2"/>
    <w:rsid w:val="016D6AC7"/>
    <w:rsid w:val="02AA4C69"/>
    <w:rsid w:val="03394EB3"/>
    <w:rsid w:val="042F3D71"/>
    <w:rsid w:val="04344719"/>
    <w:rsid w:val="04F41EFB"/>
    <w:rsid w:val="050669E0"/>
    <w:rsid w:val="051E00C0"/>
    <w:rsid w:val="054D10C0"/>
    <w:rsid w:val="054F6573"/>
    <w:rsid w:val="05A15EB1"/>
    <w:rsid w:val="063B5A07"/>
    <w:rsid w:val="067B053D"/>
    <w:rsid w:val="069C2099"/>
    <w:rsid w:val="06F00351"/>
    <w:rsid w:val="070C52E9"/>
    <w:rsid w:val="070F2CCF"/>
    <w:rsid w:val="07936324"/>
    <w:rsid w:val="07BD19DE"/>
    <w:rsid w:val="095C0966"/>
    <w:rsid w:val="0A537982"/>
    <w:rsid w:val="0AF5240C"/>
    <w:rsid w:val="0B1D5F68"/>
    <w:rsid w:val="0C1D705A"/>
    <w:rsid w:val="0C2F32F7"/>
    <w:rsid w:val="0C4504FE"/>
    <w:rsid w:val="0C926348"/>
    <w:rsid w:val="0D073636"/>
    <w:rsid w:val="0D0F3C61"/>
    <w:rsid w:val="0DAA445A"/>
    <w:rsid w:val="0E190D9D"/>
    <w:rsid w:val="0E393E81"/>
    <w:rsid w:val="0E632100"/>
    <w:rsid w:val="0F0E6BE9"/>
    <w:rsid w:val="108F3119"/>
    <w:rsid w:val="11263D85"/>
    <w:rsid w:val="11E06D23"/>
    <w:rsid w:val="128000BC"/>
    <w:rsid w:val="12894641"/>
    <w:rsid w:val="12C919BD"/>
    <w:rsid w:val="13805608"/>
    <w:rsid w:val="13983ACF"/>
    <w:rsid w:val="13AE6A04"/>
    <w:rsid w:val="13CD72B1"/>
    <w:rsid w:val="144D76CA"/>
    <w:rsid w:val="14506108"/>
    <w:rsid w:val="145A1E9B"/>
    <w:rsid w:val="151B4FA1"/>
    <w:rsid w:val="155A333B"/>
    <w:rsid w:val="15E24C6B"/>
    <w:rsid w:val="162A45BC"/>
    <w:rsid w:val="162C539E"/>
    <w:rsid w:val="16493E28"/>
    <w:rsid w:val="16DA01E3"/>
    <w:rsid w:val="194E63A3"/>
    <w:rsid w:val="1986473D"/>
    <w:rsid w:val="1A3E60ED"/>
    <w:rsid w:val="1ACD0431"/>
    <w:rsid w:val="1C08512E"/>
    <w:rsid w:val="1C381D54"/>
    <w:rsid w:val="1C7D1845"/>
    <w:rsid w:val="1CD06E8C"/>
    <w:rsid w:val="1CDF6673"/>
    <w:rsid w:val="1D13391F"/>
    <w:rsid w:val="1D2D55AC"/>
    <w:rsid w:val="1DCF24C8"/>
    <w:rsid w:val="1DFD08AC"/>
    <w:rsid w:val="1F4B3D4D"/>
    <w:rsid w:val="1F864983"/>
    <w:rsid w:val="1F9124B8"/>
    <w:rsid w:val="1FDA24EF"/>
    <w:rsid w:val="219F5050"/>
    <w:rsid w:val="22033A04"/>
    <w:rsid w:val="221567E1"/>
    <w:rsid w:val="22D64F57"/>
    <w:rsid w:val="24813CB4"/>
    <w:rsid w:val="24EA3E07"/>
    <w:rsid w:val="25162C7E"/>
    <w:rsid w:val="25DD5A7B"/>
    <w:rsid w:val="260D7EBE"/>
    <w:rsid w:val="26BB1EFF"/>
    <w:rsid w:val="26D94133"/>
    <w:rsid w:val="27360ABF"/>
    <w:rsid w:val="27502BDA"/>
    <w:rsid w:val="28F47B14"/>
    <w:rsid w:val="292D547F"/>
    <w:rsid w:val="2AB02331"/>
    <w:rsid w:val="2B9E31B4"/>
    <w:rsid w:val="2BA6355A"/>
    <w:rsid w:val="2D42703F"/>
    <w:rsid w:val="2D8E7FF6"/>
    <w:rsid w:val="2E15549E"/>
    <w:rsid w:val="2E5178E7"/>
    <w:rsid w:val="2F683B17"/>
    <w:rsid w:val="2F765C10"/>
    <w:rsid w:val="2FD512E5"/>
    <w:rsid w:val="304D300C"/>
    <w:rsid w:val="30863A54"/>
    <w:rsid w:val="30AB5E90"/>
    <w:rsid w:val="30E60BA2"/>
    <w:rsid w:val="311A717C"/>
    <w:rsid w:val="31D905F0"/>
    <w:rsid w:val="323231BD"/>
    <w:rsid w:val="32704FB7"/>
    <w:rsid w:val="33192CF9"/>
    <w:rsid w:val="33686DEF"/>
    <w:rsid w:val="34833670"/>
    <w:rsid w:val="34BF61DE"/>
    <w:rsid w:val="34DB1769"/>
    <w:rsid w:val="35C1013F"/>
    <w:rsid w:val="36196EB0"/>
    <w:rsid w:val="369C1C78"/>
    <w:rsid w:val="36AC67CC"/>
    <w:rsid w:val="36CF36EE"/>
    <w:rsid w:val="36D31B39"/>
    <w:rsid w:val="372A5D71"/>
    <w:rsid w:val="37B100F9"/>
    <w:rsid w:val="37E31824"/>
    <w:rsid w:val="38AB4E5E"/>
    <w:rsid w:val="393E3913"/>
    <w:rsid w:val="39502C84"/>
    <w:rsid w:val="396A37ED"/>
    <w:rsid w:val="3B1C4C5E"/>
    <w:rsid w:val="3B240455"/>
    <w:rsid w:val="3B5750E9"/>
    <w:rsid w:val="3C590CA2"/>
    <w:rsid w:val="3C975967"/>
    <w:rsid w:val="3CEB207E"/>
    <w:rsid w:val="3D530794"/>
    <w:rsid w:val="3E056E8B"/>
    <w:rsid w:val="3E572D96"/>
    <w:rsid w:val="3EC93921"/>
    <w:rsid w:val="3ED553F2"/>
    <w:rsid w:val="3EFC5F2F"/>
    <w:rsid w:val="3F075A25"/>
    <w:rsid w:val="3F87138C"/>
    <w:rsid w:val="3F8A0ABD"/>
    <w:rsid w:val="3FFA0DC4"/>
    <w:rsid w:val="41326E0A"/>
    <w:rsid w:val="41344930"/>
    <w:rsid w:val="42716FE2"/>
    <w:rsid w:val="431F5686"/>
    <w:rsid w:val="4353384C"/>
    <w:rsid w:val="44C244D0"/>
    <w:rsid w:val="454B58B2"/>
    <w:rsid w:val="457F30CA"/>
    <w:rsid w:val="45915ACE"/>
    <w:rsid w:val="45D546F5"/>
    <w:rsid w:val="45DB61A8"/>
    <w:rsid w:val="4613275B"/>
    <w:rsid w:val="4708766B"/>
    <w:rsid w:val="47322844"/>
    <w:rsid w:val="47825790"/>
    <w:rsid w:val="47A77833"/>
    <w:rsid w:val="483B21CF"/>
    <w:rsid w:val="489D265A"/>
    <w:rsid w:val="48A731F2"/>
    <w:rsid w:val="48B73DF5"/>
    <w:rsid w:val="491F3047"/>
    <w:rsid w:val="492C262A"/>
    <w:rsid w:val="496A15A3"/>
    <w:rsid w:val="49A5461D"/>
    <w:rsid w:val="49D80B80"/>
    <w:rsid w:val="4A413C1A"/>
    <w:rsid w:val="4A597265"/>
    <w:rsid w:val="4A6B345D"/>
    <w:rsid w:val="4A997350"/>
    <w:rsid w:val="4C7A2DE0"/>
    <w:rsid w:val="4C9B2BDF"/>
    <w:rsid w:val="4D3E0CEA"/>
    <w:rsid w:val="4E8A5B90"/>
    <w:rsid w:val="4E915068"/>
    <w:rsid w:val="502A74BB"/>
    <w:rsid w:val="51A91CBA"/>
    <w:rsid w:val="51A927D1"/>
    <w:rsid w:val="51B25F1C"/>
    <w:rsid w:val="52C72783"/>
    <w:rsid w:val="53154344"/>
    <w:rsid w:val="533C051F"/>
    <w:rsid w:val="54324D30"/>
    <w:rsid w:val="54413B33"/>
    <w:rsid w:val="552B03E2"/>
    <w:rsid w:val="554845D1"/>
    <w:rsid w:val="55FA2466"/>
    <w:rsid w:val="57451791"/>
    <w:rsid w:val="57633361"/>
    <w:rsid w:val="577708FE"/>
    <w:rsid w:val="57D875CA"/>
    <w:rsid w:val="58514404"/>
    <w:rsid w:val="58935D6D"/>
    <w:rsid w:val="589A6800"/>
    <w:rsid w:val="58EE5D21"/>
    <w:rsid w:val="5A9834E9"/>
    <w:rsid w:val="5C122358"/>
    <w:rsid w:val="5D342320"/>
    <w:rsid w:val="5D6B7028"/>
    <w:rsid w:val="5F1D40E4"/>
    <w:rsid w:val="5FAF77F6"/>
    <w:rsid w:val="5FD30F4F"/>
    <w:rsid w:val="5FDF1B93"/>
    <w:rsid w:val="5FE54BBF"/>
    <w:rsid w:val="60200932"/>
    <w:rsid w:val="60977459"/>
    <w:rsid w:val="609805E0"/>
    <w:rsid w:val="60BB484B"/>
    <w:rsid w:val="60D4713E"/>
    <w:rsid w:val="615877B6"/>
    <w:rsid w:val="61EE59B2"/>
    <w:rsid w:val="62E33669"/>
    <w:rsid w:val="6352420A"/>
    <w:rsid w:val="64241637"/>
    <w:rsid w:val="646A7E3C"/>
    <w:rsid w:val="64C907A4"/>
    <w:rsid w:val="64D836A1"/>
    <w:rsid w:val="64E43618"/>
    <w:rsid w:val="651C2736"/>
    <w:rsid w:val="66F8656B"/>
    <w:rsid w:val="671E07B6"/>
    <w:rsid w:val="67471FF1"/>
    <w:rsid w:val="67474B9A"/>
    <w:rsid w:val="68B0655E"/>
    <w:rsid w:val="68B96C2A"/>
    <w:rsid w:val="68D31724"/>
    <w:rsid w:val="6A994FA2"/>
    <w:rsid w:val="6AAB0BE2"/>
    <w:rsid w:val="6B86404B"/>
    <w:rsid w:val="6BDF6723"/>
    <w:rsid w:val="6C194C1B"/>
    <w:rsid w:val="6CFE7A1D"/>
    <w:rsid w:val="6F990034"/>
    <w:rsid w:val="700A6189"/>
    <w:rsid w:val="706E2E81"/>
    <w:rsid w:val="70A12DDE"/>
    <w:rsid w:val="718864E5"/>
    <w:rsid w:val="7452064E"/>
    <w:rsid w:val="74661103"/>
    <w:rsid w:val="74E5368D"/>
    <w:rsid w:val="752C7A19"/>
    <w:rsid w:val="76936076"/>
    <w:rsid w:val="76F06FA0"/>
    <w:rsid w:val="76F664B8"/>
    <w:rsid w:val="77E50138"/>
    <w:rsid w:val="78315D2B"/>
    <w:rsid w:val="795A5FDB"/>
    <w:rsid w:val="79A5388C"/>
    <w:rsid w:val="79E846D8"/>
    <w:rsid w:val="7A026427"/>
    <w:rsid w:val="7A3B755D"/>
    <w:rsid w:val="7A594030"/>
    <w:rsid w:val="7AA94E29"/>
    <w:rsid w:val="7B414D16"/>
    <w:rsid w:val="7B4B0E3E"/>
    <w:rsid w:val="7B602168"/>
    <w:rsid w:val="7BD5696D"/>
    <w:rsid w:val="7C211032"/>
    <w:rsid w:val="7C333FF5"/>
    <w:rsid w:val="7C3C0057"/>
    <w:rsid w:val="7C750B8A"/>
    <w:rsid w:val="7C9467C0"/>
    <w:rsid w:val="7C9A2D47"/>
    <w:rsid w:val="7E33504C"/>
    <w:rsid w:val="7E5A6286"/>
    <w:rsid w:val="7E7E035E"/>
    <w:rsid w:val="7EA016D8"/>
    <w:rsid w:val="7F3D0432"/>
    <w:rsid w:val="7FF30C63"/>
    <w:rsid w:val="7FF432CF"/>
    <w:rsid w:val="DF2511EA"/>
    <w:rsid w:val="FEF4E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Times New Roman" w:hAnsi="Times New Roman" w:eastAsia="黑体"/>
      <w:b/>
      <w:sz w:val="32"/>
    </w:rPr>
  </w:style>
  <w:style w:type="paragraph" w:styleId="6">
    <w:name w:val="heading 3"/>
    <w:basedOn w:val="1"/>
    <w:next w:val="1"/>
    <w:qFormat/>
    <w:uiPriority w:val="0"/>
    <w:pPr>
      <w:keepNext/>
      <w:keepLines/>
      <w:spacing w:before="260" w:after="260" w:line="415" w:lineRule="auto"/>
      <w:outlineLvl w:val="2"/>
    </w:pPr>
    <w:rPr>
      <w:b/>
      <w:sz w:val="32"/>
    </w:rPr>
  </w:style>
  <w:style w:type="paragraph" w:styleId="7">
    <w:name w:val="heading 9"/>
    <w:basedOn w:val="1"/>
    <w:next w:val="1"/>
    <w:qFormat/>
    <w:uiPriority w:val="0"/>
    <w:pPr>
      <w:keepNext/>
      <w:keepLines/>
      <w:spacing w:before="240" w:after="64" w:line="319" w:lineRule="auto"/>
      <w:outlineLvl w:val="8"/>
    </w:pPr>
    <w:rPr>
      <w:rFonts w:ascii="Calibri Light" w:hAnsi="Calibri Light" w:cs="Times New Roman"/>
      <w:szCs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100" w:firstLineChars="100"/>
    </w:pPr>
  </w:style>
  <w:style w:type="paragraph" w:styleId="3">
    <w:name w:val="Body Text"/>
    <w:basedOn w:val="1"/>
    <w:next w:val="1"/>
    <w:qFormat/>
    <w:uiPriority w:val="0"/>
    <w:rPr>
      <w:rFonts w:ascii="宋体" w:cs="宋体"/>
      <w:sz w:val="32"/>
      <w:szCs w:val="32"/>
    </w:rPr>
  </w:style>
  <w:style w:type="paragraph" w:styleId="8">
    <w:name w:val="table of authorities"/>
    <w:basedOn w:val="1"/>
    <w:next w:val="1"/>
    <w:qFormat/>
    <w:uiPriority w:val="99"/>
    <w:pPr>
      <w:ind w:left="420" w:leftChars="200"/>
    </w:pPr>
    <w:rPr>
      <w:rFonts w:cs="Times New Roman"/>
    </w:rPr>
  </w:style>
  <w:style w:type="paragraph" w:styleId="9">
    <w:name w:val="annotation text"/>
    <w:basedOn w:val="1"/>
    <w:qFormat/>
    <w:uiPriority w:val="0"/>
    <w:pPr>
      <w:jc w:val="left"/>
    </w:pPr>
  </w:style>
  <w:style w:type="paragraph" w:styleId="10">
    <w:name w:val="Salutation"/>
    <w:basedOn w:val="1"/>
    <w:next w:val="1"/>
    <w:qFormat/>
    <w:uiPriority w:val="0"/>
    <w:rPr>
      <w:rFonts w:ascii="??" w:hAnsi="??"/>
    </w:rPr>
  </w:style>
  <w:style w:type="paragraph" w:styleId="11">
    <w:name w:val="toc 3"/>
    <w:basedOn w:val="1"/>
    <w:next w:val="1"/>
    <w:qFormat/>
    <w:uiPriority w:val="0"/>
    <w:pPr>
      <w:widowControl/>
      <w:spacing w:after="100" w:line="259" w:lineRule="auto"/>
      <w:ind w:left="440"/>
      <w:jc w:val="left"/>
    </w:pPr>
    <w:rPr>
      <w:rFonts w:cs="Times New Roman"/>
      <w:kern w:val="0"/>
      <w:sz w:val="22"/>
      <w:szCs w:val="22"/>
    </w:rPr>
  </w:style>
  <w:style w:type="paragraph" w:styleId="12">
    <w:name w:val="Balloon Text"/>
    <w:basedOn w:val="1"/>
    <w:qFormat/>
    <w:uiPriority w:val="0"/>
    <w:rPr>
      <w:sz w:val="18"/>
      <w:szCs w:val="18"/>
    </w:rPr>
  </w:style>
  <w:style w:type="paragraph" w:styleId="13">
    <w:name w:val="footer"/>
    <w:basedOn w:val="1"/>
    <w:link w:val="28"/>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320"/>
        <w:tab w:val="right" w:pos="8640"/>
      </w:tabs>
      <w:snapToGrid w:val="0"/>
      <w:jc w:val="center"/>
    </w:pPr>
    <w:rPr>
      <w:sz w:val="18"/>
      <w:szCs w:val="18"/>
    </w:rPr>
  </w:style>
  <w:style w:type="paragraph" w:styleId="15">
    <w:name w:val="toc 1"/>
    <w:basedOn w:val="1"/>
    <w:next w:val="1"/>
    <w:qFormat/>
    <w:uiPriority w:val="39"/>
    <w:rPr>
      <w:szCs w:val="22"/>
    </w:rPr>
  </w:style>
  <w:style w:type="paragraph" w:styleId="16">
    <w:name w:val="table of figures"/>
    <w:basedOn w:val="1"/>
    <w:next w:val="1"/>
    <w:qFormat/>
    <w:uiPriority w:val="0"/>
    <w:pPr>
      <w:ind w:left="400" w:leftChars="200" w:hanging="200" w:hangingChars="200"/>
    </w:pPr>
    <w:rPr>
      <w:rFonts w:ascii="Times New Roman" w:hAnsi="Times New Roman" w:cs="Times New Roman"/>
    </w:rPr>
  </w:style>
  <w:style w:type="paragraph" w:styleId="17">
    <w:name w:val="toc 2"/>
    <w:basedOn w:val="1"/>
    <w:next w:val="1"/>
    <w:qFormat/>
    <w:uiPriority w:val="39"/>
    <w:pPr>
      <w:ind w:left="200" w:leftChars="200"/>
    </w:pPr>
    <w:rPr>
      <w:szCs w:val="22"/>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9">
    <w:name w:val="annotation subject"/>
    <w:basedOn w:val="9"/>
    <w:next w:val="9"/>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0"/>
    <w:rPr>
      <w:b/>
    </w:rPr>
  </w:style>
  <w:style w:type="character" w:styleId="24">
    <w:name w:val="page number"/>
    <w:qFormat/>
    <w:uiPriority w:val="0"/>
  </w:style>
  <w:style w:type="character" w:styleId="25">
    <w:name w:val="Emphasis"/>
    <w:qFormat/>
    <w:uiPriority w:val="0"/>
    <w:rPr>
      <w:i/>
      <w:iCs/>
    </w:rPr>
  </w:style>
  <w:style w:type="character" w:styleId="26">
    <w:name w:val="Hyperlink"/>
    <w:qFormat/>
    <w:uiPriority w:val="99"/>
    <w:rPr>
      <w:color w:val="0563C1"/>
      <w:u w:val="single"/>
    </w:rPr>
  </w:style>
  <w:style w:type="character" w:styleId="27">
    <w:name w:val="annotation reference"/>
    <w:qFormat/>
    <w:uiPriority w:val="0"/>
    <w:rPr>
      <w:sz w:val="21"/>
      <w:szCs w:val="21"/>
    </w:rPr>
  </w:style>
  <w:style w:type="character" w:customStyle="1" w:styleId="28">
    <w:name w:val="页脚 Char"/>
    <w:link w:val="13"/>
    <w:qFormat/>
    <w:uiPriority w:val="99"/>
    <w:rPr>
      <w:rFonts w:ascii="Calibri" w:hAnsi="Calibri" w:cs="Arial"/>
      <w:kern w:val="2"/>
      <w:sz w:val="18"/>
      <w:szCs w:val="18"/>
    </w:rPr>
  </w:style>
  <w:style w:type="paragraph" w:customStyle="1" w:styleId="29">
    <w:name w:val="目录 21"/>
    <w:basedOn w:val="1"/>
    <w:next w:val="1"/>
    <w:qFormat/>
    <w:uiPriority w:val="0"/>
    <w:pPr>
      <w:widowControl/>
      <w:spacing w:line="576" w:lineRule="exact"/>
      <w:ind w:left="280"/>
      <w:jc w:val="left"/>
    </w:pPr>
    <w:rPr>
      <w:rFonts w:ascii="仿宋_GB2312" w:hAnsi="仿宋_GB2312" w:cs="Calibri"/>
      <w:smallCaps/>
      <w:sz w:val="20"/>
      <w:szCs w:val="32"/>
    </w:rPr>
  </w:style>
  <w:style w:type="paragraph" w:customStyle="1" w:styleId="30">
    <w:name w:val="模板"/>
    <w:basedOn w:val="1"/>
    <w:qFormat/>
    <w:uiPriority w:val="0"/>
    <w:pPr>
      <w:spacing w:line="560" w:lineRule="exact"/>
      <w:ind w:firstLine="200" w:firstLineChars="200"/>
    </w:pPr>
    <w:rPr>
      <w:rFonts w:ascii="Times New Roman" w:hAnsi="Times New Roman" w:eastAsia="方正仿宋"/>
      <w:sz w:val="32"/>
    </w:rPr>
  </w:style>
  <w:style w:type="paragraph" w:customStyle="1" w:styleId="31">
    <w:name w:val="列出段落1"/>
    <w:basedOn w:val="1"/>
    <w:qFormat/>
    <w:uiPriority w:val="0"/>
    <w:pPr>
      <w:ind w:firstLine="200" w:firstLineChars="200"/>
    </w:pPr>
  </w:style>
  <w:style w:type="paragraph" w:customStyle="1" w:styleId="32">
    <w:name w:val="Default"/>
    <w:qFormat/>
    <w:uiPriority w:val="0"/>
    <w:pPr>
      <w:widowControl w:val="0"/>
      <w:autoSpaceDE w:val="0"/>
      <w:autoSpaceDN w:val="0"/>
      <w:adjustRightInd w:val="0"/>
    </w:pPr>
    <w:rPr>
      <w:rFonts w:ascii="仿宋" w:hAnsi="Times New Roman" w:eastAsia="仿宋" w:cs="Times New Roman"/>
      <w:color w:val="000000"/>
      <w:sz w:val="24"/>
      <w:lang w:val="en-US" w:eastAsia="zh-CN" w:bidi="ar-SA"/>
    </w:rPr>
  </w:style>
  <w:style w:type="paragraph" w:customStyle="1" w:styleId="33">
    <w:name w:val="table of figures1"/>
    <w:basedOn w:val="1"/>
    <w:next w:val="1"/>
    <w:qFormat/>
    <w:uiPriority w:val="0"/>
    <w:pPr>
      <w:ind w:left="400" w:leftChars="200" w:hanging="200" w:hangingChars="200"/>
    </w:pPr>
  </w:style>
  <w:style w:type="paragraph" w:customStyle="1" w:styleId="34">
    <w:name w:val="正文2"/>
    <w:basedOn w:val="1"/>
    <w:next w:val="1"/>
    <w:qFormat/>
    <w:uiPriority w:val="0"/>
    <w:rPr>
      <w:rFonts w:ascii="Times New Roman" w:hAnsi="Times New Roman" w:cs="Times New Roman"/>
    </w:rPr>
  </w:style>
  <w:style w:type="paragraph" w:customStyle="1" w:styleId="35">
    <w:name w:val="WPSOffice手动目录 1"/>
    <w:qFormat/>
    <w:uiPriority w:val="0"/>
    <w:rPr>
      <w:rFonts w:ascii="Times New Roman" w:hAnsi="Times New Roman" w:eastAsia="宋体" w:cs="Times New Roman"/>
      <w:lang w:val="en-US" w:eastAsia="zh-CN" w:bidi="ar-SA"/>
    </w:rPr>
  </w:style>
  <w:style w:type="paragraph" w:customStyle="1" w:styleId="3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7">
    <w:name w:val="TOC 标题1"/>
    <w:basedOn w:val="4"/>
    <w:next w:val="1"/>
    <w:qFormat/>
    <w:uiPriority w:val="0"/>
    <w:pPr>
      <w:widowControl/>
      <w:spacing w:before="240" w:after="0" w:line="259" w:lineRule="auto"/>
      <w:jc w:val="left"/>
      <w:outlineLvl w:val="9"/>
    </w:pPr>
    <w:rPr>
      <w:rFonts w:ascii="Calibri Light" w:hAnsi="Calibri Light" w:cs="Times New Roman"/>
      <w:b w:val="0"/>
      <w:bCs w:val="0"/>
      <w:color w:val="2E75B6"/>
      <w:kern w:val="0"/>
      <w:sz w:val="32"/>
      <w:szCs w:val="32"/>
    </w:rPr>
  </w:style>
  <w:style w:type="paragraph" w:customStyle="1" w:styleId="38">
    <w:name w:val="TOC 标题2"/>
    <w:basedOn w:val="4"/>
    <w:next w:val="1"/>
    <w:qFormat/>
    <w:uiPriority w:val="0"/>
    <w:pPr>
      <w:widowControl/>
      <w:spacing w:before="240" w:after="0" w:line="259" w:lineRule="auto"/>
      <w:jc w:val="left"/>
      <w:outlineLvl w:val="9"/>
    </w:pPr>
    <w:rPr>
      <w:rFonts w:ascii="Calibri Light" w:hAnsi="Calibri Light" w:cs="Times New Roman"/>
      <w:b w:val="0"/>
      <w:bCs w:val="0"/>
      <w:color w:val="2E75B6"/>
      <w:kern w:val="0"/>
      <w:sz w:val="32"/>
      <w:szCs w:val="32"/>
    </w:rPr>
  </w:style>
  <w:style w:type="paragraph" w:customStyle="1" w:styleId="39">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0">
    <w:name w:val="修订1"/>
    <w:qFormat/>
    <w:uiPriority w:val="0"/>
    <w:rPr>
      <w:rFonts w:ascii="Calibri" w:hAnsi="Calibri" w:eastAsia="宋体" w:cs="Arial"/>
      <w:kern w:val="2"/>
      <w:sz w:val="21"/>
      <w:szCs w:val="24"/>
      <w:lang w:val="en-US" w:eastAsia="zh-CN" w:bidi="ar-SA"/>
    </w:rPr>
  </w:style>
  <w:style w:type="paragraph" w:customStyle="1" w:styleId="41">
    <w:name w:val="TOC 标题3"/>
    <w:basedOn w:val="4"/>
    <w:next w:val="1"/>
    <w:qFormat/>
    <w:uiPriority w:val="0"/>
    <w:pPr>
      <w:widowControl/>
      <w:spacing w:before="240" w:after="0" w:line="259" w:lineRule="auto"/>
      <w:jc w:val="left"/>
      <w:outlineLvl w:val="9"/>
    </w:pPr>
    <w:rPr>
      <w:rFonts w:ascii="Calibri Light" w:hAnsi="Calibri Light" w:cs="Times New Roman"/>
      <w:b w:val="0"/>
      <w:bCs w:val="0"/>
      <w:color w:val="2E75B6"/>
      <w:kern w:val="0"/>
      <w:sz w:val="32"/>
      <w:szCs w:val="32"/>
    </w:rPr>
  </w:style>
  <w:style w:type="paragraph" w:customStyle="1" w:styleId="42">
    <w:name w:val="修订2"/>
    <w:qFormat/>
    <w:uiPriority w:val="0"/>
    <w:rPr>
      <w:rFonts w:ascii="Calibri" w:hAnsi="Calibri" w:eastAsia="宋体" w:cs="Arial"/>
      <w:kern w:val="2"/>
      <w:sz w:val="21"/>
      <w:szCs w:val="24"/>
      <w:lang w:val="en-US" w:eastAsia="zh-CN" w:bidi="ar-SA"/>
    </w:rPr>
  </w:style>
  <w:style w:type="paragraph" w:customStyle="1" w:styleId="43">
    <w:name w:val="正文文本 (3)"/>
    <w:basedOn w:val="1"/>
    <w:qFormat/>
    <w:uiPriority w:val="0"/>
    <w:pPr>
      <w:shd w:val="clear" w:color="auto" w:fill="FFFFFF"/>
      <w:spacing w:before="1680" w:after="60" w:line="696" w:lineRule="exact"/>
      <w:jc w:val="center"/>
    </w:pPr>
    <w:rPr>
      <w:rFonts w:ascii="宋体" w:cs="宋体"/>
      <w:sz w:val="44"/>
      <w:szCs w:val="44"/>
    </w:rPr>
  </w:style>
  <w:style w:type="paragraph" w:customStyle="1" w:styleId="44">
    <w:name w:val="修订3"/>
    <w:qFormat/>
    <w:uiPriority w:val="0"/>
    <w:rPr>
      <w:rFonts w:ascii="Calibri" w:hAnsi="Calibri" w:eastAsia="宋体" w:cs="Arial"/>
      <w:kern w:val="2"/>
      <w:sz w:val="21"/>
      <w:szCs w:val="24"/>
      <w:lang w:val="en-US" w:eastAsia="zh-CN" w:bidi="ar-SA"/>
    </w:rPr>
  </w:style>
  <w:style w:type="paragraph" w:customStyle="1" w:styleId="45">
    <w:name w:val="修订4"/>
    <w:qFormat/>
    <w:uiPriority w:val="0"/>
    <w:rPr>
      <w:rFonts w:ascii="Calibri" w:hAnsi="Calibri" w:eastAsia="宋体" w:cs="Arial"/>
      <w:kern w:val="2"/>
      <w:sz w:val="21"/>
      <w:szCs w:val="24"/>
      <w:lang w:val="en-US" w:eastAsia="zh-CN" w:bidi="ar-SA"/>
    </w:rPr>
  </w:style>
  <w:style w:type="paragraph" w:customStyle="1" w:styleId="46">
    <w:name w:val="修订5"/>
    <w:qFormat/>
    <w:uiPriority w:val="0"/>
    <w:rPr>
      <w:rFonts w:ascii="Calibri" w:hAnsi="Calibri" w:eastAsia="宋体" w:cs="Arial"/>
      <w:kern w:val="2"/>
      <w:sz w:val="21"/>
      <w:szCs w:val="24"/>
      <w:lang w:val="en-US" w:eastAsia="zh-CN" w:bidi="ar-SA"/>
    </w:rPr>
  </w:style>
  <w:style w:type="paragraph" w:customStyle="1" w:styleId="47">
    <w:name w:val="修订6"/>
    <w:qFormat/>
    <w:uiPriority w:val="0"/>
    <w:rPr>
      <w:rFonts w:ascii="Calibri" w:hAnsi="Calibri" w:eastAsia="宋体" w:cs="Arial"/>
      <w:kern w:val="2"/>
      <w:sz w:val="21"/>
      <w:szCs w:val="24"/>
      <w:lang w:val="en-US" w:eastAsia="zh-CN" w:bidi="ar-SA"/>
    </w:rPr>
  </w:style>
  <w:style w:type="paragraph" w:customStyle="1" w:styleId="48">
    <w:name w:val="Table Paragraph"/>
    <w:basedOn w:val="1"/>
    <w:qFormat/>
    <w:uiPriority w:val="0"/>
  </w:style>
  <w:style w:type="paragraph" w:customStyle="1" w:styleId="49">
    <w:name w:val="样式1"/>
    <w:basedOn w:val="1"/>
    <w:qFormat/>
    <w:uiPriority w:val="0"/>
    <w:rPr>
      <w:rFonts w:ascii="Times New Roman" w:hAnsi="Times New Roman" w:eastAsia="黑体" w:cs="文泉驿微米黑"/>
      <w:b/>
      <w:color w:val="538135"/>
      <w:sz w:val="28"/>
      <w:szCs w:val="21"/>
    </w:rPr>
  </w:style>
  <w:style w:type="paragraph" w:styleId="50">
    <w:name w:val="List Paragraph"/>
    <w:basedOn w:val="1"/>
    <w:unhideWhenUsed/>
    <w:qFormat/>
    <w:uiPriority w:val="99"/>
    <w:pPr>
      <w:ind w:firstLine="420" w:firstLineChars="200"/>
    </w:pPr>
    <w:rPr>
      <w:rFonts w:ascii="Times New Roman" w:hAnsi="Times New Roman" w:cs="Times New Roman"/>
    </w:rPr>
  </w:style>
  <w:style w:type="character" w:customStyle="1" w:styleId="51">
    <w:name w:val="fontstyle11"/>
    <w:basedOn w:val="22"/>
    <w:qFormat/>
    <w:uiPriority w:val="0"/>
    <w:rPr>
      <w:rFonts w:hint="default" w:ascii="仿宋" w:hAnsi="仿宋"/>
      <w:color w:val="000000"/>
      <w:sz w:val="28"/>
      <w:szCs w:val="28"/>
    </w:rPr>
  </w:style>
  <w:style w:type="paragraph" w:customStyle="1" w:styleId="52">
    <w:name w:val="工经所正文"/>
    <w:basedOn w:val="1"/>
    <w:qFormat/>
    <w:uiPriority w:val="0"/>
    <w:pPr>
      <w:spacing w:line="600" w:lineRule="exact"/>
      <w:ind w:firstLine="640" w:firstLineChars="200"/>
    </w:pPr>
    <w:rPr>
      <w:rFonts w:eastAsia="仿宋_GB2312"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26</Pages>
  <Words>14964</Words>
  <Characters>15327</Characters>
  <Lines>123</Lines>
  <Paragraphs>34</Paragraphs>
  <TotalTime>26</TotalTime>
  <ScaleCrop>false</ScaleCrop>
  <LinksUpToDate>false</LinksUpToDate>
  <CharactersWithSpaces>15373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2022-03-25T22:33:00Z</dcterms:created>
  <dc:creator>Guohua</dc:creator>
  <cp:lastModifiedBy>user</cp:lastModifiedBy>
  <cp:lastPrinted>2022-02-18T09:12:00Z</cp:lastPrinted>
  <dcterms:modified xsi:type="dcterms:W3CDTF">2023-07-13T15:41:29Z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6CC4F1701BC8433C9450B36088FE92BE</vt:lpwstr>
  </property>
</Properties>
</file>