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spacing w:line="576" w:lineRule="exact"/>
        <w:ind w:left="0" w:leftChars="0" w:right="0" w:firstLine="720" w:firstLineChars="200"/>
        <w:jc w:val="center"/>
        <w:rPr>
          <w:rFonts w:hint="eastAsia" w:ascii="方正小标宋简体" w:hAnsi="方正小标宋简体" w:eastAsia="方正小标宋简体" w:cs="方正小标宋简体"/>
          <w:b w:val="0"/>
          <w:bCs w:val="0"/>
          <w:color w:val="auto"/>
          <w:kern w:val="0"/>
          <w:sz w:val="36"/>
          <w:szCs w:val="36"/>
          <w:lang w:eastAsia="zh-CN"/>
        </w:rPr>
      </w:pPr>
    </w:p>
    <w:p>
      <w:pPr>
        <w:keepNext w:val="0"/>
        <w:keepLines w:val="0"/>
        <w:pageBreakBefore w:val="0"/>
        <w:widowControl w:val="0"/>
        <w:wordWrap/>
        <w:overflowPunct/>
        <w:topLinePunct w:val="0"/>
        <w:bidi w:val="0"/>
        <w:spacing w:line="576" w:lineRule="exact"/>
        <w:ind w:left="0" w:leftChars="0" w:right="0" w:firstLine="720" w:firstLineChars="200"/>
        <w:jc w:val="center"/>
        <w:rPr>
          <w:rFonts w:hint="eastAsia" w:ascii="方正小标宋简体" w:hAnsi="方正小标宋简体" w:eastAsia="方正小标宋简体" w:cs="方正小标宋简体"/>
          <w:b w:val="0"/>
          <w:bCs w:val="0"/>
          <w:color w:val="auto"/>
          <w:kern w:val="0"/>
          <w:sz w:val="36"/>
          <w:szCs w:val="36"/>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700" w:lineRule="exact"/>
        <w:ind w:right="0"/>
        <w:jc w:val="center"/>
        <w:textAlignment w:val="baseline"/>
        <w:outlineLvl w:val="0"/>
        <w:rPr>
          <w:rFonts w:hint="eastAsia" w:ascii="黑体" w:hAnsi="黑体" w:eastAsia="黑体" w:cs="黑体"/>
          <w:b/>
          <w:bCs/>
          <w:color w:val="auto"/>
          <w:kern w:val="0"/>
          <w:sz w:val="96"/>
          <w:szCs w:val="96"/>
        </w:rPr>
      </w:pPr>
      <w:bookmarkStart w:id="0" w:name="_Toc24645"/>
      <w:bookmarkStart w:id="1" w:name="_Toc28275"/>
      <w:bookmarkStart w:id="2" w:name="_Toc9858"/>
      <w:bookmarkStart w:id="3" w:name="_Toc28540"/>
      <w:bookmarkStart w:id="4" w:name="_Toc17710"/>
      <w:r>
        <w:rPr>
          <w:rFonts w:hint="eastAsia" w:ascii="方正小标宋简体" w:hAnsi="方正小标宋简体" w:eastAsia="方正小标宋简体" w:cs="方正小标宋简体"/>
          <w:b w:val="0"/>
          <w:bCs w:val="0"/>
          <w:color w:val="auto"/>
          <w:kern w:val="0"/>
          <w:sz w:val="52"/>
          <w:szCs w:val="52"/>
          <w:lang w:eastAsia="zh-CN"/>
        </w:rPr>
        <w:t>旺苍</w:t>
      </w:r>
      <w:r>
        <w:rPr>
          <w:rFonts w:hint="eastAsia" w:ascii="方正小标宋简体" w:hAnsi="方正小标宋简体" w:eastAsia="方正小标宋简体" w:cs="方正小标宋简体"/>
          <w:b w:val="0"/>
          <w:bCs w:val="0"/>
          <w:color w:val="auto"/>
          <w:kern w:val="0"/>
          <w:sz w:val="52"/>
          <w:szCs w:val="52"/>
        </w:rPr>
        <w:t>县林业</w:t>
      </w:r>
      <w:r>
        <w:rPr>
          <w:rFonts w:hint="eastAsia" w:ascii="方正小标宋简体" w:hAnsi="方正小标宋简体" w:eastAsia="方正小标宋简体" w:cs="方正小标宋简体"/>
          <w:b w:val="0"/>
          <w:bCs w:val="0"/>
          <w:color w:val="auto"/>
          <w:kern w:val="0"/>
          <w:sz w:val="52"/>
          <w:szCs w:val="52"/>
          <w:lang w:eastAsia="zh-CN"/>
        </w:rPr>
        <w:t>发展</w:t>
      </w:r>
      <w:r>
        <w:rPr>
          <w:rFonts w:hint="eastAsia" w:ascii="方正小标宋简体" w:hAnsi="方正小标宋简体" w:eastAsia="方正小标宋简体" w:cs="方正小标宋简体"/>
          <w:b w:val="0"/>
          <w:bCs w:val="0"/>
          <w:color w:val="auto"/>
          <w:kern w:val="0"/>
          <w:sz w:val="52"/>
          <w:szCs w:val="52"/>
        </w:rPr>
        <w:t>“</w:t>
      </w:r>
      <w:r>
        <w:rPr>
          <w:rFonts w:hint="eastAsia" w:ascii="方正小标宋简体" w:hAnsi="方正小标宋简体" w:eastAsia="方正小标宋简体" w:cs="方正小标宋简体"/>
          <w:b w:val="0"/>
          <w:bCs w:val="0"/>
          <w:color w:val="auto"/>
          <w:kern w:val="0"/>
          <w:sz w:val="52"/>
          <w:szCs w:val="52"/>
          <w:lang w:eastAsia="zh-CN"/>
        </w:rPr>
        <w:t>十四五</w:t>
      </w:r>
      <w:r>
        <w:rPr>
          <w:rFonts w:hint="eastAsia" w:ascii="方正小标宋简体" w:hAnsi="方正小标宋简体" w:eastAsia="方正小标宋简体" w:cs="方正小标宋简体"/>
          <w:b w:val="0"/>
          <w:bCs w:val="0"/>
          <w:color w:val="auto"/>
          <w:kern w:val="0"/>
          <w:sz w:val="52"/>
          <w:szCs w:val="52"/>
        </w:rPr>
        <w:t>”</w:t>
      </w:r>
      <w:bookmarkEnd w:id="0"/>
      <w:bookmarkEnd w:id="1"/>
      <w:bookmarkEnd w:id="2"/>
      <w:bookmarkStart w:id="5" w:name="_Toc28433"/>
      <w:bookmarkStart w:id="6" w:name="_Toc11847"/>
      <w:bookmarkStart w:id="7" w:name="_Toc11747"/>
      <w:r>
        <w:rPr>
          <w:rFonts w:hint="eastAsia" w:ascii="方正小标宋简体" w:hAnsi="方正小标宋简体" w:eastAsia="方正小标宋简体" w:cs="方正小标宋简体"/>
          <w:b w:val="0"/>
          <w:bCs w:val="0"/>
          <w:color w:val="auto"/>
          <w:kern w:val="0"/>
          <w:sz w:val="52"/>
          <w:szCs w:val="52"/>
        </w:rPr>
        <w:t>规划</w:t>
      </w:r>
      <w:bookmarkEnd w:id="3"/>
      <w:bookmarkEnd w:id="4"/>
      <w:bookmarkEnd w:id="5"/>
      <w:bookmarkEnd w:id="6"/>
      <w:bookmarkEnd w:id="7"/>
    </w:p>
    <w:p>
      <w:pPr>
        <w:keepNext w:val="0"/>
        <w:keepLines w:val="0"/>
        <w:pageBreakBefore w:val="0"/>
        <w:widowControl w:val="0"/>
        <w:wordWrap/>
        <w:overflowPunct/>
        <w:topLinePunct w:val="0"/>
        <w:bidi w:val="0"/>
        <w:spacing w:line="576" w:lineRule="exact"/>
        <w:ind w:left="0" w:leftChars="0" w:right="0" w:firstLine="720" w:firstLineChars="200"/>
        <w:jc w:val="center"/>
        <w:rPr>
          <w:rFonts w:hint="eastAsia" w:ascii="方正小标宋简体" w:hAnsi="方正小标宋简体" w:eastAsia="方正小标宋简体" w:cs="方正小标宋简体"/>
          <w:b w:val="0"/>
          <w:bCs w:val="0"/>
          <w:color w:val="auto"/>
          <w:kern w:val="0"/>
          <w:sz w:val="36"/>
          <w:szCs w:val="36"/>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700" w:lineRule="exact"/>
        <w:ind w:right="0"/>
        <w:jc w:val="center"/>
        <w:textAlignment w:val="baseline"/>
        <w:outlineLvl w:val="0"/>
        <w:rPr>
          <w:rFonts w:hint="eastAsia" w:ascii="楷体_GB2312" w:hAnsi="楷体_GB2312" w:eastAsia="楷体_GB2312" w:cs="楷体_GB2312"/>
          <w:b/>
          <w:bCs/>
          <w:color w:val="auto"/>
          <w:kern w:val="0"/>
          <w:sz w:val="36"/>
          <w:szCs w:val="36"/>
          <w:lang w:val="en-US" w:eastAsia="zh-CN"/>
        </w:rPr>
      </w:pPr>
      <w:r>
        <w:rPr>
          <w:rFonts w:hint="eastAsia" w:ascii="楷体_GB2312" w:hAnsi="楷体_GB2312" w:eastAsia="楷体_GB2312" w:cs="楷体_GB2312"/>
          <w:b/>
          <w:bCs/>
          <w:color w:val="auto"/>
          <w:kern w:val="0"/>
          <w:sz w:val="36"/>
          <w:szCs w:val="36"/>
          <w:lang w:val="en-US" w:eastAsia="zh-CN"/>
        </w:rPr>
        <w:t>（征求意见稿）</w:t>
      </w:r>
    </w:p>
    <w:p>
      <w:pPr>
        <w:pStyle w:val="2"/>
        <w:rPr>
          <w:rFonts w:hint="eastAsia" w:ascii="方正小标宋简体" w:hAnsi="方正小标宋简体" w:eastAsia="方正小标宋简体" w:cs="方正小标宋简体"/>
          <w:b w:val="0"/>
          <w:bCs w:val="0"/>
          <w:color w:val="auto"/>
          <w:kern w:val="0"/>
          <w:sz w:val="36"/>
          <w:szCs w:val="36"/>
          <w:lang w:val="en-US" w:eastAsia="zh-CN"/>
        </w:rPr>
      </w:pPr>
    </w:p>
    <w:p>
      <w:pPr>
        <w:rPr>
          <w:rFonts w:hint="eastAsia" w:ascii="方正小标宋简体" w:hAnsi="方正小标宋简体" w:eastAsia="方正小标宋简体" w:cs="方正小标宋简体"/>
          <w:b w:val="0"/>
          <w:bCs w:val="0"/>
          <w:color w:val="auto"/>
          <w:kern w:val="0"/>
          <w:sz w:val="36"/>
          <w:szCs w:val="36"/>
          <w:lang w:val="en-US" w:eastAsia="zh-CN"/>
        </w:rPr>
      </w:pPr>
    </w:p>
    <w:p>
      <w:pPr>
        <w:pStyle w:val="2"/>
        <w:rPr>
          <w:rFonts w:hint="eastAsia" w:ascii="方正小标宋简体" w:hAnsi="方正小标宋简体" w:eastAsia="方正小标宋简体" w:cs="方正小标宋简体"/>
          <w:b w:val="0"/>
          <w:bCs w:val="0"/>
          <w:color w:val="auto"/>
          <w:kern w:val="0"/>
          <w:sz w:val="36"/>
          <w:szCs w:val="36"/>
          <w:lang w:val="en-US" w:eastAsia="zh-CN"/>
        </w:rPr>
      </w:pPr>
    </w:p>
    <w:p>
      <w:pPr>
        <w:rPr>
          <w:rFonts w:hint="eastAsia" w:ascii="方正小标宋简体" w:hAnsi="方正小标宋简体" w:eastAsia="方正小标宋简体" w:cs="方正小标宋简体"/>
          <w:b w:val="0"/>
          <w:bCs w:val="0"/>
          <w:color w:val="auto"/>
          <w:kern w:val="0"/>
          <w:sz w:val="36"/>
          <w:szCs w:val="36"/>
          <w:lang w:val="en-US" w:eastAsia="zh-CN"/>
        </w:rPr>
      </w:pPr>
    </w:p>
    <w:p>
      <w:pPr>
        <w:pStyle w:val="2"/>
        <w:rPr>
          <w:rFonts w:hint="eastAsia" w:ascii="方正小标宋简体" w:hAnsi="方正小标宋简体" w:eastAsia="方正小标宋简体" w:cs="方正小标宋简体"/>
          <w:b w:val="0"/>
          <w:bCs w:val="0"/>
          <w:color w:val="auto"/>
          <w:kern w:val="0"/>
          <w:sz w:val="36"/>
          <w:szCs w:val="36"/>
          <w:lang w:val="en-US" w:eastAsia="zh-CN"/>
        </w:rPr>
      </w:pPr>
    </w:p>
    <w:p>
      <w:pPr>
        <w:rPr>
          <w:rFonts w:hint="eastAsia" w:ascii="方正小标宋简体" w:hAnsi="方正小标宋简体" w:eastAsia="方正小标宋简体" w:cs="方正小标宋简体"/>
          <w:b w:val="0"/>
          <w:bCs w:val="0"/>
          <w:color w:val="auto"/>
          <w:kern w:val="0"/>
          <w:sz w:val="36"/>
          <w:szCs w:val="36"/>
          <w:lang w:val="en-US" w:eastAsia="zh-CN"/>
        </w:rPr>
      </w:pPr>
    </w:p>
    <w:p>
      <w:pPr>
        <w:pStyle w:val="2"/>
        <w:rPr>
          <w:rFonts w:hint="eastAsia" w:ascii="方正小标宋简体" w:hAnsi="方正小标宋简体" w:eastAsia="方正小标宋简体" w:cs="方正小标宋简体"/>
          <w:b w:val="0"/>
          <w:bCs w:val="0"/>
          <w:color w:val="auto"/>
          <w:kern w:val="0"/>
          <w:sz w:val="36"/>
          <w:szCs w:val="36"/>
          <w:lang w:val="en-US" w:eastAsia="zh-CN"/>
        </w:rPr>
      </w:pPr>
    </w:p>
    <w:p>
      <w:pPr>
        <w:rPr>
          <w:rFonts w:hint="eastAsia" w:ascii="方正小标宋简体" w:hAnsi="方正小标宋简体" w:eastAsia="方正小标宋简体" w:cs="方正小标宋简体"/>
          <w:b w:val="0"/>
          <w:bCs w:val="0"/>
          <w:color w:val="auto"/>
          <w:kern w:val="0"/>
          <w:sz w:val="36"/>
          <w:szCs w:val="36"/>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wordWrap/>
        <w:overflowPunct/>
        <w:topLinePunct w:val="0"/>
        <w:bidi w:val="0"/>
        <w:spacing w:line="576" w:lineRule="exact"/>
        <w:ind w:left="0" w:leftChars="0" w:right="0" w:firstLine="420" w:firstLineChars="200"/>
        <w:rPr>
          <w:rFonts w:ascii="Arial"/>
          <w:sz w:val="21"/>
        </w:rPr>
      </w:pPr>
    </w:p>
    <w:p>
      <w:pPr>
        <w:pStyle w:val="2"/>
        <w:keepNext w:val="0"/>
        <w:keepLines w:val="0"/>
        <w:pageBreakBefore w:val="0"/>
        <w:widowControl w:val="0"/>
        <w:wordWrap/>
        <w:overflowPunct/>
        <w:topLinePunct w:val="0"/>
        <w:bidi w:val="0"/>
        <w:spacing w:line="576" w:lineRule="exact"/>
        <w:ind w:left="0" w:leftChars="0" w:firstLine="420" w:firstLineChars="200"/>
        <w:rPr>
          <w:rFonts w:ascii="Arial"/>
          <w:sz w:val="21"/>
        </w:rPr>
      </w:pPr>
    </w:p>
    <w:p>
      <w:pPr>
        <w:keepNext w:val="0"/>
        <w:keepLines w:val="0"/>
        <w:pageBreakBefore w:val="0"/>
        <w:widowControl w:val="0"/>
        <w:wordWrap/>
        <w:overflowPunct/>
        <w:topLinePunct w:val="0"/>
        <w:bidi w:val="0"/>
        <w:spacing w:line="576" w:lineRule="exact"/>
        <w:ind w:left="0" w:leftChars="0" w:firstLine="420" w:firstLineChars="200"/>
        <w:rPr>
          <w:rFonts w:ascii="Arial"/>
          <w:sz w:val="21"/>
        </w:rPr>
      </w:pPr>
    </w:p>
    <w:p>
      <w:pPr>
        <w:pStyle w:val="2"/>
        <w:keepNext w:val="0"/>
        <w:keepLines w:val="0"/>
        <w:pageBreakBefore w:val="0"/>
        <w:widowControl w:val="0"/>
        <w:wordWrap/>
        <w:overflowPunct/>
        <w:topLinePunct w:val="0"/>
        <w:bidi w:val="0"/>
        <w:spacing w:line="576" w:lineRule="exact"/>
        <w:jc w:val="center"/>
        <w:outlineLvl w:val="0"/>
        <w:rPr>
          <w:rFonts w:hint="eastAsia" w:ascii="楷体_GB2312" w:hAnsi="楷体_GB2312" w:eastAsia="楷体_GB2312" w:cs="楷体_GB2312"/>
          <w:b/>
          <w:bCs/>
          <w:sz w:val="44"/>
          <w:szCs w:val="44"/>
          <w:lang w:val="en-US" w:eastAsia="zh-CN"/>
        </w:rPr>
      </w:pPr>
      <w:bookmarkStart w:id="8" w:name="_Toc656"/>
      <w:bookmarkStart w:id="9" w:name="_Toc32053"/>
      <w:r>
        <w:rPr>
          <w:rFonts w:hint="eastAsia" w:ascii="楷体_GB2312" w:hAnsi="楷体_GB2312" w:eastAsia="楷体_GB2312" w:cs="楷体_GB2312"/>
          <w:b/>
          <w:bCs/>
          <w:sz w:val="44"/>
          <w:szCs w:val="44"/>
          <w:lang w:val="en-US" w:eastAsia="zh-CN"/>
        </w:rPr>
        <w:t>旺苍县林业局</w:t>
      </w:r>
      <w:bookmarkEnd w:id="8"/>
      <w:bookmarkEnd w:id="9"/>
    </w:p>
    <w:p>
      <w:pPr>
        <w:jc w:val="center"/>
        <w:rPr>
          <w:rFonts w:hint="eastAsia" w:ascii="楷体_GB2312" w:hAnsi="楷体_GB2312" w:eastAsia="楷体_GB2312" w:cs="楷体_GB2312"/>
          <w:b/>
          <w:bCs/>
          <w:sz w:val="44"/>
          <w:szCs w:val="44"/>
          <w:lang w:val="en-US" w:eastAsia="zh-CN"/>
        </w:rPr>
      </w:pPr>
      <w:r>
        <w:rPr>
          <w:rFonts w:hint="eastAsia" w:ascii="楷体_GB2312" w:hAnsi="楷体_GB2312" w:eastAsia="楷体_GB2312" w:cs="楷体_GB2312"/>
          <w:b/>
          <w:bCs/>
          <w:sz w:val="44"/>
          <w:szCs w:val="44"/>
          <w:lang w:val="en-US" w:eastAsia="zh-CN"/>
        </w:rPr>
        <w:t>2023年3月</w:t>
      </w:r>
    </w:p>
    <w:p>
      <w:pPr>
        <w:keepNext w:val="0"/>
        <w:keepLines w:val="0"/>
        <w:pageBreakBefore w:val="0"/>
        <w:widowControl w:val="0"/>
        <w:wordWrap/>
        <w:overflowPunct/>
        <w:topLinePunct w:val="0"/>
        <w:bidi w:val="0"/>
        <w:spacing w:line="576" w:lineRule="exact"/>
        <w:rPr>
          <w:rFonts w:ascii="Arial"/>
          <w:sz w:val="21"/>
        </w:rPr>
      </w:pPr>
    </w:p>
    <w:p/>
    <w:sdt>
      <w:sdtPr>
        <w:rPr>
          <w:rFonts w:ascii="宋体" w:hAnsi="宋体" w:eastAsia="宋体" w:cs="Arial"/>
          <w:snapToGrid w:val="0"/>
          <w:color w:val="000000"/>
          <w:kern w:val="0"/>
          <w:sz w:val="21"/>
          <w:szCs w:val="21"/>
        </w:rPr>
        <w:id w:val="147451517"/>
        <w15:color w:val="DBDBDB"/>
        <w:docPartObj>
          <w:docPartGallery w:val="Table of Contents"/>
          <w:docPartUnique/>
        </w:docPartObj>
      </w:sdtPr>
      <w:sdtEndPr>
        <w:rPr>
          <w:rFonts w:ascii="Arial" w:hAnsi="Arial" w:eastAsia="Arial" w:cs="Arial"/>
          <w:b/>
          <w:snapToGrid w:val="0"/>
          <w:color w:val="000000"/>
          <w:kern w:val="0"/>
          <w:sz w:val="21"/>
          <w:szCs w:val="21"/>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Cs w:val="21"/>
            </w:rPr>
          </w:pPr>
          <w:r>
            <w:rPr>
              <w:rFonts w:hint="eastAsia" w:ascii="黑体" w:hAnsi="黑体" w:eastAsia="黑体" w:cs="黑体"/>
              <w:sz w:val="44"/>
              <w:szCs w:val="44"/>
            </w:rPr>
            <w:t>目录</w:t>
          </w:r>
        </w:p>
        <w:p>
          <w:pPr>
            <w:pStyle w:val="6"/>
            <w:keepNext w:val="0"/>
            <w:keepLines w:val="0"/>
            <w:pageBreakBefore w:val="0"/>
            <w:tabs>
              <w:tab w:val="right" w:leader="dot" w:pos="8845"/>
            </w:tabs>
            <w:kinsoku w:val="0"/>
            <w:wordWrap/>
            <w:overflowPunct/>
            <w:topLinePunct w:val="0"/>
            <w:autoSpaceDE w:val="0"/>
            <w:autoSpaceDN w:val="0"/>
            <w:bidi w:val="0"/>
            <w:adjustRightInd w:val="0"/>
            <w:snapToGrid w:val="0"/>
            <w:spacing w:line="576" w:lineRule="exact"/>
            <w:textAlignment w:val="baseline"/>
            <w:rPr>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TOC \o "1-2" \h \u </w:instrText>
          </w:r>
          <w:r>
            <w:rPr>
              <w:rFonts w:ascii="仿宋_GB2312" w:hAnsi="仿宋_GB2312" w:eastAsia="仿宋_GB2312" w:cs="仿宋_GB2312"/>
              <w:sz w:val="28"/>
              <w:szCs w:val="28"/>
            </w:rPr>
            <w:fldChar w:fldCharType="separate"/>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_Toc28956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rPr>
            <w:t>前</w:t>
          </w:r>
          <w:r>
            <w:rPr>
              <w:rFonts w:hint="eastAsia" w:ascii="黑体" w:hAnsi="黑体" w:eastAsia="黑体" w:cs="黑体"/>
              <w:spacing w:val="7"/>
              <w:sz w:val="28"/>
              <w:szCs w:val="28"/>
            </w:rPr>
            <w:t>言</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_Toc28956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_Toc12365 </w:instrText>
          </w:r>
          <w:r>
            <w:rPr>
              <w:rFonts w:hint="eastAsia" w:ascii="黑体" w:hAnsi="黑体" w:eastAsia="黑体" w:cs="黑体"/>
              <w:sz w:val="28"/>
              <w:szCs w:val="28"/>
            </w:rPr>
            <w:fldChar w:fldCharType="separate"/>
          </w:r>
          <w:r>
            <w:rPr>
              <w:rFonts w:hint="eastAsia" w:ascii="黑体" w:hAnsi="黑体" w:eastAsia="黑体" w:cs="黑体"/>
              <w:spacing w:val="10"/>
              <w:sz w:val="28"/>
              <w:szCs w:val="28"/>
              <w:lang w:eastAsia="zh-CN"/>
            </w:rPr>
            <w:t>第一章</w:t>
          </w:r>
          <w:r>
            <w:rPr>
              <w:rFonts w:hint="eastAsia" w:ascii="黑体" w:hAnsi="黑体" w:eastAsia="黑体" w:cs="黑体"/>
              <w:spacing w:val="10"/>
              <w:sz w:val="28"/>
              <w:szCs w:val="28"/>
              <w:lang w:val="en-US" w:eastAsia="zh-CN"/>
            </w:rPr>
            <w:t xml:space="preserve"> </w:t>
          </w:r>
          <w:r>
            <w:rPr>
              <w:rFonts w:hint="eastAsia" w:ascii="黑体" w:hAnsi="黑体" w:eastAsia="黑体" w:cs="黑体"/>
              <w:spacing w:val="10"/>
              <w:sz w:val="28"/>
              <w:szCs w:val="28"/>
            </w:rPr>
            <w:t>发展环境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_Toc12365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_Toc105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eastAsia="zh-CN"/>
            </w:rPr>
            <w:t>第一节</w:t>
          </w:r>
          <w:r>
            <w:rPr>
              <w:rFonts w:hint="eastAsia" w:ascii="黑体" w:hAnsi="黑体" w:eastAsia="黑体" w:cs="黑体"/>
              <w:spacing w:val="7"/>
              <w:sz w:val="28"/>
              <w:szCs w:val="28"/>
            </w:rPr>
            <w:t xml:space="preserve"> “十三五”建设成就</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_Toc105 \h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_Toc7290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eastAsia="zh-CN"/>
            </w:rPr>
            <w:t>第二节</w:t>
          </w:r>
          <w:r>
            <w:rPr>
              <w:rFonts w:hint="eastAsia" w:ascii="黑体" w:hAnsi="黑体" w:eastAsia="黑体" w:cs="黑体"/>
              <w:spacing w:val="7"/>
              <w:sz w:val="28"/>
              <w:szCs w:val="28"/>
              <w:lang w:val="en-US" w:eastAsia="zh-CN"/>
            </w:rPr>
            <w:t xml:space="preserve"> </w:t>
          </w:r>
          <w:r>
            <w:rPr>
              <w:rFonts w:hint="eastAsia" w:ascii="黑体" w:hAnsi="黑体" w:eastAsia="黑体" w:cs="黑体"/>
              <w:spacing w:val="7"/>
              <w:sz w:val="28"/>
              <w:szCs w:val="28"/>
            </w:rPr>
            <w:t>发展现状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_Toc7290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_Toc17097 </w:instrText>
          </w:r>
          <w:r>
            <w:rPr>
              <w:rFonts w:hint="eastAsia" w:ascii="黑体" w:hAnsi="黑体" w:eastAsia="黑体" w:cs="黑体"/>
              <w:sz w:val="28"/>
              <w:szCs w:val="28"/>
            </w:rPr>
            <w:fldChar w:fldCharType="separate"/>
          </w:r>
          <w:r>
            <w:rPr>
              <w:rFonts w:hint="eastAsia" w:ascii="黑体" w:hAnsi="黑体" w:eastAsia="黑体" w:cs="黑体"/>
              <w:spacing w:val="10"/>
              <w:sz w:val="28"/>
              <w:szCs w:val="28"/>
            </w:rPr>
            <w:t>第</w:t>
          </w:r>
          <w:r>
            <w:rPr>
              <w:rFonts w:hint="eastAsia" w:ascii="黑体" w:hAnsi="黑体" w:eastAsia="黑体" w:cs="黑体"/>
              <w:spacing w:val="7"/>
              <w:sz w:val="28"/>
              <w:szCs w:val="28"/>
            </w:rPr>
            <w:t>三节 主要形势</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_Toc17097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_Toc16706 </w:instrText>
          </w:r>
          <w:r>
            <w:rPr>
              <w:rFonts w:hint="eastAsia" w:ascii="黑体" w:hAnsi="黑体" w:eastAsia="黑体" w:cs="黑体"/>
              <w:sz w:val="28"/>
              <w:szCs w:val="28"/>
            </w:rPr>
            <w:fldChar w:fldCharType="separate"/>
          </w:r>
          <w:r>
            <w:rPr>
              <w:rFonts w:hint="eastAsia" w:ascii="黑体" w:hAnsi="黑体" w:eastAsia="黑体" w:cs="黑体"/>
              <w:spacing w:val="12"/>
              <w:sz w:val="28"/>
              <w:szCs w:val="28"/>
            </w:rPr>
            <w:t>第</w:t>
          </w:r>
          <w:r>
            <w:rPr>
              <w:rFonts w:hint="eastAsia" w:ascii="黑体" w:hAnsi="黑体" w:eastAsia="黑体" w:cs="黑体"/>
              <w:spacing w:val="7"/>
              <w:sz w:val="28"/>
              <w:szCs w:val="28"/>
            </w:rPr>
            <w:t>二章 总体要求</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_Toc16706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_Toc3801 </w:instrText>
          </w:r>
          <w:r>
            <w:rPr>
              <w:rFonts w:hint="eastAsia" w:ascii="黑体" w:hAnsi="黑体" w:eastAsia="黑体" w:cs="黑体"/>
              <w:sz w:val="28"/>
              <w:szCs w:val="28"/>
            </w:rPr>
            <w:fldChar w:fldCharType="separate"/>
          </w:r>
          <w:r>
            <w:rPr>
              <w:rFonts w:hint="eastAsia" w:ascii="黑体" w:hAnsi="黑体" w:eastAsia="黑体" w:cs="黑体"/>
              <w:spacing w:val="10"/>
              <w:sz w:val="28"/>
              <w:szCs w:val="28"/>
            </w:rPr>
            <w:t>第</w:t>
          </w:r>
          <w:r>
            <w:rPr>
              <w:rFonts w:hint="eastAsia" w:ascii="黑体" w:hAnsi="黑体" w:eastAsia="黑体" w:cs="黑体"/>
              <w:spacing w:val="7"/>
              <w:sz w:val="28"/>
              <w:szCs w:val="28"/>
            </w:rPr>
            <w:t>一节</w:t>
          </w:r>
          <w:r>
            <w:rPr>
              <w:rFonts w:hint="eastAsia" w:ascii="黑体" w:hAnsi="黑体" w:eastAsia="黑体" w:cs="黑体"/>
              <w:spacing w:val="7"/>
              <w:sz w:val="28"/>
              <w:szCs w:val="28"/>
              <w:lang w:val="en-US" w:eastAsia="zh-CN"/>
            </w:rPr>
            <w:t xml:space="preserve"> </w:t>
          </w:r>
          <w:r>
            <w:rPr>
              <w:rFonts w:hint="eastAsia" w:ascii="黑体" w:hAnsi="黑体" w:eastAsia="黑体" w:cs="黑体"/>
              <w:spacing w:val="7"/>
              <w:sz w:val="28"/>
              <w:szCs w:val="28"/>
            </w:rPr>
            <w:t>指导思想</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_Toc3801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_Toc13190 </w:instrText>
          </w:r>
          <w:r>
            <w:rPr>
              <w:rFonts w:hint="eastAsia" w:ascii="黑体" w:hAnsi="黑体" w:eastAsia="黑体" w:cs="黑体"/>
              <w:sz w:val="28"/>
              <w:szCs w:val="28"/>
            </w:rPr>
            <w:fldChar w:fldCharType="separate"/>
          </w:r>
          <w:r>
            <w:rPr>
              <w:rFonts w:hint="eastAsia" w:ascii="黑体" w:hAnsi="黑体" w:eastAsia="黑体" w:cs="黑体"/>
              <w:spacing w:val="10"/>
              <w:sz w:val="28"/>
              <w:szCs w:val="28"/>
            </w:rPr>
            <w:t>第</w:t>
          </w:r>
          <w:r>
            <w:rPr>
              <w:rFonts w:hint="eastAsia" w:ascii="黑体" w:hAnsi="黑体" w:eastAsia="黑体" w:cs="黑体"/>
              <w:spacing w:val="7"/>
              <w:sz w:val="28"/>
              <w:szCs w:val="28"/>
            </w:rPr>
            <w:t>二节 基本原则</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_Toc13190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_Toc9177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eastAsia="zh-CN"/>
            </w:rPr>
            <w:t>第三节</w:t>
          </w:r>
          <w:r>
            <w:rPr>
              <w:rFonts w:hint="eastAsia" w:ascii="黑体" w:hAnsi="黑体" w:eastAsia="黑体" w:cs="黑体"/>
              <w:spacing w:val="7"/>
              <w:sz w:val="28"/>
              <w:szCs w:val="28"/>
              <w:lang w:val="en-US" w:eastAsia="zh-CN"/>
            </w:rPr>
            <w:t xml:space="preserve"> </w:t>
          </w:r>
          <w:r>
            <w:rPr>
              <w:rFonts w:hint="eastAsia" w:ascii="黑体" w:hAnsi="黑体" w:eastAsia="黑体" w:cs="黑体"/>
              <w:spacing w:val="7"/>
              <w:sz w:val="28"/>
              <w:szCs w:val="28"/>
            </w:rPr>
            <w:t>主要目标</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_Toc9177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_Toc25536 </w:instrText>
          </w:r>
          <w:r>
            <w:rPr>
              <w:rFonts w:hint="eastAsia" w:ascii="黑体" w:hAnsi="黑体" w:eastAsia="黑体" w:cs="黑体"/>
              <w:sz w:val="28"/>
              <w:szCs w:val="28"/>
            </w:rPr>
            <w:fldChar w:fldCharType="separate"/>
          </w:r>
          <w:r>
            <w:rPr>
              <w:rFonts w:hint="eastAsia" w:ascii="黑体" w:hAnsi="黑体" w:eastAsia="黑体" w:cs="黑体"/>
              <w:snapToGrid w:val="0"/>
              <w:spacing w:val="9"/>
              <w:kern w:val="0"/>
              <w:sz w:val="28"/>
              <w:szCs w:val="28"/>
              <w:highlight w:val="none"/>
              <w:lang w:val="en-US" w:eastAsia="zh-CN"/>
            </w:rPr>
            <w:t>第三章  加强生态保护修复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_Toc25536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_Toc11670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第一节 科学推进国土绿化</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_Toc11670 \h </w:instrText>
          </w:r>
          <w:r>
            <w:rPr>
              <w:rFonts w:hint="eastAsia" w:ascii="黑体" w:hAnsi="黑体" w:eastAsia="黑体" w:cs="黑体"/>
              <w:sz w:val="28"/>
              <w:szCs w:val="28"/>
            </w:rPr>
            <w:fldChar w:fldCharType="separate"/>
          </w:r>
          <w:r>
            <w:rPr>
              <w:rFonts w:hint="eastAsia" w:ascii="黑体" w:hAnsi="黑体" w:eastAsia="黑体" w:cs="黑体"/>
              <w:sz w:val="28"/>
              <w:szCs w:val="28"/>
            </w:rPr>
            <w:t>10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_Toc16096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第二节 实施退耕还林还草工程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_Toc16096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_Toc30472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lang w:val="en-US" w:eastAsia="zh-CN"/>
            </w:rPr>
            <w:t>第三节 实施天然林保护修复</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_Toc30472 \h </w:instrText>
          </w:r>
          <w:r>
            <w:rPr>
              <w:rFonts w:hint="eastAsia" w:ascii="黑体" w:hAnsi="黑体" w:eastAsia="黑体" w:cs="黑体"/>
              <w:sz w:val="28"/>
              <w:szCs w:val="28"/>
            </w:rPr>
            <w:fldChar w:fldCharType="separate"/>
          </w:r>
          <w:r>
            <w:rPr>
              <w:rFonts w:hint="eastAsia" w:ascii="黑体" w:hAnsi="黑体" w:eastAsia="黑体" w:cs="黑体"/>
              <w:sz w:val="28"/>
              <w:szCs w:val="28"/>
            </w:rPr>
            <w:t>12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_Toc22772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第四节 实施森林精准提质工程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_Toc22772 \h </w:instrText>
          </w:r>
          <w:r>
            <w:rPr>
              <w:rFonts w:hint="eastAsia" w:ascii="黑体" w:hAnsi="黑体" w:eastAsia="黑体" w:cs="黑体"/>
              <w:sz w:val="28"/>
              <w:szCs w:val="28"/>
            </w:rPr>
            <w:fldChar w:fldCharType="separate"/>
          </w:r>
          <w:r>
            <w:rPr>
              <w:rFonts w:hint="eastAsia" w:ascii="黑体" w:hAnsi="黑体" w:eastAsia="黑体" w:cs="黑体"/>
              <w:sz w:val="28"/>
              <w:szCs w:val="28"/>
            </w:rPr>
            <w:t>13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_Toc15203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第五节 实施森林资源保护工程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_Toc15203 \h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_Toc24627 </w:instrText>
          </w:r>
          <w:r>
            <w:rPr>
              <w:rFonts w:hint="eastAsia" w:ascii="黑体" w:hAnsi="黑体" w:eastAsia="黑体" w:cs="黑体"/>
              <w:sz w:val="28"/>
              <w:szCs w:val="28"/>
            </w:rPr>
            <w:fldChar w:fldCharType="separate"/>
          </w:r>
          <w:r>
            <w:rPr>
              <w:rFonts w:hint="eastAsia" w:ascii="黑体" w:hAnsi="黑体" w:eastAsia="黑体" w:cs="黑体"/>
              <w:spacing w:val="12"/>
              <w:sz w:val="28"/>
              <w:szCs w:val="28"/>
              <w:lang w:val="en-US" w:eastAsia="zh-CN"/>
            </w:rPr>
            <w:t>第四章</w:t>
          </w:r>
          <w:r>
            <w:rPr>
              <w:rFonts w:hint="eastAsia" w:ascii="黑体" w:hAnsi="黑体" w:eastAsia="黑体" w:cs="黑体"/>
              <w:spacing w:val="12"/>
              <w:sz w:val="28"/>
              <w:szCs w:val="28"/>
              <w:highlight w:val="none"/>
              <w:lang w:val="en-US" w:eastAsia="zh-CN"/>
            </w:rPr>
            <w:t xml:space="preserve"> 壮大林业产业发展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_Toc24627 \h </w:instrText>
          </w:r>
          <w:r>
            <w:rPr>
              <w:rFonts w:hint="eastAsia" w:ascii="黑体" w:hAnsi="黑体" w:eastAsia="黑体" w:cs="黑体"/>
              <w:sz w:val="28"/>
              <w:szCs w:val="28"/>
            </w:rPr>
            <w:fldChar w:fldCharType="separate"/>
          </w:r>
          <w:r>
            <w:rPr>
              <w:rFonts w:hint="eastAsia" w:ascii="黑体" w:hAnsi="黑体" w:eastAsia="黑体" w:cs="黑体"/>
              <w:sz w:val="28"/>
              <w:szCs w:val="28"/>
            </w:rPr>
            <w:t>14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_Toc8031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lang w:val="en-US" w:eastAsia="zh-CN"/>
            </w:rPr>
            <w:t>第五章 持续推进乡村振兴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_Toc8031 \h </w:instrText>
          </w:r>
          <w:r>
            <w:rPr>
              <w:rFonts w:hint="eastAsia" w:ascii="黑体" w:hAnsi="黑体" w:eastAsia="黑体" w:cs="黑体"/>
              <w:sz w:val="28"/>
              <w:szCs w:val="28"/>
            </w:rPr>
            <w:fldChar w:fldCharType="separate"/>
          </w:r>
          <w:r>
            <w:rPr>
              <w:rFonts w:hint="eastAsia"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_Toc25397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 xml:space="preserve">第一节 </w:t>
          </w:r>
          <w:r>
            <w:rPr>
              <w:rFonts w:hint="eastAsia" w:ascii="黑体" w:hAnsi="黑体" w:eastAsia="黑体" w:cs="黑体"/>
              <w:spacing w:val="7"/>
              <w:sz w:val="28"/>
              <w:szCs w:val="28"/>
              <w:lang w:eastAsia="zh-CN"/>
            </w:rPr>
            <w:t>实施产业绿化富民增收工程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_Toc25397 \h </w:instrText>
          </w:r>
          <w:r>
            <w:rPr>
              <w:rFonts w:hint="eastAsia" w:ascii="黑体" w:hAnsi="黑体" w:eastAsia="黑体" w:cs="黑体"/>
              <w:sz w:val="28"/>
              <w:szCs w:val="28"/>
            </w:rPr>
            <w:fldChar w:fldCharType="separate"/>
          </w:r>
          <w:r>
            <w:rPr>
              <w:rFonts w:hint="eastAsia" w:ascii="黑体" w:hAnsi="黑体" w:eastAsia="黑体" w:cs="黑体"/>
              <w:sz w:val="28"/>
              <w:szCs w:val="28"/>
            </w:rPr>
            <w:t>16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_Toc13590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第二节 实施集镇村庄绿化工程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_Toc13590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_Toc17143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rPr>
            <w:t>第六章 加强资源保护管理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_Toc17143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_Toc15281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第一节 加强自然保护地建设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_Toc15281 \h </w:instrText>
          </w:r>
          <w:r>
            <w:rPr>
              <w:rFonts w:hint="eastAsia" w:ascii="黑体" w:hAnsi="黑体" w:eastAsia="黑体" w:cs="黑体"/>
              <w:sz w:val="28"/>
              <w:szCs w:val="28"/>
            </w:rPr>
            <w:fldChar w:fldCharType="separate"/>
          </w:r>
          <w:r>
            <w:rPr>
              <w:rFonts w:hint="eastAsia" w:ascii="黑体" w:hAnsi="黑体" w:eastAsia="黑体" w:cs="黑体"/>
              <w:sz w:val="28"/>
              <w:szCs w:val="28"/>
            </w:rPr>
            <w:t>18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_Toc9118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第二节 完善国有林区基础设施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_Toc9118 \h </w:instrText>
          </w:r>
          <w:r>
            <w:rPr>
              <w:rFonts w:hint="eastAsia" w:ascii="黑体" w:hAnsi="黑体" w:eastAsia="黑体" w:cs="黑体"/>
              <w:sz w:val="28"/>
              <w:szCs w:val="28"/>
            </w:rPr>
            <w:fldChar w:fldCharType="separate"/>
          </w:r>
          <w:r>
            <w:rPr>
              <w:rFonts w:hint="eastAsia" w:ascii="黑体" w:hAnsi="黑体" w:eastAsia="黑体" w:cs="黑体"/>
              <w:sz w:val="28"/>
              <w:szCs w:val="28"/>
            </w:rPr>
            <w:t>19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_Toc2551 </w:instrText>
          </w:r>
          <w:r>
            <w:rPr>
              <w:rFonts w:hint="eastAsia" w:ascii="黑体" w:hAnsi="黑体" w:eastAsia="黑体" w:cs="黑体"/>
              <w:sz w:val="28"/>
              <w:szCs w:val="28"/>
            </w:rPr>
            <w:fldChar w:fldCharType="separate"/>
          </w:r>
          <w:r>
            <w:rPr>
              <w:rFonts w:hint="eastAsia" w:ascii="黑体" w:hAnsi="黑体" w:eastAsia="黑体" w:cs="黑体"/>
              <w:snapToGrid w:val="0"/>
              <w:spacing w:val="7"/>
              <w:kern w:val="0"/>
              <w:sz w:val="28"/>
              <w:szCs w:val="28"/>
              <w:lang w:val="en-US" w:eastAsia="zh-CN"/>
            </w:rPr>
            <w:t>第三节 全面保护野生动植物</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_Toc2551 \h </w:instrText>
          </w:r>
          <w:r>
            <w:rPr>
              <w:rFonts w:hint="eastAsia" w:ascii="黑体" w:hAnsi="黑体" w:eastAsia="黑体" w:cs="黑体"/>
              <w:sz w:val="28"/>
              <w:szCs w:val="28"/>
            </w:rPr>
            <w:fldChar w:fldCharType="separate"/>
          </w:r>
          <w:r>
            <w:rPr>
              <w:rFonts w:hint="eastAsia" w:ascii="黑体" w:hAnsi="黑体" w:eastAsia="黑体" w:cs="黑体"/>
              <w:sz w:val="28"/>
              <w:szCs w:val="28"/>
            </w:rPr>
            <w:t>20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_Toc32570 </w:instrText>
          </w:r>
          <w:r>
            <w:rPr>
              <w:rFonts w:hint="eastAsia" w:ascii="黑体" w:hAnsi="黑体" w:eastAsia="黑体" w:cs="黑体"/>
              <w:sz w:val="28"/>
              <w:szCs w:val="28"/>
            </w:rPr>
            <w:fldChar w:fldCharType="separate"/>
          </w:r>
          <w:r>
            <w:rPr>
              <w:rFonts w:hint="eastAsia" w:ascii="黑体" w:hAnsi="黑体" w:eastAsia="黑体" w:cs="黑体"/>
              <w:snapToGrid w:val="0"/>
              <w:spacing w:val="7"/>
              <w:kern w:val="0"/>
              <w:sz w:val="28"/>
              <w:szCs w:val="28"/>
              <w:lang w:val="en-US" w:eastAsia="zh-CN"/>
            </w:rPr>
            <w:t>第四节 标本兼治强化森林防火</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_Toc32570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_Toc24186 </w:instrText>
          </w:r>
          <w:r>
            <w:rPr>
              <w:rFonts w:hint="eastAsia" w:ascii="黑体" w:hAnsi="黑体" w:eastAsia="黑体" w:cs="黑体"/>
              <w:sz w:val="28"/>
              <w:szCs w:val="28"/>
            </w:rPr>
            <w:fldChar w:fldCharType="separate"/>
          </w:r>
          <w:r>
            <w:rPr>
              <w:rFonts w:hint="eastAsia" w:ascii="黑体" w:hAnsi="黑体" w:eastAsia="黑体" w:cs="黑体"/>
              <w:spacing w:val="13"/>
              <w:sz w:val="28"/>
              <w:szCs w:val="28"/>
            </w:rPr>
            <w:t>第</w:t>
          </w:r>
          <w:r>
            <w:rPr>
              <w:rFonts w:hint="eastAsia" w:ascii="黑体" w:hAnsi="黑体" w:eastAsia="黑体" w:cs="黑体"/>
              <w:spacing w:val="8"/>
              <w:sz w:val="28"/>
              <w:szCs w:val="28"/>
              <w:lang w:eastAsia="zh-CN"/>
            </w:rPr>
            <w:t>五</w:t>
          </w:r>
          <w:r>
            <w:rPr>
              <w:rFonts w:hint="eastAsia" w:ascii="黑体" w:hAnsi="黑体" w:eastAsia="黑体" w:cs="黑体"/>
              <w:spacing w:val="8"/>
              <w:sz w:val="28"/>
              <w:szCs w:val="28"/>
            </w:rPr>
            <w:t>节 加强古树名木保护</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_Toc24186 \h </w:instrText>
          </w:r>
          <w:r>
            <w:rPr>
              <w:rFonts w:hint="eastAsia" w:ascii="黑体" w:hAnsi="黑体" w:eastAsia="黑体" w:cs="黑体"/>
              <w:sz w:val="28"/>
              <w:szCs w:val="28"/>
            </w:rPr>
            <w:fldChar w:fldCharType="separate"/>
          </w:r>
          <w:r>
            <w:rPr>
              <w:rFonts w:hint="eastAsia" w:ascii="黑体" w:hAnsi="黑体" w:eastAsia="黑体" w:cs="黑体"/>
              <w:sz w:val="28"/>
              <w:szCs w:val="28"/>
            </w:rPr>
            <w:t>22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_Toc7121 </w:instrText>
          </w:r>
          <w:r>
            <w:rPr>
              <w:rFonts w:hint="eastAsia" w:ascii="黑体" w:hAnsi="黑体" w:eastAsia="黑体" w:cs="黑体"/>
              <w:sz w:val="28"/>
              <w:szCs w:val="28"/>
            </w:rPr>
            <w:fldChar w:fldCharType="separate"/>
          </w:r>
          <w:r>
            <w:rPr>
              <w:rFonts w:hint="eastAsia" w:ascii="黑体" w:hAnsi="黑体" w:eastAsia="黑体" w:cs="黑体"/>
              <w:spacing w:val="15"/>
              <w:sz w:val="28"/>
              <w:szCs w:val="28"/>
            </w:rPr>
            <w:t>第</w:t>
          </w:r>
          <w:r>
            <w:rPr>
              <w:rFonts w:hint="eastAsia" w:ascii="黑体" w:hAnsi="黑体" w:eastAsia="黑体" w:cs="黑体"/>
              <w:spacing w:val="8"/>
              <w:sz w:val="28"/>
              <w:szCs w:val="28"/>
              <w:lang w:eastAsia="zh-CN"/>
            </w:rPr>
            <w:t>七</w:t>
          </w:r>
          <w:r>
            <w:rPr>
              <w:rFonts w:hint="eastAsia" w:ascii="黑体" w:hAnsi="黑体" w:eastAsia="黑体" w:cs="黑体"/>
              <w:spacing w:val="8"/>
              <w:sz w:val="28"/>
              <w:szCs w:val="28"/>
            </w:rPr>
            <w:t>章 推进林业产品价值实现</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_Toc7121 \h </w:instrText>
          </w:r>
          <w:r>
            <w:rPr>
              <w:rFonts w:hint="eastAsia" w:ascii="黑体" w:hAnsi="黑体" w:eastAsia="黑体" w:cs="黑体"/>
              <w:sz w:val="28"/>
              <w:szCs w:val="28"/>
            </w:rPr>
            <w:fldChar w:fldCharType="separate"/>
          </w:r>
          <w:r>
            <w:rPr>
              <w:rFonts w:hint="eastAsia" w:ascii="黑体" w:hAnsi="黑体" w:eastAsia="黑体" w:cs="黑体"/>
              <w:sz w:val="28"/>
              <w:szCs w:val="28"/>
            </w:rPr>
            <w:t>23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_Toc18936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rPr>
            <w:t>第一节 积极推进林业碳汇开发与利</w:t>
          </w:r>
          <w:r>
            <w:rPr>
              <w:rFonts w:hint="eastAsia" w:ascii="黑体" w:hAnsi="黑体" w:eastAsia="黑体" w:cs="黑体"/>
              <w:spacing w:val="5"/>
              <w:sz w:val="28"/>
              <w:szCs w:val="28"/>
            </w:rPr>
            <w:t>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_Toc18936 \h </w:instrText>
          </w:r>
          <w:r>
            <w:rPr>
              <w:rFonts w:hint="eastAsia" w:ascii="黑体" w:hAnsi="黑体" w:eastAsia="黑体" w:cs="黑体"/>
              <w:sz w:val="28"/>
              <w:szCs w:val="28"/>
            </w:rPr>
            <w:fldChar w:fldCharType="separate"/>
          </w:r>
          <w:r>
            <w:rPr>
              <w:rFonts w:hint="eastAsia" w:ascii="黑体" w:hAnsi="黑体" w:eastAsia="黑体" w:cs="黑体"/>
              <w:sz w:val="28"/>
              <w:szCs w:val="28"/>
            </w:rPr>
            <w:t>23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_Toc26289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第二节 大力建设国家储备林</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_Toc26289 \h </w:instrText>
          </w:r>
          <w:r>
            <w:rPr>
              <w:rFonts w:hint="eastAsia" w:ascii="黑体" w:hAnsi="黑体" w:eastAsia="黑体" w:cs="黑体"/>
              <w:sz w:val="28"/>
              <w:szCs w:val="28"/>
            </w:rPr>
            <w:fldChar w:fldCharType="separate"/>
          </w:r>
          <w:r>
            <w:rPr>
              <w:rFonts w:hint="eastAsia" w:ascii="黑体" w:hAnsi="黑体" w:eastAsia="黑体" w:cs="黑体"/>
              <w:sz w:val="28"/>
              <w:szCs w:val="28"/>
            </w:rPr>
            <w:t>23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_Toc19943 </w:instrText>
          </w:r>
          <w:r>
            <w:rPr>
              <w:rFonts w:hint="eastAsia" w:ascii="黑体" w:hAnsi="黑体" w:eastAsia="黑体" w:cs="黑体"/>
              <w:sz w:val="28"/>
              <w:szCs w:val="28"/>
            </w:rPr>
            <w:fldChar w:fldCharType="separate"/>
          </w:r>
          <w:r>
            <w:rPr>
              <w:rFonts w:hint="eastAsia" w:ascii="黑体" w:hAnsi="黑体" w:eastAsia="黑体" w:cs="黑体"/>
              <w:spacing w:val="9"/>
              <w:sz w:val="28"/>
              <w:szCs w:val="28"/>
              <w:lang w:val="en-US" w:eastAsia="zh-CN"/>
            </w:rPr>
            <w:t>第八章 深化林业改革</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_Toc19943 \h </w:instrText>
          </w:r>
          <w:r>
            <w:rPr>
              <w:rFonts w:hint="eastAsia" w:ascii="黑体" w:hAnsi="黑体" w:eastAsia="黑体" w:cs="黑体"/>
              <w:sz w:val="28"/>
              <w:szCs w:val="28"/>
            </w:rPr>
            <w:fldChar w:fldCharType="separate"/>
          </w:r>
          <w:r>
            <w:rPr>
              <w:rFonts w:hint="eastAsia" w:ascii="黑体" w:hAnsi="黑体" w:eastAsia="黑体" w:cs="黑体"/>
              <w:sz w:val="28"/>
              <w:szCs w:val="28"/>
            </w:rPr>
            <w:t>25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_Toc1878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第一节 推进集体林地“三权分置”改革</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_Toc1878 \h </w:instrText>
          </w:r>
          <w:r>
            <w:rPr>
              <w:rFonts w:hint="eastAsia" w:ascii="黑体" w:hAnsi="黑体" w:eastAsia="黑体" w:cs="黑体"/>
              <w:sz w:val="28"/>
              <w:szCs w:val="28"/>
            </w:rPr>
            <w:fldChar w:fldCharType="separate"/>
          </w:r>
          <w:r>
            <w:rPr>
              <w:rFonts w:hint="eastAsia" w:ascii="黑体" w:hAnsi="黑体" w:eastAsia="黑体" w:cs="黑体"/>
              <w:sz w:val="28"/>
              <w:szCs w:val="28"/>
            </w:rPr>
            <w:t>25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_Toc22600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第二节 完善集体林发展支持体系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_Toc22600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_Toc20066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第三节 深化国有林场（苗圃）林区改革</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_Toc20066 \h </w:instrText>
          </w:r>
          <w:r>
            <w:rPr>
              <w:rFonts w:hint="eastAsia" w:ascii="黑体" w:hAnsi="黑体" w:eastAsia="黑体" w:cs="黑体"/>
              <w:sz w:val="28"/>
              <w:szCs w:val="28"/>
            </w:rPr>
            <w:fldChar w:fldCharType="separate"/>
          </w:r>
          <w:r>
            <w:rPr>
              <w:rFonts w:hint="eastAsia" w:ascii="黑体" w:hAnsi="黑体" w:eastAsia="黑体" w:cs="黑体"/>
              <w:sz w:val="28"/>
              <w:szCs w:val="28"/>
            </w:rPr>
            <w:t>26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_Toc20280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第四节 建立国有森林资源有偿使用制度</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_Toc20280 \h </w:instrText>
          </w:r>
          <w:r>
            <w:rPr>
              <w:rFonts w:hint="eastAsia" w:ascii="黑体" w:hAnsi="黑体" w:eastAsia="黑体" w:cs="黑体"/>
              <w:sz w:val="28"/>
              <w:szCs w:val="28"/>
            </w:rPr>
            <w:fldChar w:fldCharType="separate"/>
          </w:r>
          <w:r>
            <w:rPr>
              <w:rFonts w:hint="eastAsia" w:ascii="黑体" w:hAnsi="黑体" w:eastAsia="黑体" w:cs="黑体"/>
              <w:sz w:val="28"/>
              <w:szCs w:val="28"/>
            </w:rPr>
            <w:t>27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_Toc2427 </w:instrText>
          </w:r>
          <w:r>
            <w:rPr>
              <w:rFonts w:hint="eastAsia" w:ascii="黑体" w:hAnsi="黑体" w:eastAsia="黑体" w:cs="黑体"/>
              <w:sz w:val="28"/>
              <w:szCs w:val="28"/>
            </w:rPr>
            <w:fldChar w:fldCharType="separate"/>
          </w:r>
          <w:r>
            <w:rPr>
              <w:rFonts w:hint="eastAsia" w:ascii="黑体" w:hAnsi="黑体" w:eastAsia="黑体" w:cs="黑体"/>
              <w:spacing w:val="7"/>
              <w:sz w:val="28"/>
              <w:szCs w:val="28"/>
              <w:lang w:val="en-US" w:eastAsia="zh-CN"/>
            </w:rPr>
            <w:t>第五节 持续深化林长制改革</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_Toc2427 \h </w:instrText>
          </w:r>
          <w:r>
            <w:rPr>
              <w:rFonts w:hint="eastAsia" w:ascii="黑体" w:hAnsi="黑体" w:eastAsia="黑体" w:cs="黑体"/>
              <w:sz w:val="28"/>
              <w:szCs w:val="28"/>
            </w:rPr>
            <w:fldChar w:fldCharType="separate"/>
          </w:r>
          <w:r>
            <w:rPr>
              <w:rFonts w:hint="eastAsia" w:ascii="黑体" w:hAnsi="黑体" w:eastAsia="黑体" w:cs="黑体"/>
              <w:sz w:val="28"/>
              <w:szCs w:val="28"/>
            </w:rPr>
            <w:t>28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_Toc12755 </w:instrText>
          </w:r>
          <w:r>
            <w:rPr>
              <w:rFonts w:hint="eastAsia" w:ascii="黑体" w:hAnsi="黑体" w:eastAsia="黑体" w:cs="黑体"/>
              <w:sz w:val="28"/>
              <w:szCs w:val="28"/>
            </w:rPr>
            <w:fldChar w:fldCharType="separate"/>
          </w:r>
          <w:r>
            <w:rPr>
              <w:rFonts w:hint="eastAsia" w:ascii="黑体" w:hAnsi="黑体" w:eastAsia="黑体" w:cs="黑体"/>
              <w:spacing w:val="13"/>
              <w:sz w:val="28"/>
              <w:szCs w:val="28"/>
              <w:lang w:val="en-US" w:eastAsia="zh-CN"/>
            </w:rPr>
            <w:t xml:space="preserve">第九章 </w:t>
          </w:r>
          <w:r>
            <w:rPr>
              <w:rFonts w:hint="eastAsia" w:ascii="黑体" w:hAnsi="黑体" w:eastAsia="黑体" w:cs="黑体"/>
              <w:spacing w:val="8"/>
              <w:sz w:val="28"/>
              <w:szCs w:val="28"/>
            </w:rPr>
            <w:t>加强科技攻关和应用</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_Toc12755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_Toc19219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第一节 健全林业科技推广体系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_Toc19219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_Toc16744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第二节 加快成果转化和园区建设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_Toc16744 \h </w:instrText>
          </w:r>
          <w:r>
            <w:rPr>
              <w:rFonts w:hint="eastAsia" w:ascii="黑体" w:hAnsi="黑体" w:eastAsia="黑体" w:cs="黑体"/>
              <w:sz w:val="28"/>
              <w:szCs w:val="28"/>
            </w:rPr>
            <w:fldChar w:fldCharType="separate"/>
          </w:r>
          <w:r>
            <w:rPr>
              <w:rFonts w:hint="eastAsia" w:ascii="黑体" w:hAnsi="黑体" w:eastAsia="黑体" w:cs="黑体"/>
              <w:sz w:val="28"/>
              <w:szCs w:val="28"/>
            </w:rPr>
            <w:t>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_Toc27998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第三节 加强林木种质资源收集保存</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_Toc27998 \h </w:instrText>
          </w:r>
          <w:r>
            <w:rPr>
              <w:rFonts w:hint="eastAsia" w:ascii="黑体" w:hAnsi="黑体" w:eastAsia="黑体" w:cs="黑体"/>
              <w:sz w:val="28"/>
              <w:szCs w:val="28"/>
            </w:rPr>
            <w:fldChar w:fldCharType="separate"/>
          </w:r>
          <w:r>
            <w:rPr>
              <w:rFonts w:hint="eastAsia" w:ascii="黑体" w:hAnsi="黑体" w:eastAsia="黑体" w:cs="黑体"/>
              <w:sz w:val="28"/>
              <w:szCs w:val="28"/>
            </w:rPr>
            <w:t>30</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6"/>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_Toc32012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eastAsia="zh-CN"/>
            </w:rPr>
            <w:t>第</w:t>
          </w:r>
          <w:r>
            <w:rPr>
              <w:rFonts w:hint="eastAsia" w:ascii="黑体" w:hAnsi="黑体" w:eastAsia="黑体" w:cs="黑体"/>
              <w:spacing w:val="8"/>
              <w:sz w:val="28"/>
              <w:szCs w:val="28"/>
              <w:lang w:val="en-US" w:eastAsia="zh-CN"/>
            </w:rPr>
            <w:t>十</w:t>
          </w:r>
          <w:r>
            <w:rPr>
              <w:rFonts w:hint="eastAsia" w:ascii="黑体" w:hAnsi="黑体" w:eastAsia="黑体" w:cs="黑体"/>
              <w:spacing w:val="8"/>
              <w:sz w:val="28"/>
              <w:szCs w:val="28"/>
              <w:lang w:eastAsia="zh-CN"/>
            </w:rPr>
            <w:t>章</w:t>
          </w:r>
          <w:r>
            <w:rPr>
              <w:rFonts w:hint="eastAsia" w:ascii="黑体" w:hAnsi="黑体" w:eastAsia="黑体" w:cs="黑体"/>
              <w:spacing w:val="8"/>
              <w:sz w:val="28"/>
              <w:szCs w:val="28"/>
            </w:rPr>
            <w:t xml:space="preserve"> 强化组织实施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_Toc32012 \h </w:instrText>
          </w:r>
          <w:r>
            <w:rPr>
              <w:rFonts w:hint="eastAsia" w:ascii="黑体" w:hAnsi="黑体" w:eastAsia="黑体" w:cs="黑体"/>
              <w:sz w:val="28"/>
              <w:szCs w:val="28"/>
            </w:rPr>
            <w:fldChar w:fldCharType="separate"/>
          </w:r>
          <w:r>
            <w:rPr>
              <w:rFonts w:hint="eastAsia" w:ascii="黑体" w:hAnsi="黑体" w:eastAsia="黑体" w:cs="黑体"/>
              <w:sz w:val="28"/>
              <w:szCs w:val="28"/>
            </w:rPr>
            <w:t>31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_Toc4610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rPr>
            <w:t xml:space="preserve">第一节 </w:t>
          </w:r>
          <w:r>
            <w:rPr>
              <w:rFonts w:hint="eastAsia" w:ascii="黑体" w:hAnsi="黑体" w:eastAsia="黑体" w:cs="黑体"/>
              <w:spacing w:val="8"/>
              <w:sz w:val="28"/>
              <w:szCs w:val="28"/>
              <w:lang w:val="en-US" w:eastAsia="zh-CN"/>
            </w:rPr>
            <w:t>加强领导，落实责任</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_Toc4610 \h </w:instrText>
          </w:r>
          <w:r>
            <w:rPr>
              <w:rFonts w:hint="eastAsia" w:ascii="黑体" w:hAnsi="黑体" w:eastAsia="黑体" w:cs="黑体"/>
              <w:sz w:val="28"/>
              <w:szCs w:val="28"/>
            </w:rPr>
            <w:fldChar w:fldCharType="separate"/>
          </w:r>
          <w:r>
            <w:rPr>
              <w:rFonts w:hint="eastAsia" w:ascii="黑体" w:hAnsi="黑体" w:eastAsia="黑体" w:cs="黑体"/>
              <w:sz w:val="28"/>
              <w:szCs w:val="28"/>
            </w:rPr>
            <w:t>31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_Toc19216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第二节 科技兴林，技术强林</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_Toc19216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_Toc11336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第三节 积极筹资，保障投入</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_Toc11336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_Toc18154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第四节 依法治林，科学管理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_Toc18154 \h </w:instrText>
          </w:r>
          <w:r>
            <w:rPr>
              <w:rFonts w:hint="eastAsia" w:ascii="黑体" w:hAnsi="黑体" w:eastAsia="黑体" w:cs="黑体"/>
              <w:sz w:val="28"/>
              <w:szCs w:val="28"/>
            </w:rPr>
            <w:fldChar w:fldCharType="separate"/>
          </w:r>
          <w:r>
            <w:rPr>
              <w:rFonts w:hint="eastAsia" w:ascii="黑体" w:hAnsi="黑体" w:eastAsia="黑体" w:cs="黑体"/>
              <w:sz w:val="28"/>
              <w:szCs w:val="28"/>
            </w:rPr>
            <w:t>32</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keepNext w:val="0"/>
            <w:keepLines w:val="0"/>
            <w:pageBreakBefore w:val="0"/>
            <w:widowControl/>
            <w:tabs>
              <w:tab w:val="right" w:leader="dot" w:pos="8845"/>
            </w:tabs>
            <w:kinsoku w:val="0"/>
            <w:wordWrap/>
            <w:overflowPunct/>
            <w:topLinePunct w:val="0"/>
            <w:autoSpaceDE w:val="0"/>
            <w:autoSpaceDN w:val="0"/>
            <w:bidi w:val="0"/>
            <w:adjustRightInd w:val="0"/>
            <w:snapToGrid w:val="0"/>
            <w:spacing w:line="480" w:lineRule="exact"/>
            <w:textAlignment w:val="baseline"/>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_Toc20950 </w:instrText>
          </w:r>
          <w:r>
            <w:rPr>
              <w:rFonts w:hint="eastAsia" w:ascii="黑体" w:hAnsi="黑体" w:eastAsia="黑体" w:cs="黑体"/>
              <w:sz w:val="28"/>
              <w:szCs w:val="28"/>
            </w:rPr>
            <w:fldChar w:fldCharType="separate"/>
          </w:r>
          <w:r>
            <w:rPr>
              <w:rFonts w:hint="eastAsia" w:ascii="黑体" w:hAnsi="黑体" w:eastAsia="黑体" w:cs="黑体"/>
              <w:spacing w:val="8"/>
              <w:sz w:val="28"/>
              <w:szCs w:val="28"/>
              <w:lang w:val="en-US" w:eastAsia="zh-CN"/>
            </w:rPr>
            <w:t>第五节 加强干部队伍能力建设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_Toc20950 \h </w:instrText>
          </w:r>
          <w:r>
            <w:rPr>
              <w:rFonts w:hint="eastAsia" w:ascii="黑体" w:hAnsi="黑体" w:eastAsia="黑体" w:cs="黑体"/>
              <w:sz w:val="28"/>
              <w:szCs w:val="28"/>
            </w:rPr>
            <w:fldChar w:fldCharType="separate"/>
          </w:r>
          <w:r>
            <w:rPr>
              <w:rFonts w:hint="eastAsia" w:ascii="黑体" w:hAnsi="黑体" w:eastAsia="黑体" w:cs="黑体"/>
              <w:sz w:val="28"/>
              <w:szCs w:val="28"/>
            </w:rPr>
            <w:t>33</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keepNext w:val="0"/>
            <w:keepLines w:val="0"/>
            <w:pageBreakBefore w:val="0"/>
            <w:widowControl w:val="0"/>
            <w:tabs>
              <w:tab w:val="right" w:leader="dot" w:pos="8287"/>
            </w:tabs>
            <w:kinsoku w:val="0"/>
            <w:wordWrap/>
            <w:overflowPunct/>
            <w:topLinePunct w:val="0"/>
            <w:autoSpaceDE w:val="0"/>
            <w:autoSpaceDN w:val="0"/>
            <w:bidi w:val="0"/>
            <w:adjustRightInd w:val="0"/>
            <w:snapToGrid w:val="0"/>
            <w:spacing w:line="576" w:lineRule="exact"/>
            <w:ind w:right="0"/>
            <w:textAlignment w:val="baseline"/>
            <w:sectPr>
              <w:headerReference r:id="rId5" w:type="default"/>
              <w:pgSz w:w="11906" w:h="16839"/>
              <w:pgMar w:top="2098" w:right="1474" w:bottom="1984" w:left="1587" w:header="850" w:footer="850" w:gutter="0"/>
              <w:pgNumType w:fmt="decimal" w:start="1"/>
              <w:cols w:space="0" w:num="1"/>
              <w:rtlGutter w:val="0"/>
              <w:docGrid w:linePitch="0" w:charSpace="0"/>
            </w:sectPr>
          </w:pPr>
          <w:r>
            <w:rPr>
              <w:rFonts w:ascii="仿宋_GB2312" w:hAnsi="仿宋_GB2312" w:eastAsia="仿宋_GB2312" w:cs="仿宋_GB2312"/>
              <w:sz w:val="28"/>
              <w:szCs w:val="28"/>
            </w:rPr>
            <w:fldChar w:fldCharType="end"/>
          </w:r>
        </w:p>
      </w:sdtContent>
    </w:sdt>
    <w:p>
      <w:pPr>
        <w:keepNext w:val="0"/>
        <w:keepLines w:val="0"/>
        <w:pageBreakBefore w:val="0"/>
        <w:widowControl w:val="0"/>
        <w:wordWrap/>
        <w:overflowPunct/>
        <w:topLinePunct w:val="0"/>
        <w:bidi w:val="0"/>
        <w:spacing w:line="576" w:lineRule="exact"/>
        <w:ind w:left="0" w:leftChars="0" w:right="0" w:firstLine="0" w:firstLineChars="0"/>
        <w:jc w:val="center"/>
        <w:outlineLvl w:val="0"/>
        <w:rPr>
          <w:rFonts w:ascii="黑体" w:hAnsi="黑体" w:eastAsia="黑体" w:cs="黑体"/>
          <w:spacing w:val="7"/>
          <w:sz w:val="32"/>
          <w:szCs w:val="32"/>
        </w:rPr>
      </w:pPr>
      <w:bookmarkStart w:id="10" w:name="_bookmark1"/>
      <w:bookmarkEnd w:id="10"/>
      <w:bookmarkStart w:id="11" w:name="_Toc28956"/>
      <w:bookmarkStart w:id="12" w:name="_Toc13313"/>
      <w:r>
        <w:rPr>
          <w:rFonts w:ascii="黑体" w:hAnsi="黑体" w:eastAsia="黑体" w:cs="黑体"/>
          <w:spacing w:val="8"/>
          <w:sz w:val="32"/>
          <w:szCs w:val="32"/>
        </w:rPr>
        <w:t>前</w:t>
      </w:r>
      <w:r>
        <w:rPr>
          <w:rFonts w:ascii="黑体" w:hAnsi="黑体" w:eastAsia="黑体" w:cs="黑体"/>
          <w:spacing w:val="7"/>
          <w:sz w:val="32"/>
          <w:szCs w:val="32"/>
        </w:rPr>
        <w:t>言</w:t>
      </w:r>
      <w:bookmarkEnd w:id="11"/>
      <w:bookmarkEnd w:id="12"/>
    </w:p>
    <w:p>
      <w:pPr>
        <w:pStyle w:val="2"/>
        <w:rPr>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“十四五”时期是我国全面建成小康社会、实现第一个百年奋斗目标之后，乘势而上开启全面建设社会主义现代化国家新征程、向第二个百年奋斗目标进军的第一个五年</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是“两个一百年”奋斗目标的历史交汇期，也是全面开启社会主义现代化强国建设新征程的重要机遇期。无论是国际背景，还是产业发展，或是区域经济，都面临着大拐点、大切换。</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为全面贯彻党中央、国务院关于建设生态文明、推进高质量发展的重大决策，全面落实省委省政府关于建设美丽四川、推进治蜀兴川再上新台阶的重大部署，紧紧围绕市委市政府“加快建设川陕甘结合部现代化中心城市”的重大战略</w:t>
      </w:r>
      <w:r>
        <w:rPr>
          <w:rFonts w:hint="eastAsia" w:ascii="仿宋_GB2312" w:hAnsi="仿宋_GB2312" w:eastAsia="仿宋_GB2312" w:cs="仿宋_GB2312"/>
          <w:spacing w:val="5"/>
          <w:sz w:val="32"/>
          <w:szCs w:val="32"/>
          <w:lang w:eastAsia="zh-CN"/>
        </w:rPr>
        <w:t>、县委</w:t>
      </w:r>
      <w:r>
        <w:rPr>
          <w:rFonts w:hint="eastAsia" w:ascii="仿宋_GB2312" w:hAnsi="仿宋_GB2312" w:eastAsia="仿宋_GB2312" w:cs="仿宋_GB2312"/>
          <w:spacing w:val="5"/>
          <w:sz w:val="32"/>
          <w:szCs w:val="32"/>
          <w:lang w:val="en-US" w:eastAsia="zh-CN"/>
        </w:rPr>
        <w:t>县政府</w:t>
      </w:r>
      <w:r>
        <w:rPr>
          <w:rFonts w:hint="eastAsia" w:ascii="仿宋_GB2312" w:hAnsi="仿宋_GB2312" w:eastAsia="仿宋_GB2312" w:cs="仿宋_GB2312"/>
          <w:spacing w:val="5"/>
          <w:sz w:val="32"/>
          <w:szCs w:val="32"/>
          <w:lang w:eastAsia="zh-CN"/>
        </w:rPr>
        <w:t>“生态优先、创新驱动、转型发展、富民强县”的发展思路，</w:t>
      </w:r>
      <w:r>
        <w:rPr>
          <w:rFonts w:hint="eastAsia" w:ascii="仿宋_GB2312" w:hAnsi="仿宋_GB2312" w:eastAsia="仿宋_GB2312" w:cs="仿宋_GB2312"/>
          <w:spacing w:val="5"/>
          <w:sz w:val="32"/>
          <w:szCs w:val="32"/>
          <w:lang w:val="en-US" w:eastAsia="zh-CN"/>
        </w:rPr>
        <w:t>旺苍县</w:t>
      </w:r>
      <w:r>
        <w:rPr>
          <w:rFonts w:hint="eastAsia" w:ascii="仿宋_GB2312" w:hAnsi="仿宋_GB2312" w:eastAsia="仿宋_GB2312" w:cs="仿宋_GB2312"/>
          <w:spacing w:val="5"/>
          <w:sz w:val="32"/>
          <w:szCs w:val="32"/>
        </w:rPr>
        <w:t>林业局组织专门力量，结合新的形势和任务，充分对接国家林业和草原局《“十四五”林业草原保护发展规划纲要》《四川省林草发展“十四五”规划》《广元市林业发展“十四五”规划》</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旺苍县林地保护利用规划</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2020</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2030年</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等相关规划，多方征求意见，反复研究完善，编制形成《</w:t>
      </w:r>
      <w:r>
        <w:rPr>
          <w:rFonts w:hint="eastAsia" w:ascii="仿宋_GB2312" w:hAnsi="仿宋_GB2312" w:eastAsia="仿宋_GB2312" w:cs="仿宋_GB2312"/>
          <w:spacing w:val="5"/>
          <w:sz w:val="32"/>
          <w:szCs w:val="32"/>
          <w:lang w:val="en-US" w:eastAsia="zh-CN"/>
        </w:rPr>
        <w:t>旺苍</w:t>
      </w:r>
      <w:r>
        <w:rPr>
          <w:rFonts w:hint="eastAsia" w:ascii="仿宋_GB2312" w:hAnsi="仿宋_GB2312" w:eastAsia="仿宋_GB2312" w:cs="仿宋_GB2312"/>
          <w:spacing w:val="5"/>
          <w:sz w:val="32"/>
          <w:szCs w:val="32"/>
        </w:rPr>
        <w:t>林业发展“十四五”规划》</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本规划实施期为2021—2025年，是规划期内</w:t>
      </w:r>
      <w:r>
        <w:rPr>
          <w:rFonts w:hint="eastAsia" w:ascii="仿宋_GB2312" w:hAnsi="仿宋_GB2312" w:eastAsia="仿宋_GB2312" w:cs="仿宋_GB2312"/>
          <w:spacing w:val="5"/>
          <w:sz w:val="32"/>
          <w:szCs w:val="32"/>
          <w:lang w:val="en-US" w:eastAsia="zh-CN"/>
        </w:rPr>
        <w:t>全县</w:t>
      </w:r>
      <w:r>
        <w:rPr>
          <w:rFonts w:hint="eastAsia" w:ascii="仿宋_GB2312" w:hAnsi="仿宋_GB2312" w:eastAsia="仿宋_GB2312" w:cs="仿宋_GB2312"/>
          <w:spacing w:val="5"/>
          <w:sz w:val="32"/>
          <w:szCs w:val="32"/>
        </w:rPr>
        <w:t>林业工作安排的重要依据。规划提出的目标任务和工作举措，实施过程中遇到新的情况和问题时将实事求是以灵活的形式作出调整。</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sectPr>
          <w:footerReference r:id="rId6" w:type="default"/>
          <w:pgSz w:w="11906" w:h="16839"/>
          <w:pgMar w:top="2098" w:right="1474" w:bottom="1984" w:left="1531" w:header="850" w:footer="850" w:gutter="0"/>
          <w:pgNumType w:fmt="decimal" w:start="1"/>
          <w:cols w:space="0" w:num="1"/>
          <w:rtlGutter w:val="0"/>
          <w:docGrid w:linePitch="0" w:charSpace="0"/>
        </w:sectPr>
      </w:pPr>
    </w:p>
    <w:p>
      <w:pPr>
        <w:keepNext w:val="0"/>
        <w:keepLines w:val="0"/>
        <w:pageBreakBefore w:val="0"/>
        <w:widowControl w:val="0"/>
        <w:numPr>
          <w:ilvl w:val="0"/>
          <w:numId w:val="0"/>
        </w:numPr>
        <w:wordWrap/>
        <w:overflowPunct/>
        <w:topLinePunct w:val="0"/>
        <w:bidi w:val="0"/>
        <w:spacing w:line="576" w:lineRule="exact"/>
        <w:ind w:right="0" w:rightChars="0"/>
        <w:jc w:val="center"/>
        <w:outlineLvl w:val="0"/>
        <w:rPr>
          <w:rFonts w:ascii="黑体" w:hAnsi="黑体" w:eastAsia="黑体" w:cs="黑体"/>
          <w:spacing w:val="10"/>
          <w:sz w:val="32"/>
          <w:szCs w:val="32"/>
        </w:rPr>
      </w:pPr>
      <w:bookmarkStart w:id="13" w:name="_Toc12365"/>
      <w:bookmarkStart w:id="14" w:name="_Toc19101"/>
      <w:r>
        <w:rPr>
          <w:rFonts w:hint="eastAsia" w:ascii="黑体" w:hAnsi="黑体" w:eastAsia="黑体" w:cs="黑体"/>
          <w:spacing w:val="10"/>
          <w:sz w:val="32"/>
          <w:szCs w:val="32"/>
          <w:lang w:eastAsia="zh-CN"/>
        </w:rPr>
        <w:t>第一章</w:t>
      </w:r>
      <w:r>
        <w:rPr>
          <w:rFonts w:hint="eastAsia" w:ascii="黑体" w:hAnsi="黑体" w:eastAsia="黑体" w:cs="黑体"/>
          <w:spacing w:val="10"/>
          <w:sz w:val="32"/>
          <w:szCs w:val="32"/>
          <w:lang w:val="en-US" w:eastAsia="zh-CN"/>
        </w:rPr>
        <w:t xml:space="preserve"> </w:t>
      </w:r>
      <w:r>
        <w:rPr>
          <w:rFonts w:ascii="黑体" w:hAnsi="黑体" w:eastAsia="黑体" w:cs="黑体"/>
          <w:spacing w:val="10"/>
          <w:sz w:val="32"/>
          <w:szCs w:val="32"/>
        </w:rPr>
        <w:t>发展环境</w:t>
      </w:r>
      <w:bookmarkEnd w:id="13"/>
      <w:bookmarkEnd w:id="14"/>
    </w:p>
    <w:p>
      <w:pPr>
        <w:pStyle w:val="2"/>
        <w:pageBreakBefore w:val="0"/>
        <w:numPr>
          <w:ilvl w:val="0"/>
          <w:numId w:val="0"/>
        </w:numPr>
        <w:wordWrap/>
        <w:overflowPunct/>
        <w:topLinePunct w:val="0"/>
        <w:bidi w:val="0"/>
        <w:spacing w:line="576" w:lineRule="exact"/>
        <w:ind w:leftChars="0" w:firstLine="640" w:firstLineChars="200"/>
        <w:rPr>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推动“十四五”时期我</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林业高质量发展，必须深刻认识我</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林业发展现状、</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情实际、发展基础和优势条件，科学分析新发展阶段面临的新挑战，抢抓发展新机遇，主动服从服务于全国全省全市</w:t>
      </w:r>
      <w:r>
        <w:rPr>
          <w:rFonts w:hint="eastAsia" w:ascii="仿宋_GB2312" w:hAnsi="仿宋_GB2312" w:eastAsia="仿宋_GB2312" w:cs="仿宋_GB2312"/>
          <w:spacing w:val="5"/>
          <w:sz w:val="32"/>
          <w:szCs w:val="32"/>
          <w:lang w:eastAsia="zh-CN"/>
        </w:rPr>
        <w:t>全县</w:t>
      </w:r>
      <w:r>
        <w:rPr>
          <w:rFonts w:hint="eastAsia" w:ascii="仿宋_GB2312" w:hAnsi="仿宋_GB2312" w:eastAsia="仿宋_GB2312" w:cs="仿宋_GB2312"/>
          <w:spacing w:val="5"/>
          <w:sz w:val="32"/>
          <w:szCs w:val="32"/>
        </w:rPr>
        <w:t>改革发展大局，推动我</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林业发展迈向高质量发展新阶段，开启全面建设社会主义现代化国家</w:t>
      </w:r>
      <w:r>
        <w:rPr>
          <w:rFonts w:hint="eastAsia" w:ascii="仿宋_GB2312" w:hAnsi="仿宋_GB2312" w:eastAsia="仿宋_GB2312" w:cs="仿宋_GB2312"/>
          <w:spacing w:val="5"/>
          <w:sz w:val="32"/>
          <w:szCs w:val="32"/>
          <w:lang w:eastAsia="zh-CN"/>
        </w:rPr>
        <w:t>旺苍</w:t>
      </w:r>
      <w:r>
        <w:rPr>
          <w:rFonts w:hint="eastAsia" w:ascii="仿宋_GB2312" w:hAnsi="仿宋_GB2312" w:eastAsia="仿宋_GB2312" w:cs="仿宋_GB2312"/>
          <w:spacing w:val="5"/>
          <w:sz w:val="32"/>
          <w:szCs w:val="32"/>
        </w:rPr>
        <w:t>实践新征程。新时代站在新起点，</w:t>
      </w:r>
      <w:r>
        <w:rPr>
          <w:rFonts w:hint="eastAsia" w:ascii="仿宋_GB2312" w:hAnsi="仿宋_GB2312" w:eastAsia="仿宋_GB2312" w:cs="仿宋_GB2312"/>
          <w:spacing w:val="5"/>
          <w:sz w:val="32"/>
          <w:szCs w:val="32"/>
          <w:lang w:val="en-US" w:eastAsia="zh-CN"/>
        </w:rPr>
        <w:t>旺苍</w:t>
      </w:r>
      <w:r>
        <w:rPr>
          <w:rFonts w:hint="eastAsia" w:ascii="仿宋_GB2312" w:hAnsi="仿宋_GB2312" w:eastAsia="仿宋_GB2312" w:cs="仿宋_GB2312"/>
          <w:spacing w:val="5"/>
          <w:sz w:val="32"/>
          <w:szCs w:val="32"/>
        </w:rPr>
        <w:t>林业必须认清形势、砥砺前行，切实把“十四五”发展规划好、落实好。</w:t>
      </w:r>
    </w:p>
    <w:p>
      <w:pPr>
        <w:pStyle w:val="2"/>
        <w:keepNext w:val="0"/>
        <w:keepLines w:val="0"/>
        <w:pageBreakBefore w:val="0"/>
        <w:widowControl w:val="0"/>
        <w:wordWrap/>
        <w:overflowPunct/>
        <w:topLinePunct w:val="0"/>
        <w:bidi w:val="0"/>
        <w:spacing w:line="576" w:lineRule="exact"/>
        <w:ind w:left="0" w:leftChars="0" w:firstLine="640" w:firstLineChars="200"/>
        <w:rPr>
          <w:sz w:val="32"/>
          <w:szCs w:val="32"/>
        </w:rPr>
      </w:pPr>
    </w:p>
    <w:p>
      <w:pPr>
        <w:keepNext w:val="0"/>
        <w:keepLines w:val="0"/>
        <w:pageBreakBefore w:val="0"/>
        <w:widowControl w:val="0"/>
        <w:numPr>
          <w:ilvl w:val="0"/>
          <w:numId w:val="0"/>
        </w:numPr>
        <w:wordWrap/>
        <w:overflowPunct/>
        <w:topLinePunct w:val="0"/>
        <w:bidi w:val="0"/>
        <w:spacing w:line="576" w:lineRule="exact"/>
        <w:ind w:left="0" w:leftChars="0" w:right="0" w:rightChars="0" w:firstLine="668" w:firstLineChars="200"/>
        <w:jc w:val="center"/>
        <w:outlineLvl w:val="1"/>
        <w:rPr>
          <w:rFonts w:ascii="黑体" w:hAnsi="黑体" w:eastAsia="黑体" w:cs="黑体"/>
          <w:spacing w:val="7"/>
          <w:sz w:val="32"/>
          <w:szCs w:val="32"/>
        </w:rPr>
      </w:pPr>
      <w:bookmarkStart w:id="15" w:name="_Toc26905"/>
      <w:bookmarkStart w:id="16" w:name="_Toc105"/>
      <w:r>
        <w:rPr>
          <w:rFonts w:hint="eastAsia" w:ascii="黑体" w:hAnsi="黑体" w:eastAsia="黑体" w:cs="黑体"/>
          <w:spacing w:val="7"/>
          <w:sz w:val="32"/>
          <w:szCs w:val="32"/>
          <w:lang w:eastAsia="zh-CN"/>
        </w:rPr>
        <w:t>第一节</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 xml:space="preserve"> </w:t>
      </w:r>
      <w:r>
        <w:rPr>
          <w:rFonts w:ascii="Times New Roman" w:hAnsi="Times New Roman" w:eastAsia="Times New Roman" w:cs="Times New Roman"/>
          <w:spacing w:val="7"/>
          <w:sz w:val="32"/>
          <w:szCs w:val="32"/>
        </w:rPr>
        <w:t>“</w:t>
      </w:r>
      <w:r>
        <w:rPr>
          <w:rFonts w:ascii="黑体" w:hAnsi="黑体" w:eastAsia="黑体" w:cs="黑体"/>
          <w:spacing w:val="7"/>
          <w:sz w:val="32"/>
          <w:szCs w:val="32"/>
        </w:rPr>
        <w:t>十三五</w:t>
      </w:r>
      <w:r>
        <w:rPr>
          <w:rFonts w:ascii="Times New Roman" w:hAnsi="Times New Roman" w:eastAsia="Times New Roman" w:cs="Times New Roman"/>
          <w:spacing w:val="7"/>
          <w:sz w:val="32"/>
          <w:szCs w:val="32"/>
        </w:rPr>
        <w:t>”</w:t>
      </w:r>
      <w:r>
        <w:rPr>
          <w:rFonts w:ascii="黑体" w:hAnsi="黑体" w:eastAsia="黑体" w:cs="黑体"/>
          <w:spacing w:val="7"/>
          <w:sz w:val="32"/>
          <w:szCs w:val="32"/>
        </w:rPr>
        <w:t>建设成就</w:t>
      </w:r>
      <w:bookmarkEnd w:id="15"/>
      <w:bookmarkEnd w:id="16"/>
    </w:p>
    <w:p>
      <w:pPr>
        <w:pStyle w:val="2"/>
        <w:keepNext w:val="0"/>
        <w:keepLines w:val="0"/>
        <w:pageBreakBefore w:val="0"/>
        <w:widowControl w:val="0"/>
        <w:numPr>
          <w:ilvl w:val="0"/>
          <w:numId w:val="0"/>
        </w:numPr>
        <w:wordWrap/>
        <w:overflowPunct/>
        <w:topLinePunct w:val="0"/>
        <w:bidi w:val="0"/>
        <w:spacing w:line="576" w:lineRule="exact"/>
        <w:ind w:left="0" w:leftChars="0" w:firstLine="640" w:firstLineChars="200"/>
        <w:rPr>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“十三五”以来，在</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委、</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政府的坚强领导下，</w:t>
      </w:r>
      <w:r>
        <w:rPr>
          <w:rFonts w:hint="eastAsia" w:ascii="仿宋_GB2312" w:hAnsi="仿宋_GB2312" w:eastAsia="仿宋_GB2312" w:cs="仿宋_GB2312"/>
          <w:spacing w:val="5"/>
          <w:sz w:val="32"/>
          <w:szCs w:val="32"/>
          <w:lang w:val="en-US" w:eastAsia="zh-CN"/>
        </w:rPr>
        <w:t>全县</w:t>
      </w:r>
      <w:r>
        <w:rPr>
          <w:rFonts w:hint="eastAsia" w:ascii="仿宋_GB2312" w:hAnsi="仿宋_GB2312" w:eastAsia="仿宋_GB2312" w:cs="仿宋_GB2312"/>
          <w:spacing w:val="5"/>
          <w:sz w:val="32"/>
          <w:szCs w:val="32"/>
        </w:rPr>
        <w:t>林业认真贯彻落实党中央国务院、省委省政府、市委市政府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县委县政府</w:t>
      </w:r>
      <w:r>
        <w:rPr>
          <w:rFonts w:hint="eastAsia" w:ascii="仿宋_GB2312" w:hAnsi="仿宋_GB2312" w:eastAsia="仿宋_GB2312" w:cs="仿宋_GB2312"/>
          <w:spacing w:val="5"/>
          <w:sz w:val="32"/>
          <w:szCs w:val="32"/>
        </w:rPr>
        <w:t>各项决策部署，坚定不移</w:t>
      </w:r>
      <w:r>
        <w:rPr>
          <w:rFonts w:hint="eastAsia" w:ascii="仿宋_GB2312" w:hAnsi="仿宋_GB2312" w:eastAsia="仿宋_GB2312" w:cs="仿宋_GB2312"/>
          <w:spacing w:val="5"/>
          <w:sz w:val="32"/>
          <w:szCs w:val="32"/>
          <w:lang w:val="en-US" w:eastAsia="zh-CN"/>
        </w:rPr>
        <w:t>推进市委“1345”发展战略，认真落实</w:t>
      </w:r>
      <w:r>
        <w:rPr>
          <w:rFonts w:hint="eastAsia" w:ascii="仿宋_GB2312" w:hAnsi="仿宋_GB2312" w:eastAsia="仿宋_GB2312" w:cs="仿宋_GB2312"/>
          <w:spacing w:val="5"/>
          <w:sz w:val="32"/>
          <w:szCs w:val="32"/>
        </w:rPr>
        <w:t>县委“生态优先、创新驱动、转型发展、富民强县”的发展</w:t>
      </w:r>
      <w:r>
        <w:rPr>
          <w:rFonts w:hint="eastAsia" w:ascii="仿宋_GB2312" w:hAnsi="仿宋_GB2312" w:eastAsia="仿宋_GB2312" w:cs="仿宋_GB2312"/>
          <w:spacing w:val="5"/>
          <w:sz w:val="32"/>
          <w:szCs w:val="32"/>
          <w:lang w:val="en-US" w:eastAsia="zh-CN"/>
        </w:rPr>
        <w:t>理念</w:t>
      </w:r>
      <w:r>
        <w:rPr>
          <w:rFonts w:hint="eastAsia" w:ascii="仿宋_GB2312" w:hAnsi="仿宋_GB2312" w:eastAsia="仿宋_GB2312" w:cs="仿宋_GB2312"/>
          <w:spacing w:val="5"/>
          <w:sz w:val="32"/>
          <w:szCs w:val="32"/>
        </w:rPr>
        <w:t>，坚决打赢“三大攻坚战”，统筹推进生态保护、生态修复、生态惠民，做好建设绿水青山、保护绿水青山、利用绿水青山三篇文章。</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国土绿化成效显著。大力实施大规模绿化全川</w:t>
      </w:r>
      <w:r>
        <w:rPr>
          <w:rFonts w:hint="eastAsia" w:ascii="仿宋_GB2312" w:hAnsi="仿宋_GB2312" w:eastAsia="仿宋_GB2312" w:cs="仿宋_GB2312"/>
          <w:spacing w:val="5"/>
          <w:sz w:val="32"/>
          <w:szCs w:val="32"/>
          <w:lang w:val="en-US" w:eastAsia="zh-CN"/>
        </w:rPr>
        <w:t>旺苍</w:t>
      </w:r>
      <w:r>
        <w:rPr>
          <w:rFonts w:hint="eastAsia" w:ascii="仿宋_GB2312" w:hAnsi="仿宋_GB2312" w:eastAsia="仿宋_GB2312" w:cs="仿宋_GB2312"/>
          <w:spacing w:val="5"/>
          <w:sz w:val="32"/>
          <w:szCs w:val="32"/>
        </w:rPr>
        <w:t>行动，统筹推进城乡绿化建设</w:t>
      </w:r>
      <w:r>
        <w:rPr>
          <w:rFonts w:hint="eastAsia" w:ascii="仿宋_GB2312" w:hAnsi="仿宋_GB2312" w:eastAsia="仿宋_GB2312" w:cs="仿宋_GB2312"/>
          <w:spacing w:val="5"/>
          <w:sz w:val="32"/>
          <w:szCs w:val="32"/>
          <w:lang w:eastAsia="zh-CN"/>
        </w:rPr>
        <w:t>，完成了青林山步游道七里香长廊等重点绿化工程建设，加强城区园林绿化植绿补绿和日常管理，全县园林绿地总面积506公顷，绿化覆盖率35.2%，绿地率34.1%，人均公共绿地12.1㎡。</w:t>
      </w:r>
      <w:r>
        <w:rPr>
          <w:rFonts w:hint="eastAsia" w:ascii="仿宋_GB2312" w:hAnsi="仿宋_GB2312" w:eastAsia="仿宋_GB2312" w:cs="仿宋_GB2312"/>
          <w:spacing w:val="5"/>
          <w:sz w:val="32"/>
          <w:szCs w:val="32"/>
        </w:rPr>
        <w:t>规范实施造林和森林经营，深入实施天然林保护、退耕还林等重点工程，加快实施森林质量精准提升</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国家储备林建设，探索推进林业碳汇等项目。全面完成营造林任务20余万亩，新增森林面积16.9万亩、蓄积117.1万立方米</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森林覆盖率提高2.9个百分点，成功创建全国生态功能重点县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全省长江上游生态屏障建设先进县、全省现代林业产业重点县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全省绿化模范县。</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林业产业稳步壮大。林业总产值达到32亿元，农民从林业获得的人均纯收入3800元。逐步构建起以核桃为主的木本油料+森林蔬菜</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笋用竹</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、花卉珍稀林木、林草中药材、林板加工、森林康养旅游的“2+5”现代林业产业体系</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实施核桃品种改良年均3万亩以上，深入开展投产挂果见效攻坚行动，主要林产品产量大幅增长，核桃产量稳居全省前列，成功选育省认定“旺核1号”“旺核2号”本地优良品种</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3家专合社被国家林业局认定为“服务精准扶贫国家林下经济及绿色产业示范基地”</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成功申报四川省旺苍县英萃镇国家级核桃示范基地，普济黄花山核桃获得国家级绿色食品认证，探索出的核桃苗木“定点采种、定点育苗、定价生产”三定机制得到省林业厅的高度评价。依托丰富的森林旅游资源，全县森林人家呈现持续健康发展态势，评定出一星级森林人家3家</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二星级森林人家7家。申报省级生态文明教育基地1处、省级森林康养人家2家、省级森林康养基地1处，成功推荐国家森林乡村7处，成功申报四星级森林人家2家，旺苍县大峡谷森林康养基地2019年成功申报为全国森林康养基地试点建设单位。选聘3200余名建档立卡贫困人口为生态护林员，全县集体和个人所有森林生态效益补偿面积127.8736万亩，兑现补偿资金1886.14万元，发放公共管护资金25万元</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保护体系日益完善。自然保护地整合优化稳步推进。区域内国家重点野生动植物物种得到有效保护，陆生野生动植物种群明显壮大。林地保有量稳定在22.4万公顷以上，森林火灾损失率、林业有害生物成灾率每年均控制在市下达控制指标内，保护发展森林资源目标责任制被市政府表彰为优秀，被省委宣传部、省森林草原防火指挥部、省林业厅、省司法厅表彰为“四川省森林防火条例宣传活动成效显著单位”，连续5年被川陕鄂渝巴山地区护林联防委员会表彰为“先进集体”，嘉陵江上游生态屏障进一步夯实筑牢。</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林业改革持续深化。全面完成国有林场（苗圃）林区主体改革，实现了国有林场（苗圃）林区改革“八到位”，即：建立健全国有林管理机构，优化国有林管理布局，合理界定单位属性，全面剥离社会管理服务职能，妥善安置林区富余人员，加强林区社会保障工作，转换林区经营管理机制，加强国有森林资源监管</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eastAsia="zh-CN"/>
        </w:rPr>
      </w:pPr>
    </w:p>
    <w:p>
      <w:pPr>
        <w:keepNext w:val="0"/>
        <w:keepLines w:val="0"/>
        <w:pageBreakBefore w:val="0"/>
        <w:widowControl w:val="0"/>
        <w:numPr>
          <w:ilvl w:val="0"/>
          <w:numId w:val="0"/>
        </w:numPr>
        <w:wordWrap/>
        <w:overflowPunct/>
        <w:topLinePunct w:val="0"/>
        <w:bidi w:val="0"/>
        <w:spacing w:line="576" w:lineRule="exact"/>
        <w:ind w:right="0" w:rightChars="0"/>
        <w:jc w:val="center"/>
        <w:outlineLvl w:val="1"/>
        <w:rPr>
          <w:rFonts w:ascii="黑体" w:hAnsi="黑体" w:eastAsia="黑体" w:cs="黑体"/>
          <w:spacing w:val="7"/>
          <w:sz w:val="32"/>
          <w:szCs w:val="32"/>
        </w:rPr>
      </w:pPr>
      <w:bookmarkStart w:id="17" w:name="_Toc7290"/>
      <w:bookmarkStart w:id="18" w:name="_Toc6565"/>
      <w:r>
        <w:rPr>
          <w:rFonts w:hint="eastAsia" w:ascii="黑体" w:hAnsi="黑体" w:eastAsia="黑体" w:cs="黑体"/>
          <w:spacing w:val="7"/>
          <w:sz w:val="32"/>
          <w:szCs w:val="32"/>
          <w:lang w:eastAsia="zh-CN"/>
        </w:rPr>
        <w:t>第二节</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发展现状</w:t>
      </w:r>
      <w:bookmarkEnd w:id="17"/>
      <w:bookmarkEnd w:id="18"/>
    </w:p>
    <w:p>
      <w:pPr>
        <w:pStyle w:val="2"/>
        <w:keepNext w:val="0"/>
        <w:keepLines w:val="0"/>
        <w:pageBreakBefore w:val="0"/>
        <w:widowControl w:val="0"/>
        <w:numPr>
          <w:ilvl w:val="0"/>
          <w:numId w:val="0"/>
        </w:numPr>
        <w:wordWrap/>
        <w:overflowPunct/>
        <w:topLinePunct w:val="0"/>
        <w:bidi w:val="0"/>
        <w:spacing w:line="576" w:lineRule="exact"/>
        <w:ind w:left="0" w:leftChars="0" w:firstLine="640" w:firstLineChars="200"/>
        <w:rPr>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“十三五”期间，全</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林业建设成效突出，自然生态和林业经济持续向好，但也还存在一些问题和短板。</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森林资源保护压力日益增大。极端天气增多，林内可燃物载量偏高，高山陡坡区植被茂密，而林区防火通道、消防水池</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林火阻隔系统等基础设施建设滞后，控制大面积森林火灾能力较弱。林业有害生物持续频发、多发，特别是松材线虫病、红火蚁等重大外来有害生物传播速度快、破坏性强，根除难度大</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林业产业提质增效空间犹存。由于发展林业产业投资大、周期长，专业合作社、家庭林场、业主大户等新型经营主体培育偏慢，少、小、散、弱，产业链短、效益不高等问题在较长时间内仍将存在。一般林农经营由于青壮劳动力缺乏，留守人员掌握技术能力不强，不想管、不会管的情况较为普遍，导致清杂理乱、修枝整形、防病治虫等产业管护措施难落实，病虫害多发频发或枝叶徒长等问题未得到有效解决，严重影响林产品产量和质量，直接使林农发展林业产业的信心和决心受挫。因此，高标准实施以木本油料为主的林业产业提质增效工程迫在眉睫、势在必行。</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实现资源精细管理困难重重。国家和省正在推进森林资源精细管理常态化，近年连续开展了林保规划、森林资源二类调</w:t>
      </w:r>
      <w:r>
        <w:rPr>
          <w:rFonts w:hint="eastAsia" w:ascii="仿宋_GB2312" w:hAnsi="仿宋_GB2312" w:eastAsia="仿宋_GB2312" w:cs="仿宋_GB2312"/>
          <w:spacing w:val="5"/>
          <w:sz w:val="32"/>
          <w:szCs w:val="32"/>
          <w:lang w:val="en-US" w:eastAsia="zh-CN"/>
        </w:rPr>
        <w:t>查、</w:t>
      </w:r>
      <w:r>
        <w:rPr>
          <w:rFonts w:hint="eastAsia" w:ascii="仿宋_GB2312" w:hAnsi="仿宋_GB2312" w:eastAsia="仿宋_GB2312" w:cs="仿宋_GB2312"/>
          <w:spacing w:val="5"/>
          <w:sz w:val="32"/>
          <w:szCs w:val="32"/>
        </w:rPr>
        <w:t>林地变更、公益林更新落界，以及每年都要开展森林督查</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这些工作每项都必须依托林业调查技术单位，需较大资金投入</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而</w:t>
      </w:r>
      <w:r>
        <w:rPr>
          <w:rFonts w:hint="eastAsia" w:ascii="仿宋_GB2312" w:hAnsi="仿宋_GB2312" w:eastAsia="仿宋_GB2312" w:cs="仿宋_GB2312"/>
          <w:spacing w:val="5"/>
          <w:sz w:val="32"/>
          <w:szCs w:val="32"/>
          <w:lang w:val="en-US" w:eastAsia="zh-CN"/>
        </w:rPr>
        <w:t>实际</w:t>
      </w:r>
      <w:r>
        <w:rPr>
          <w:rFonts w:hint="eastAsia" w:ascii="仿宋_GB2312" w:hAnsi="仿宋_GB2312" w:eastAsia="仿宋_GB2312" w:cs="仿宋_GB2312"/>
          <w:spacing w:val="5"/>
          <w:sz w:val="32"/>
          <w:szCs w:val="32"/>
        </w:rPr>
        <w:t>财力有限，工作经费不足，加之相关设施设备落后，能熟练掌握并运用新技术的人员十分匮乏，难以满足新时期森林资源精细管理的现实需要。</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野生动物致害问题日趋尖锐。由于森林覆盖率高，栖息环境优越，我</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范围内野猪等陆生野生动物种群增长较快，导致损毁农作物、危害家畜、伤人等事件时有发生。虽我</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一直探索陆生野生动物致害保险试点，邀请专业猎捕队伍执行限额猎捕计划，但工作的开展力度受限于地方财力而不敷需要，只能在一定程度上缓解此类现象的发生。</w:t>
      </w:r>
    </w:p>
    <w:p>
      <w:pPr>
        <w:keepNext w:val="0"/>
        <w:keepLines w:val="0"/>
        <w:pageBreakBefore w:val="0"/>
        <w:widowControl w:val="0"/>
        <w:wordWrap/>
        <w:overflowPunct/>
        <w:topLinePunct w:val="0"/>
        <w:bidi w:val="0"/>
        <w:spacing w:line="576" w:lineRule="exact"/>
        <w:ind w:left="0" w:leftChars="0" w:right="0" w:firstLine="640" w:firstLineChars="200"/>
        <w:jc w:val="center"/>
        <w:rPr>
          <w:rFonts w:ascii="Arial"/>
          <w:sz w:val="32"/>
          <w:szCs w:val="32"/>
        </w:rPr>
      </w:pPr>
    </w:p>
    <w:p>
      <w:pPr>
        <w:keepNext w:val="0"/>
        <w:keepLines w:val="0"/>
        <w:pageBreakBefore w:val="0"/>
        <w:widowControl w:val="0"/>
        <w:wordWrap/>
        <w:overflowPunct/>
        <w:topLinePunct w:val="0"/>
        <w:bidi w:val="0"/>
        <w:spacing w:line="576" w:lineRule="exact"/>
        <w:ind w:right="0"/>
        <w:jc w:val="center"/>
        <w:outlineLvl w:val="1"/>
        <w:rPr>
          <w:rFonts w:ascii="黑体" w:hAnsi="黑体" w:eastAsia="黑体" w:cs="黑体"/>
          <w:sz w:val="32"/>
          <w:szCs w:val="32"/>
        </w:rPr>
      </w:pPr>
      <w:bookmarkStart w:id="19" w:name="_Toc2865"/>
      <w:bookmarkStart w:id="20" w:name="_Toc17097"/>
      <w:r>
        <w:rPr>
          <w:rFonts w:ascii="黑体" w:hAnsi="黑体" w:eastAsia="黑体" w:cs="黑体"/>
          <w:spacing w:val="10"/>
          <w:sz w:val="32"/>
          <w:szCs w:val="32"/>
        </w:rPr>
        <w:t>第</w:t>
      </w:r>
      <w:r>
        <w:rPr>
          <w:rFonts w:ascii="黑体" w:hAnsi="黑体" w:eastAsia="黑体" w:cs="黑体"/>
          <w:spacing w:val="7"/>
          <w:sz w:val="32"/>
          <w:szCs w:val="32"/>
        </w:rPr>
        <w:t>三节 主要形势</w:t>
      </w:r>
      <w:bookmarkEnd w:id="19"/>
      <w:bookmarkEnd w:id="20"/>
    </w:p>
    <w:p>
      <w:pPr>
        <w:keepNext w:val="0"/>
        <w:keepLines w:val="0"/>
        <w:pageBreakBefore w:val="0"/>
        <w:widowControl w:val="0"/>
        <w:wordWrap/>
        <w:overflowPunct/>
        <w:topLinePunct w:val="0"/>
        <w:bidi w:val="0"/>
        <w:spacing w:line="576" w:lineRule="exact"/>
        <w:ind w:left="0" w:leftChars="0" w:right="0" w:firstLine="640" w:firstLineChars="200"/>
        <w:rPr>
          <w:rFonts w:ascii="Arial"/>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首先，在习近平生态文明思想引领下，我国生态文明体制改革不断深入，生态环境保护的约束机制和责任追究制度越来越完善，各级党委政府建设生态文明的自觉性不断增强。其次</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国家乡村振兴、西部大开发、长江经济带、成渝地区双城经济圈建设</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川陕革命老区振兴发展等重大发展战略和四川“川东北经济区协同发展”等重大发展战略，都与林业密切相关，只要牢牢把握、科学谋划，就能在服务大局的同时推动全</w:t>
      </w:r>
      <w:r>
        <w:rPr>
          <w:rFonts w:hint="eastAsia" w:ascii="仿宋_GB2312" w:hAnsi="仿宋_GB2312" w:eastAsia="仿宋_GB2312" w:cs="仿宋_GB2312"/>
          <w:spacing w:val="5"/>
          <w:sz w:val="32"/>
          <w:szCs w:val="32"/>
          <w:lang w:eastAsia="zh-CN"/>
        </w:rPr>
        <w:t>县</w:t>
      </w:r>
      <w:r>
        <w:rPr>
          <w:rFonts w:hint="eastAsia" w:ascii="仿宋_GB2312" w:hAnsi="仿宋_GB2312" w:eastAsia="仿宋_GB2312" w:cs="仿宋_GB2312"/>
          <w:spacing w:val="5"/>
          <w:sz w:val="32"/>
          <w:szCs w:val="32"/>
        </w:rPr>
        <w:t>林业高质量发展。</w:t>
      </w:r>
      <w:r>
        <w:rPr>
          <w:rFonts w:hint="eastAsia" w:ascii="仿宋_GB2312" w:hAnsi="仿宋_GB2312" w:eastAsia="仿宋_GB2312" w:cs="仿宋_GB2312"/>
          <w:spacing w:val="5"/>
          <w:sz w:val="32"/>
          <w:szCs w:val="32"/>
          <w:lang w:val="en-US" w:eastAsia="zh-CN"/>
        </w:rPr>
        <w:t>再次，</w:t>
      </w:r>
      <w:r>
        <w:rPr>
          <w:rFonts w:hint="eastAsia" w:ascii="仿宋_GB2312" w:hAnsi="仿宋_GB2312" w:eastAsia="仿宋_GB2312" w:cs="仿宋_GB2312"/>
          <w:spacing w:val="5"/>
          <w:sz w:val="32"/>
          <w:szCs w:val="32"/>
        </w:rPr>
        <w:t>最新机构改革将各类自然保护地纳入统一监管，有利于形</w:t>
      </w:r>
      <w:r>
        <w:rPr>
          <w:rFonts w:hint="eastAsia" w:ascii="仿宋_GB2312" w:hAnsi="仿宋_GB2312" w:eastAsia="仿宋_GB2312" w:cs="仿宋_GB2312"/>
          <w:spacing w:val="5"/>
          <w:sz w:val="32"/>
          <w:szCs w:val="32"/>
          <w:lang w:val="en-US" w:eastAsia="zh-CN"/>
        </w:rPr>
        <w:t>成</w:t>
      </w:r>
      <w:r>
        <w:rPr>
          <w:rFonts w:hint="eastAsia" w:ascii="仿宋_GB2312" w:hAnsi="仿宋_GB2312" w:eastAsia="仿宋_GB2312" w:cs="仿宋_GB2312"/>
          <w:spacing w:val="5"/>
          <w:sz w:val="32"/>
          <w:szCs w:val="32"/>
        </w:rPr>
        <w:t>生态保护修复和监督管理的强大合力，山水林田湖草系统治理为</w:t>
      </w:r>
      <w:r>
        <w:rPr>
          <w:rFonts w:hint="eastAsia" w:ascii="仿宋_GB2312" w:hAnsi="仿宋_GB2312" w:eastAsia="仿宋_GB2312" w:cs="仿宋_GB2312"/>
          <w:spacing w:val="5"/>
          <w:sz w:val="32"/>
          <w:szCs w:val="32"/>
          <w:lang w:eastAsia="zh-CN"/>
        </w:rPr>
        <w:t>林业</w:t>
      </w:r>
      <w:r>
        <w:rPr>
          <w:rFonts w:hint="eastAsia" w:ascii="仿宋_GB2312" w:hAnsi="仿宋_GB2312" w:eastAsia="仿宋_GB2312" w:cs="仿宋_GB2312"/>
          <w:spacing w:val="5"/>
          <w:sz w:val="32"/>
          <w:szCs w:val="32"/>
        </w:rPr>
        <w:t>发展带来体制优势。</w:t>
      </w:r>
      <w:r>
        <w:rPr>
          <w:rFonts w:hint="eastAsia" w:ascii="仿宋_GB2312" w:hAnsi="仿宋_GB2312" w:eastAsia="仿宋_GB2312" w:cs="仿宋_GB2312"/>
          <w:spacing w:val="5"/>
          <w:sz w:val="32"/>
          <w:szCs w:val="32"/>
          <w:lang w:val="en-US" w:eastAsia="zh-CN"/>
        </w:rPr>
        <w:t>最后</w:t>
      </w:r>
      <w:r>
        <w:rPr>
          <w:rFonts w:hint="eastAsia" w:ascii="仿宋_GB2312" w:hAnsi="仿宋_GB2312" w:eastAsia="仿宋_GB2312" w:cs="仿宋_GB2312"/>
          <w:spacing w:val="5"/>
          <w:sz w:val="32"/>
          <w:szCs w:val="32"/>
        </w:rPr>
        <w:t>，当前社会主要矛盾已经转化为人民日益增长的美好生活需要和不平衡不充分的发展之间的矛盾，生态产品的巨大缺口必将吸引各种生产要素加快向林业行业聚集，社会生态觉醒将为全</w:t>
      </w:r>
      <w:r>
        <w:rPr>
          <w:rFonts w:hint="eastAsia" w:ascii="仿宋_GB2312" w:hAnsi="仿宋_GB2312" w:eastAsia="仿宋_GB2312" w:cs="仿宋_GB2312"/>
          <w:spacing w:val="5"/>
          <w:sz w:val="32"/>
          <w:szCs w:val="32"/>
          <w:lang w:eastAsia="zh-CN"/>
        </w:rPr>
        <w:t>县</w:t>
      </w:r>
      <w:r>
        <w:rPr>
          <w:rFonts w:hint="eastAsia" w:ascii="仿宋_GB2312" w:hAnsi="仿宋_GB2312" w:eastAsia="仿宋_GB2312" w:cs="仿宋_GB2312"/>
          <w:spacing w:val="5"/>
          <w:sz w:val="32"/>
          <w:szCs w:val="32"/>
        </w:rPr>
        <w:t>林业改革发展增添更多正能量。</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总体来看</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“十四五”时期，我</w:t>
      </w:r>
      <w:r>
        <w:rPr>
          <w:rFonts w:hint="eastAsia" w:ascii="仿宋_GB2312" w:hAnsi="仿宋_GB2312" w:eastAsia="仿宋_GB2312" w:cs="仿宋_GB2312"/>
          <w:spacing w:val="5"/>
          <w:sz w:val="32"/>
          <w:szCs w:val="32"/>
          <w:lang w:val="en-US" w:eastAsia="zh-CN"/>
        </w:rPr>
        <w:t>县</w:t>
      </w:r>
      <w:r>
        <w:rPr>
          <w:rFonts w:hint="eastAsia" w:ascii="仿宋_GB2312" w:hAnsi="仿宋_GB2312" w:eastAsia="仿宋_GB2312" w:cs="仿宋_GB2312"/>
          <w:spacing w:val="5"/>
          <w:sz w:val="32"/>
          <w:szCs w:val="32"/>
        </w:rPr>
        <w:t>林业发展仍处于补齐短板、大有作为的重要战略机遇期，必须树立发展信心，紧紧围绕加快建设</w:t>
      </w:r>
      <w:r>
        <w:rPr>
          <w:rFonts w:hint="eastAsia" w:ascii="仿宋_GB2312" w:hAnsi="仿宋_GB2312" w:eastAsia="仿宋_GB2312" w:cs="仿宋_GB2312"/>
          <w:spacing w:val="5"/>
          <w:sz w:val="32"/>
          <w:szCs w:val="32"/>
          <w:lang w:eastAsia="zh-CN"/>
        </w:rPr>
        <w:t>新型工业强县、红色文化强县、生态康养强县、黄茶产业强县</w:t>
      </w:r>
      <w:r>
        <w:rPr>
          <w:rFonts w:hint="eastAsia" w:ascii="仿宋_GB2312" w:hAnsi="仿宋_GB2312" w:eastAsia="仿宋_GB2312" w:cs="仿宋_GB2312"/>
          <w:spacing w:val="5"/>
          <w:sz w:val="32"/>
          <w:szCs w:val="32"/>
        </w:rPr>
        <w:t>目标要求，坚持问题导向，不断创新工作思路，落实新发展理念，破解发展难题，奋力开创全</w:t>
      </w:r>
      <w:r>
        <w:rPr>
          <w:rFonts w:hint="eastAsia" w:ascii="仿宋_GB2312" w:hAnsi="仿宋_GB2312" w:eastAsia="仿宋_GB2312" w:cs="仿宋_GB2312"/>
          <w:spacing w:val="5"/>
          <w:sz w:val="32"/>
          <w:szCs w:val="32"/>
          <w:lang w:eastAsia="zh-CN"/>
        </w:rPr>
        <w:t>县</w:t>
      </w:r>
      <w:r>
        <w:rPr>
          <w:rFonts w:hint="eastAsia" w:ascii="仿宋_GB2312" w:hAnsi="仿宋_GB2312" w:eastAsia="仿宋_GB2312" w:cs="仿宋_GB2312"/>
          <w:spacing w:val="5"/>
          <w:sz w:val="32"/>
          <w:szCs w:val="32"/>
        </w:rPr>
        <w:t>林业发展新局面</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76" w:lineRule="exact"/>
        <w:ind w:left="0" w:leftChars="0" w:right="0" w:firstLine="640" w:firstLineChars="200"/>
        <w:jc w:val="center"/>
        <w:rPr>
          <w:rFonts w:ascii="Arial"/>
          <w:sz w:val="32"/>
          <w:szCs w:val="32"/>
        </w:rPr>
      </w:pPr>
    </w:p>
    <w:p>
      <w:pPr>
        <w:keepNext w:val="0"/>
        <w:keepLines w:val="0"/>
        <w:pageBreakBefore w:val="0"/>
        <w:widowControl w:val="0"/>
        <w:wordWrap/>
        <w:overflowPunct/>
        <w:topLinePunct w:val="0"/>
        <w:bidi w:val="0"/>
        <w:spacing w:line="576" w:lineRule="exact"/>
        <w:ind w:right="0"/>
        <w:jc w:val="center"/>
        <w:outlineLvl w:val="0"/>
        <w:rPr>
          <w:rFonts w:ascii="黑体" w:hAnsi="黑体" w:eastAsia="黑体" w:cs="黑体"/>
          <w:sz w:val="32"/>
          <w:szCs w:val="32"/>
        </w:rPr>
      </w:pPr>
      <w:bookmarkStart w:id="21" w:name="_Toc30574"/>
      <w:bookmarkStart w:id="22" w:name="_Toc16706"/>
      <w:r>
        <w:rPr>
          <w:rFonts w:ascii="黑体" w:hAnsi="黑体" w:eastAsia="黑体" w:cs="黑体"/>
          <w:spacing w:val="12"/>
          <w:sz w:val="32"/>
          <w:szCs w:val="32"/>
        </w:rPr>
        <w:t>第</w:t>
      </w:r>
      <w:r>
        <w:rPr>
          <w:rFonts w:ascii="黑体" w:hAnsi="黑体" w:eastAsia="黑体" w:cs="黑体"/>
          <w:spacing w:val="7"/>
          <w:sz w:val="32"/>
          <w:szCs w:val="32"/>
        </w:rPr>
        <w:t>二章  总体要求</w:t>
      </w:r>
      <w:bookmarkEnd w:id="21"/>
      <w:bookmarkEnd w:id="22"/>
    </w:p>
    <w:p>
      <w:pPr>
        <w:keepNext w:val="0"/>
        <w:keepLines w:val="0"/>
        <w:pageBreakBefore w:val="0"/>
        <w:widowControl w:val="0"/>
        <w:wordWrap/>
        <w:overflowPunct/>
        <w:topLinePunct w:val="0"/>
        <w:bidi w:val="0"/>
        <w:spacing w:line="576" w:lineRule="exact"/>
        <w:ind w:leftChars="0" w:right="0" w:firstLine="640" w:firstLineChars="200"/>
        <w:jc w:val="both"/>
        <w:rPr>
          <w:rFonts w:ascii="Arial"/>
          <w:sz w:val="32"/>
          <w:szCs w:val="32"/>
        </w:rPr>
      </w:pPr>
    </w:p>
    <w:p>
      <w:pPr>
        <w:keepNext w:val="0"/>
        <w:keepLines w:val="0"/>
        <w:pageBreakBefore w:val="0"/>
        <w:widowControl w:val="0"/>
        <w:wordWrap/>
        <w:overflowPunct/>
        <w:topLinePunct w:val="0"/>
        <w:bidi w:val="0"/>
        <w:spacing w:line="576" w:lineRule="exact"/>
        <w:ind w:right="0"/>
        <w:jc w:val="center"/>
        <w:outlineLvl w:val="1"/>
        <w:rPr>
          <w:rFonts w:ascii="黑体" w:hAnsi="黑体" w:eastAsia="黑体" w:cs="黑体"/>
          <w:sz w:val="32"/>
          <w:szCs w:val="32"/>
        </w:rPr>
      </w:pPr>
      <w:bookmarkStart w:id="23" w:name="_Toc3801"/>
      <w:bookmarkStart w:id="24" w:name="_Toc20679"/>
      <w:r>
        <w:rPr>
          <w:rFonts w:ascii="黑体" w:hAnsi="黑体" w:eastAsia="黑体" w:cs="黑体"/>
          <w:spacing w:val="10"/>
          <w:sz w:val="32"/>
          <w:szCs w:val="32"/>
        </w:rPr>
        <w:t>第</w:t>
      </w:r>
      <w:r>
        <w:rPr>
          <w:rFonts w:ascii="黑体" w:hAnsi="黑体" w:eastAsia="黑体" w:cs="黑体"/>
          <w:spacing w:val="7"/>
          <w:sz w:val="32"/>
          <w:szCs w:val="32"/>
        </w:rPr>
        <w:t>一节 指导思想</w:t>
      </w:r>
      <w:bookmarkEnd w:id="23"/>
      <w:bookmarkEnd w:id="24"/>
    </w:p>
    <w:p>
      <w:pPr>
        <w:keepNext w:val="0"/>
        <w:keepLines w:val="0"/>
        <w:pageBreakBefore w:val="0"/>
        <w:widowControl w:val="0"/>
        <w:wordWrap/>
        <w:overflowPunct/>
        <w:topLinePunct w:val="0"/>
        <w:bidi w:val="0"/>
        <w:spacing w:line="576" w:lineRule="exact"/>
        <w:ind w:left="0" w:leftChars="0" w:right="0" w:firstLine="640" w:firstLineChars="200"/>
        <w:rPr>
          <w:rFonts w:ascii="Arial"/>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高举中国特色社会主义伟大旗帜，全面贯彻党的十九大和十九届历次全会精神,</w:t>
      </w:r>
      <w:r>
        <w:rPr>
          <w:rFonts w:hint="eastAsia" w:ascii="仿宋_GB2312" w:hAnsi="仿宋_GB2312" w:eastAsia="仿宋_GB2312" w:cs="仿宋_GB2312"/>
          <w:spacing w:val="5"/>
          <w:sz w:val="32"/>
          <w:szCs w:val="32"/>
        </w:rPr>
        <w:t>深入贯彻党的二十大精神</w:t>
      </w:r>
      <w:r>
        <w:rPr>
          <w:rFonts w:hint="eastAsia" w:ascii="仿宋_GB2312" w:hAnsi="仿宋_GB2312" w:eastAsia="仿宋_GB2312" w:cs="仿宋_GB2312"/>
          <w:spacing w:val="5"/>
          <w:sz w:val="32"/>
          <w:szCs w:val="32"/>
        </w:rPr>
        <w:t>,以习近平新时代中国特色社会主义思想和习近平总书记对四川工作系列重要指示精神为指导，牢固树立绿水青山就是金山银山理念，全面落实省委、市委</w:t>
      </w:r>
      <w:r>
        <w:rPr>
          <w:rFonts w:hint="eastAsia" w:ascii="仿宋_GB2312" w:hAnsi="仿宋_GB2312" w:eastAsia="仿宋_GB2312" w:cs="仿宋_GB2312"/>
          <w:spacing w:val="5"/>
          <w:sz w:val="32"/>
          <w:szCs w:val="32"/>
          <w:lang w:val="en-US" w:eastAsia="zh-CN"/>
        </w:rPr>
        <w:t>和县委</w:t>
      </w:r>
      <w:r>
        <w:rPr>
          <w:rFonts w:hint="eastAsia" w:ascii="仿宋_GB2312" w:hAnsi="仿宋_GB2312" w:eastAsia="仿宋_GB2312" w:cs="仿宋_GB2312"/>
          <w:spacing w:val="5"/>
          <w:sz w:val="32"/>
          <w:szCs w:val="32"/>
        </w:rPr>
        <w:t>系列决策部署，坚定不移实施市委“1345”发展战略，按照县委“生态优先、创新驱动、转型发展、富民强县”的发展思路，坚决打赢“三大攻坚战”，统筹推进生态保护、生态修复、生态惠民</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做好建设绿水青山、保护绿水青山、利用绿水青山三篇文章。同时以发展现代林业为主线</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以实施重大战略、推进重大工程</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深化重大改革、完善重大制度为抓手，继续深入实施推进“生态立县”战略，全面抓好生态林业和民生林业建设，建成比较稳定的森林生态体系、比较发达的林业产业体系、比较繁荣的生态文化体系和川东北经济发展高地，初步实现经济繁荣</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政通人和、文化兴盛、天蓝地绿、安居乐业的“红色旺苍、中国茶乡”的宏伟目标。</w:t>
      </w:r>
    </w:p>
    <w:p>
      <w:pPr>
        <w:pStyle w:val="2"/>
        <w:keepNext w:val="0"/>
        <w:keepLines w:val="0"/>
        <w:pageBreakBefore w:val="0"/>
        <w:widowControl w:val="0"/>
        <w:wordWrap/>
        <w:overflowPunct/>
        <w:topLinePunct w:val="0"/>
        <w:bidi w:val="0"/>
        <w:spacing w:line="576" w:lineRule="exact"/>
        <w:ind w:left="0" w:leftChars="0" w:firstLine="640" w:firstLineChars="200"/>
        <w:rPr>
          <w:sz w:val="32"/>
          <w:szCs w:val="32"/>
        </w:rPr>
      </w:pPr>
    </w:p>
    <w:p>
      <w:pPr>
        <w:keepNext w:val="0"/>
        <w:keepLines w:val="0"/>
        <w:pageBreakBefore w:val="0"/>
        <w:widowControl w:val="0"/>
        <w:wordWrap/>
        <w:overflowPunct/>
        <w:topLinePunct w:val="0"/>
        <w:bidi w:val="0"/>
        <w:spacing w:line="576" w:lineRule="exact"/>
        <w:ind w:right="0"/>
        <w:jc w:val="center"/>
        <w:outlineLvl w:val="1"/>
        <w:rPr>
          <w:rFonts w:ascii="黑体" w:hAnsi="黑体" w:eastAsia="黑体" w:cs="黑体"/>
          <w:sz w:val="32"/>
          <w:szCs w:val="32"/>
        </w:rPr>
      </w:pPr>
      <w:bookmarkStart w:id="25" w:name="_Toc2174"/>
      <w:bookmarkStart w:id="26" w:name="_Toc13190"/>
      <w:r>
        <w:rPr>
          <w:rFonts w:ascii="黑体" w:hAnsi="黑体" w:eastAsia="黑体" w:cs="黑体"/>
          <w:spacing w:val="10"/>
          <w:sz w:val="32"/>
          <w:szCs w:val="32"/>
        </w:rPr>
        <w:t>第</w:t>
      </w:r>
      <w:r>
        <w:rPr>
          <w:rFonts w:ascii="黑体" w:hAnsi="黑体" w:eastAsia="黑体" w:cs="黑体"/>
          <w:spacing w:val="7"/>
          <w:sz w:val="32"/>
          <w:szCs w:val="32"/>
        </w:rPr>
        <w:t>二节 基本原则</w:t>
      </w:r>
      <w:bookmarkEnd w:id="25"/>
      <w:bookmarkEnd w:id="26"/>
    </w:p>
    <w:p>
      <w:pPr>
        <w:keepNext w:val="0"/>
        <w:keepLines w:val="0"/>
        <w:pageBreakBefore w:val="0"/>
        <w:widowControl w:val="0"/>
        <w:wordWrap/>
        <w:overflowPunct/>
        <w:topLinePunct w:val="0"/>
        <w:bidi w:val="0"/>
        <w:spacing w:line="576" w:lineRule="exact"/>
        <w:ind w:left="0" w:leftChars="0" w:right="0" w:firstLine="640" w:firstLineChars="200"/>
        <w:rPr>
          <w:rFonts w:ascii="Arial"/>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——坚持生态优先，绿色发展。始终坚持生态优先的林业发展战略不动摇，突出生态保护首要地位，强化生态空间管控</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集约利用林业资源，推动林业生态经济转型升级。</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——坚持统筹推进，协同发展。遵循自然规律、经济规律</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统筹保护与发展、数量与质量、重点与全面、当前与长远、政府与市场等关系，推进山水林田湖草一体化保护和修复。</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——坚持科技引领，创新发展。聚焦林业发展重大技术和政策瓶颈，整合资源要素，强化数字赋能，着力关键突破，以科技创新和深化改革形成林业发展强劲动力。</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——坚持多向发力，开放发展。主动融入国内大循环为主体、</w:t>
      </w:r>
      <w:r>
        <w:rPr>
          <w:rFonts w:hint="eastAsia" w:ascii="仿宋_GB2312" w:hAnsi="仿宋_GB2312" w:eastAsia="仿宋_GB2312" w:cs="仿宋_GB2312"/>
          <w:spacing w:val="5"/>
          <w:sz w:val="32"/>
          <w:szCs w:val="32"/>
          <w:lang w:eastAsia="zh-CN"/>
        </w:rPr>
        <w:t>国内国际双循环相互促进</w:t>
      </w:r>
      <w:r>
        <w:rPr>
          <w:rFonts w:hint="eastAsia" w:ascii="仿宋_GB2312" w:hAnsi="仿宋_GB2312" w:eastAsia="仿宋_GB2312" w:cs="仿宋_GB2312"/>
          <w:spacing w:val="5"/>
          <w:sz w:val="32"/>
          <w:szCs w:val="32"/>
        </w:rPr>
        <w:t>的发展格局，强化多区域、多行业、多层次协同合作，积极发展外向型林业。</w:t>
      </w:r>
    </w:p>
    <w:p>
      <w:pPr>
        <w:pStyle w:val="2"/>
        <w:rPr>
          <w:rFonts w:hint="eastAsia"/>
          <w:sz w:val="32"/>
          <w:szCs w:val="32"/>
        </w:rPr>
      </w:pPr>
    </w:p>
    <w:p>
      <w:pPr>
        <w:keepNext w:val="0"/>
        <w:keepLines w:val="0"/>
        <w:pageBreakBefore w:val="0"/>
        <w:widowControl w:val="0"/>
        <w:numPr>
          <w:ilvl w:val="0"/>
          <w:numId w:val="0"/>
        </w:numPr>
        <w:wordWrap/>
        <w:overflowPunct/>
        <w:topLinePunct w:val="0"/>
        <w:bidi w:val="0"/>
        <w:spacing w:line="576" w:lineRule="exact"/>
        <w:ind w:right="0" w:rightChars="0"/>
        <w:jc w:val="center"/>
        <w:outlineLvl w:val="1"/>
        <w:rPr>
          <w:rFonts w:ascii="黑体" w:hAnsi="黑体" w:eastAsia="黑体" w:cs="黑体"/>
          <w:spacing w:val="7"/>
          <w:sz w:val="32"/>
          <w:szCs w:val="32"/>
        </w:rPr>
      </w:pPr>
      <w:bookmarkStart w:id="27" w:name="_Toc31806"/>
      <w:bookmarkStart w:id="28" w:name="_Toc9177"/>
      <w:r>
        <w:rPr>
          <w:rFonts w:hint="eastAsia" w:ascii="黑体" w:hAnsi="黑体" w:eastAsia="黑体" w:cs="黑体"/>
          <w:spacing w:val="7"/>
          <w:sz w:val="32"/>
          <w:szCs w:val="32"/>
          <w:lang w:eastAsia="zh-CN"/>
        </w:rPr>
        <w:t>第三节</w:t>
      </w:r>
      <w:r>
        <w:rPr>
          <w:rFonts w:hint="eastAsia" w:ascii="黑体" w:hAnsi="黑体" w:eastAsia="黑体" w:cs="黑体"/>
          <w:spacing w:val="7"/>
          <w:sz w:val="32"/>
          <w:szCs w:val="32"/>
          <w:lang w:val="en-US" w:eastAsia="zh-CN"/>
        </w:rPr>
        <w:t xml:space="preserve"> </w:t>
      </w:r>
      <w:r>
        <w:rPr>
          <w:rFonts w:ascii="黑体" w:hAnsi="黑体" w:eastAsia="黑体" w:cs="黑体"/>
          <w:spacing w:val="7"/>
          <w:sz w:val="32"/>
          <w:szCs w:val="32"/>
        </w:rPr>
        <w:t>主要目标</w:t>
      </w:r>
      <w:bookmarkEnd w:id="27"/>
      <w:bookmarkEnd w:id="28"/>
    </w:p>
    <w:p>
      <w:pPr>
        <w:pStyle w:val="2"/>
        <w:keepNext w:val="0"/>
        <w:keepLines w:val="0"/>
        <w:pageBreakBefore w:val="0"/>
        <w:widowControl w:val="0"/>
        <w:numPr>
          <w:ilvl w:val="0"/>
          <w:numId w:val="0"/>
        </w:numPr>
        <w:wordWrap/>
        <w:overflowPunct/>
        <w:topLinePunct w:val="0"/>
        <w:bidi w:val="0"/>
        <w:spacing w:line="576" w:lineRule="exact"/>
        <w:ind w:left="0" w:leftChars="0" w:firstLine="640" w:firstLineChars="200"/>
        <w:rPr>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围绕全面推进科学绿化目标，实施重点工程造林、森林质量提升、长江廊道造林、草原生态修复、荒漠生态治理、森林城市建设、绿色家园建设、多彩通道建设、生态成果保护等九大行动，努力推动全县国土绿化取得决定性突破，构建森林生态安全格局。用5年左右时间，完成绿化造林、低质低效林改造和森林质量精准提升等重点工程建设20万亩，到2025年，全县林地面积保持在340.53万亩以上，森林覆盖率保持在66.92%以上，森林蓄积量达到1710万立方米，25度以上坡耕地和轻度石漠化土地基本得到治理，“嘉陵江”上游重要生态安全屏障功能更趋完备，林业产业总产值年均增长20%、达到</w:t>
      </w:r>
      <w:r>
        <w:rPr>
          <w:rFonts w:hint="eastAsia" w:ascii="仿宋_GB2312" w:hAnsi="仿宋_GB2312" w:eastAsia="仿宋_GB2312" w:cs="仿宋_GB2312"/>
          <w:spacing w:val="5"/>
          <w:sz w:val="32"/>
          <w:szCs w:val="32"/>
          <w:lang w:val="en-US" w:eastAsia="zh-CN"/>
        </w:rPr>
        <w:t>38</w:t>
      </w:r>
      <w:r>
        <w:rPr>
          <w:rFonts w:hint="eastAsia" w:ascii="仿宋_GB2312" w:hAnsi="仿宋_GB2312" w:eastAsia="仿宋_GB2312" w:cs="仿宋_GB2312"/>
          <w:spacing w:val="5"/>
          <w:sz w:val="32"/>
          <w:szCs w:val="32"/>
        </w:rPr>
        <w:t>亿元以上，农民人均林业收入达到</w:t>
      </w:r>
      <w:r>
        <w:rPr>
          <w:rFonts w:hint="eastAsia" w:ascii="仿宋_GB2312" w:hAnsi="仿宋_GB2312" w:eastAsia="仿宋_GB2312" w:cs="仿宋_GB2312"/>
          <w:spacing w:val="5"/>
          <w:sz w:val="32"/>
          <w:szCs w:val="32"/>
          <w:lang w:val="en-US" w:eastAsia="zh-CN"/>
        </w:rPr>
        <w:t>5580</w:t>
      </w:r>
      <w:r>
        <w:rPr>
          <w:rFonts w:hint="eastAsia" w:ascii="仿宋_GB2312" w:hAnsi="仿宋_GB2312" w:eastAsia="仿宋_GB2312" w:cs="仿宋_GB2312"/>
          <w:spacing w:val="5"/>
          <w:sz w:val="32"/>
          <w:szCs w:val="32"/>
        </w:rPr>
        <w:t>元，林业产业集群基本建立，生态文化体系进一步完善，生态文明观念深入人心</w:t>
      </w:r>
      <w:r>
        <w:rPr>
          <w:rFonts w:hint="eastAsia" w:ascii="仿宋_GB2312" w:hAnsi="仿宋_GB2312" w:eastAsia="仿宋_GB2312" w:cs="仿宋_GB2312"/>
          <w:spacing w:val="5"/>
          <w:sz w:val="32"/>
          <w:szCs w:val="32"/>
          <w:lang w:eastAsia="zh-CN"/>
        </w:rPr>
        <w:t>。</w:t>
      </w:r>
    </w:p>
    <w:p>
      <w:pPr>
        <w:keepNext w:val="0"/>
        <w:keepLines w:val="0"/>
        <w:pageBreakBefore w:val="0"/>
        <w:widowControl w:val="0"/>
        <w:wordWrap/>
        <w:overflowPunct/>
        <w:topLinePunct w:val="0"/>
        <w:bidi w:val="0"/>
        <w:spacing w:line="576" w:lineRule="exact"/>
        <w:ind w:left="0" w:leftChars="0" w:right="0" w:firstLine="680" w:firstLineChars="200"/>
        <w:jc w:val="center"/>
        <w:rPr>
          <w:rFonts w:ascii="黑体" w:hAnsi="黑体" w:eastAsia="黑体" w:cs="黑体"/>
          <w:spacing w:val="8"/>
          <w:sz w:val="32"/>
          <w:szCs w:val="32"/>
        </w:rPr>
      </w:pPr>
      <w:r>
        <w:rPr>
          <w:rFonts w:ascii="黑体" w:hAnsi="黑体" w:eastAsia="黑体" w:cs="黑体"/>
          <w:spacing w:val="10"/>
          <w:sz w:val="32"/>
          <w:szCs w:val="32"/>
        </w:rPr>
        <w:t>专</w:t>
      </w:r>
      <w:r>
        <w:rPr>
          <w:rFonts w:ascii="黑体" w:hAnsi="黑体" w:eastAsia="黑体" w:cs="黑体"/>
          <w:spacing w:val="8"/>
          <w:sz w:val="32"/>
          <w:szCs w:val="32"/>
        </w:rPr>
        <w:t xml:space="preserve">栏一  </w:t>
      </w:r>
      <w:r>
        <w:rPr>
          <w:rFonts w:ascii="Times New Roman" w:hAnsi="Times New Roman" w:eastAsia="Times New Roman" w:cs="Times New Roman"/>
          <w:spacing w:val="8"/>
          <w:sz w:val="32"/>
          <w:szCs w:val="32"/>
        </w:rPr>
        <w:t>“</w:t>
      </w:r>
      <w:r>
        <w:rPr>
          <w:rFonts w:ascii="黑体" w:hAnsi="黑体" w:eastAsia="黑体" w:cs="黑体"/>
          <w:spacing w:val="8"/>
          <w:sz w:val="32"/>
          <w:szCs w:val="32"/>
        </w:rPr>
        <w:t>十四五</w:t>
      </w:r>
      <w:r>
        <w:rPr>
          <w:rFonts w:ascii="Times New Roman" w:hAnsi="Times New Roman" w:eastAsia="Times New Roman" w:cs="Times New Roman"/>
          <w:spacing w:val="8"/>
          <w:sz w:val="32"/>
          <w:szCs w:val="32"/>
        </w:rPr>
        <w:t>”</w:t>
      </w:r>
      <w:r>
        <w:rPr>
          <w:rFonts w:ascii="黑体" w:hAnsi="黑体" w:eastAsia="黑体" w:cs="黑体"/>
          <w:spacing w:val="8"/>
          <w:sz w:val="32"/>
          <w:szCs w:val="32"/>
        </w:rPr>
        <w:t>全</w:t>
      </w:r>
      <w:r>
        <w:rPr>
          <w:rFonts w:hint="eastAsia" w:ascii="黑体" w:hAnsi="黑体" w:eastAsia="黑体" w:cs="黑体"/>
          <w:spacing w:val="8"/>
          <w:sz w:val="32"/>
          <w:szCs w:val="32"/>
          <w:lang w:val="en-US" w:eastAsia="zh-CN"/>
        </w:rPr>
        <w:t>县</w:t>
      </w:r>
      <w:r>
        <w:rPr>
          <w:rFonts w:ascii="黑体" w:hAnsi="黑体" w:eastAsia="黑体" w:cs="黑体"/>
          <w:spacing w:val="8"/>
          <w:sz w:val="32"/>
          <w:szCs w:val="32"/>
        </w:rPr>
        <w:t>林业发展主要目标</w:t>
      </w:r>
    </w:p>
    <w:tbl>
      <w:tblPr>
        <w:tblStyle w:val="8"/>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697"/>
        <w:gridCol w:w="962"/>
        <w:gridCol w:w="1956"/>
        <w:gridCol w:w="130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762" w:type="dxa"/>
            <w:gridSpan w:val="6"/>
            <w:vAlign w:val="center"/>
          </w:tcPr>
          <w:p>
            <w:pPr>
              <w:keepNext w:val="0"/>
              <w:keepLines w:val="0"/>
              <w:pageBreakBefore w:val="0"/>
              <w:widowControl w:val="0"/>
              <w:wordWrap/>
              <w:overflowPunct/>
              <w:topLinePunct w:val="0"/>
              <w:bidi w:val="0"/>
              <w:spacing w:line="576" w:lineRule="exact"/>
              <w:ind w:left="0" w:leftChars="0" w:firstLine="562" w:firstLineChars="200"/>
              <w:jc w:val="center"/>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sz w:val="28"/>
                <w:szCs w:val="28"/>
              </w:rPr>
              <w:t>专栏一主要指标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序号</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指标名称</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单位</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20</w:t>
            </w:r>
            <w:r>
              <w:rPr>
                <w:rFonts w:hint="eastAsia" w:ascii="仿宋_GB2312" w:hAnsi="仿宋_GB2312" w:eastAsia="仿宋_GB2312" w:cs="仿宋_GB2312"/>
                <w:color w:val="auto"/>
                <w:kern w:val="0"/>
                <w:sz w:val="28"/>
                <w:szCs w:val="28"/>
                <w:lang w:val="en-US" w:eastAsia="zh-CN"/>
              </w:rPr>
              <w:t>20</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202</w:t>
            </w:r>
            <w:r>
              <w:rPr>
                <w:rFonts w:hint="eastAsia" w:ascii="仿宋_GB2312" w:hAnsi="仿宋_GB2312" w:eastAsia="仿宋_GB2312" w:cs="仿宋_GB2312"/>
                <w:color w:val="auto"/>
                <w:kern w:val="0"/>
                <w:sz w:val="28"/>
                <w:szCs w:val="28"/>
                <w:lang w:val="en-US" w:eastAsia="zh-CN"/>
              </w:rPr>
              <w:t>5</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林地保有量</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万亩</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340.5</w:t>
            </w:r>
          </w:p>
        </w:tc>
        <w:tc>
          <w:tcPr>
            <w:tcW w:w="1300" w:type="dxa"/>
            <w:vAlign w:val="center"/>
          </w:tcPr>
          <w:p>
            <w:pPr>
              <w:keepNext w:val="0"/>
              <w:keepLines w:val="0"/>
              <w:pageBreakBefore w:val="0"/>
              <w:widowControl w:val="0"/>
              <w:wordWrap/>
              <w:overflowPunct/>
              <w:topLinePunct w:val="0"/>
              <w:bidi w:val="0"/>
              <w:spacing w:line="576" w:lineRule="exact"/>
              <w:jc w:val="center"/>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340.5</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森林覆盖率</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66.92</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66.92</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森林蓄积量</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万</w:t>
            </w:r>
            <w:r>
              <w:rPr>
                <w:rFonts w:hint="eastAsia" w:ascii="微软雅黑" w:hAnsi="微软雅黑" w:eastAsia="微软雅黑" w:cs="微软雅黑"/>
                <w:color w:val="auto"/>
                <w:kern w:val="0"/>
                <w:sz w:val="28"/>
                <w:szCs w:val="28"/>
                <w:lang w:eastAsia="zh-CN"/>
              </w:rPr>
              <w:t>m³</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1606</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1710</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国家级公益林保有量</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万亩</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102.7</w:t>
            </w:r>
          </w:p>
          <w:p>
            <w:pPr>
              <w:keepNext w:val="0"/>
              <w:keepLines w:val="0"/>
              <w:pageBreakBefore w:val="0"/>
              <w:widowControl w:val="0"/>
              <w:wordWrap/>
              <w:overflowPunct/>
              <w:topLinePunct w:val="0"/>
              <w:bidi w:val="0"/>
              <w:spacing w:line="576" w:lineRule="exact"/>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（实际数量）</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102.7</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5</w:t>
            </w:r>
          </w:p>
        </w:tc>
        <w:tc>
          <w:tcPr>
            <w:tcW w:w="3697" w:type="dxa"/>
            <w:vAlign w:val="center"/>
          </w:tcPr>
          <w:p>
            <w:pPr>
              <w:keepNext w:val="0"/>
              <w:keepLines w:val="0"/>
              <w:pageBreakBefore w:val="0"/>
              <w:widowControl w:val="0"/>
              <w:wordWrap/>
              <w:overflowPunct/>
              <w:topLinePunct w:val="0"/>
              <w:bidi w:val="0"/>
              <w:spacing w:line="576" w:lineRule="exact"/>
              <w:ind w:left="0" w:leftChars="0" w:firstLine="560" w:firstLineChars="200"/>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全民义务植树尽责率</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≥90</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≥90</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6</w:t>
            </w:r>
          </w:p>
        </w:tc>
        <w:tc>
          <w:tcPr>
            <w:tcW w:w="3697" w:type="dxa"/>
            <w:vAlign w:val="center"/>
          </w:tcPr>
          <w:p>
            <w:pPr>
              <w:keepNext w:val="0"/>
              <w:keepLines w:val="0"/>
              <w:pageBreakBefore w:val="0"/>
              <w:widowControl w:val="0"/>
              <w:wordWrap/>
              <w:overflowPunct/>
              <w:topLinePunct w:val="0"/>
              <w:bidi w:val="0"/>
              <w:spacing w:line="576" w:lineRule="exact"/>
              <w:jc w:val="both"/>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自然保护区、森林公园、湿地公园占国土面积百分比</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≥7.9</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≥8.6</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7</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林业产业总产值</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亿元</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≥15</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8</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森林火灾损失率</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≤0.1</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≤0.1</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31"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9</w:t>
            </w:r>
          </w:p>
        </w:tc>
        <w:tc>
          <w:tcPr>
            <w:tcW w:w="3697"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林业有害生物成灾率</w:t>
            </w:r>
          </w:p>
        </w:tc>
        <w:tc>
          <w:tcPr>
            <w:tcW w:w="962"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p>
        </w:tc>
        <w:tc>
          <w:tcPr>
            <w:tcW w:w="195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3</w:t>
            </w:r>
          </w:p>
        </w:tc>
        <w:tc>
          <w:tcPr>
            <w:tcW w:w="1300"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p>
        </w:tc>
        <w:tc>
          <w:tcPr>
            <w:tcW w:w="1116" w:type="dxa"/>
            <w:vAlign w:val="center"/>
          </w:tcPr>
          <w:p>
            <w:pPr>
              <w:keepNext w:val="0"/>
              <w:keepLines w:val="0"/>
              <w:pageBreakBefore w:val="0"/>
              <w:widowControl w:val="0"/>
              <w:wordWrap/>
              <w:overflowPunct/>
              <w:topLinePunct w:val="0"/>
              <w:bidi w:val="0"/>
              <w:spacing w:line="576"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约束性</w:t>
            </w:r>
          </w:p>
        </w:tc>
      </w:tr>
    </w:tbl>
    <w:p>
      <w:pPr>
        <w:pageBreakBefore w:val="0"/>
        <w:numPr>
          <w:ilvl w:val="0"/>
          <w:numId w:val="0"/>
        </w:numPr>
        <w:wordWrap/>
        <w:overflowPunct/>
        <w:topLinePunct w:val="0"/>
        <w:bidi w:val="0"/>
        <w:spacing w:line="576" w:lineRule="exact"/>
        <w:ind w:leftChars="0" w:firstLine="640" w:firstLineChars="200"/>
        <w:rPr>
          <w:rFonts w:hint="default" w:ascii="仿宋_GB2312" w:hAnsi="仿宋_GB2312" w:eastAsia="仿宋_GB2312" w:cs="仿宋_GB2312"/>
          <w:b w:val="0"/>
          <w:bCs w:val="0"/>
          <w:snapToGrid w:val="0"/>
          <w:color w:val="auto"/>
          <w:kern w:val="0"/>
          <w:sz w:val="32"/>
          <w:szCs w:val="32"/>
          <w:highlight w:val="none"/>
          <w:lang w:val="en-US" w:eastAsia="zh-CN"/>
        </w:rPr>
      </w:pPr>
    </w:p>
    <w:p>
      <w:pPr>
        <w:pageBreakBefore w:val="0"/>
        <w:numPr>
          <w:ilvl w:val="0"/>
          <w:numId w:val="0"/>
        </w:numPr>
        <w:wordWrap/>
        <w:overflowPunct/>
        <w:topLinePunct w:val="0"/>
        <w:bidi w:val="0"/>
        <w:spacing w:line="576" w:lineRule="exact"/>
        <w:jc w:val="center"/>
        <w:outlineLvl w:val="0"/>
        <w:rPr>
          <w:rFonts w:hint="default" w:ascii="黑体" w:hAnsi="黑体" w:eastAsia="黑体" w:cs="黑体"/>
          <w:snapToGrid w:val="0"/>
          <w:color w:val="000000"/>
          <w:spacing w:val="9"/>
          <w:kern w:val="0"/>
          <w:sz w:val="32"/>
          <w:szCs w:val="32"/>
          <w:highlight w:val="none"/>
          <w:lang w:val="en-US" w:eastAsia="zh-CN"/>
        </w:rPr>
      </w:pPr>
      <w:bookmarkStart w:id="29" w:name="_Toc24000"/>
      <w:bookmarkStart w:id="30" w:name="_Toc25536"/>
      <w:r>
        <w:rPr>
          <w:rFonts w:hint="eastAsia" w:ascii="黑体" w:hAnsi="黑体" w:eastAsia="黑体" w:cs="黑体"/>
          <w:snapToGrid w:val="0"/>
          <w:color w:val="000000"/>
          <w:spacing w:val="9"/>
          <w:kern w:val="0"/>
          <w:sz w:val="32"/>
          <w:szCs w:val="32"/>
          <w:highlight w:val="none"/>
          <w:lang w:val="en-US" w:eastAsia="zh-CN"/>
        </w:rPr>
        <w:t>第三章  加强生态保护</w:t>
      </w:r>
      <w:bookmarkEnd w:id="29"/>
      <w:r>
        <w:rPr>
          <w:rFonts w:hint="eastAsia" w:ascii="黑体" w:hAnsi="黑体" w:eastAsia="黑体" w:cs="黑体"/>
          <w:snapToGrid w:val="0"/>
          <w:color w:val="000000"/>
          <w:spacing w:val="9"/>
          <w:kern w:val="0"/>
          <w:sz w:val="32"/>
          <w:szCs w:val="32"/>
          <w:highlight w:val="none"/>
          <w:lang w:val="en-US" w:eastAsia="zh-CN"/>
        </w:rPr>
        <w:t>修复</w:t>
      </w:r>
      <w:bookmarkEnd w:id="30"/>
    </w:p>
    <w:p>
      <w:pPr>
        <w:pageBreakBefore w:val="0"/>
        <w:numPr>
          <w:ilvl w:val="0"/>
          <w:numId w:val="0"/>
        </w:numPr>
        <w:wordWrap/>
        <w:overflowPunct/>
        <w:topLinePunct w:val="0"/>
        <w:bidi w:val="0"/>
        <w:spacing w:line="576" w:lineRule="exact"/>
        <w:ind w:left="0" w:leftChars="0" w:firstLine="676" w:firstLineChars="200"/>
        <w:rPr>
          <w:rFonts w:hint="eastAsia" w:ascii="黑体" w:hAnsi="黑体" w:eastAsia="黑体" w:cs="黑体"/>
          <w:snapToGrid w:val="0"/>
          <w:color w:val="000000"/>
          <w:spacing w:val="9"/>
          <w:kern w:val="0"/>
          <w:sz w:val="32"/>
          <w:szCs w:val="32"/>
          <w:lang w:val="en-US" w:eastAsia="zh-CN"/>
        </w:rPr>
      </w:pPr>
    </w:p>
    <w:p>
      <w:pPr>
        <w:pageBreakBefore w:val="0"/>
        <w:widowControl/>
        <w:numPr>
          <w:ilvl w:val="0"/>
          <w:numId w:val="1"/>
        </w:numPr>
        <w:wordWrap/>
        <w:overflowPunct/>
        <w:topLinePunct w:val="0"/>
        <w:bidi w:val="0"/>
        <w:spacing w:line="576" w:lineRule="exact"/>
        <w:jc w:val="center"/>
        <w:outlineLvl w:val="1"/>
        <w:rPr>
          <w:rFonts w:hint="eastAsia" w:ascii="黑体" w:hAnsi="黑体" w:eastAsia="黑体" w:cs="黑体"/>
          <w:spacing w:val="7"/>
          <w:sz w:val="32"/>
          <w:szCs w:val="32"/>
          <w:lang w:val="en-US" w:eastAsia="zh-CN"/>
        </w:rPr>
      </w:pPr>
      <w:bookmarkStart w:id="31" w:name="_Toc6820"/>
      <w:r>
        <w:rPr>
          <w:rFonts w:hint="eastAsia" w:ascii="黑体" w:hAnsi="黑体" w:eastAsia="黑体" w:cs="黑体"/>
          <w:spacing w:val="7"/>
          <w:sz w:val="32"/>
          <w:szCs w:val="32"/>
          <w:lang w:val="en-US" w:eastAsia="zh-CN"/>
        </w:rPr>
        <w:t xml:space="preserve"> </w:t>
      </w:r>
      <w:bookmarkStart w:id="32" w:name="_Toc11670"/>
      <w:r>
        <w:rPr>
          <w:rFonts w:hint="eastAsia" w:ascii="黑体" w:hAnsi="黑体" w:eastAsia="黑体" w:cs="黑体"/>
          <w:spacing w:val="7"/>
          <w:sz w:val="32"/>
          <w:szCs w:val="32"/>
          <w:lang w:val="en-US" w:eastAsia="zh-CN"/>
        </w:rPr>
        <w:t>科学推进国土绿化</w:t>
      </w:r>
      <w:bookmarkEnd w:id="32"/>
    </w:p>
    <w:bookmarkEnd w:id="31"/>
    <w:p>
      <w:pPr>
        <w:pStyle w:val="2"/>
        <w:pageBreakBefore w:val="0"/>
        <w:numPr>
          <w:ilvl w:val="0"/>
          <w:numId w:val="0"/>
        </w:numPr>
        <w:wordWrap/>
        <w:overflowPunct/>
        <w:topLinePunct w:val="0"/>
        <w:bidi w:val="0"/>
        <w:spacing w:line="576" w:lineRule="exact"/>
        <w:ind w:left="0" w:leftChars="0" w:firstLine="640" w:firstLineChars="200"/>
        <w:rPr>
          <w:rFonts w:hint="eastAsia"/>
          <w:sz w:val="32"/>
          <w:szCs w:val="32"/>
          <w:lang w:val="en-US" w:eastAsia="zh-CN"/>
        </w:rPr>
      </w:pPr>
    </w:p>
    <w:p>
      <w:pPr>
        <w:spacing w:before="100" w:line="339" w:lineRule="auto"/>
        <w:ind w:left="20" w:firstLine="643"/>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科学开展宜林荒山荒地造林和绿化工程建设，通过对一般宜林（绿）荒山、荒坡、荒滩、陡坡耕地、未利用地、不适宜耕作土地政府规划宜林地等植树造林绿化的方式，拓展绿化空间，增加森林面积和绿量，加快推进国土绿化。坚持因地制宜，采取人工造林和封山育林相结合的方式，加快宜林荒山、荒坡和荒滩造林绿化，充分利用不适宜耕作土地和未利用土地等大力开展植树造林绿化，增加森林植被。科学实施县城区周边生态屏障建设，在县城区周边重点山头地块种植生态林或采取退耕还林的方式，打造城周绿化景观节点，构建森林结构稳定、生态效益良好、林分质量优良、绿化景观靓丽的城市周边生态屏障。重点推进东河、黄洋河、西河水岸廊道绿化，推进东河等重要水源库区绿化2000亩。加强城镇、公路、铁路、园区、校园、工厂等人口集聚地造林绿化，推进风景文化等特种用途造林。建设美丽竹林风景线，提升竹文旅产业发展。实施增彩添香工程，建设现代林业休闲观光园。加强旺宁路、旺鼓路旅游线路带多彩通道建设行动，建设江河绿色生态廊道120公里，实现重要江河沿岸绿化率达85%以上。广泛发动全社会力量开展义务植树活动，确保义务植树尽责率达95%。</w:t>
      </w:r>
    </w:p>
    <w:p>
      <w:pPr>
        <w:pageBreakBefore w:val="0"/>
        <w:widowControl/>
        <w:numPr>
          <w:ilvl w:val="0"/>
          <w:numId w:val="0"/>
        </w:numPr>
        <w:wordWrap/>
        <w:overflowPunct/>
        <w:topLinePunct w:val="0"/>
        <w:bidi w:val="0"/>
        <w:spacing w:line="576" w:lineRule="exact"/>
        <w:jc w:val="center"/>
        <w:outlineLvl w:val="9"/>
        <w:rPr>
          <w:rFonts w:hint="eastAsia" w:ascii="黑体" w:hAnsi="黑体" w:eastAsia="黑体" w:cs="黑体"/>
          <w:spacing w:val="7"/>
          <w:sz w:val="32"/>
          <w:szCs w:val="32"/>
          <w:lang w:val="en-US" w:eastAsia="zh-CN"/>
        </w:rPr>
      </w:pPr>
    </w:p>
    <w:p>
      <w:pPr>
        <w:pageBreakBefore w:val="0"/>
        <w:widowControl/>
        <w:numPr>
          <w:ilvl w:val="0"/>
          <w:numId w:val="1"/>
        </w:numPr>
        <w:wordWrap/>
        <w:overflowPunct/>
        <w:topLinePunct w:val="0"/>
        <w:bidi w:val="0"/>
        <w:spacing w:line="576" w:lineRule="exact"/>
        <w:jc w:val="center"/>
        <w:outlineLvl w:val="1"/>
        <w:rPr>
          <w:rFonts w:hint="eastAsia" w:ascii="黑体" w:hAnsi="黑体" w:eastAsia="黑体" w:cs="黑体"/>
          <w:spacing w:val="7"/>
          <w:sz w:val="32"/>
          <w:szCs w:val="32"/>
          <w:lang w:val="en-US" w:eastAsia="zh-CN"/>
        </w:rPr>
      </w:pPr>
      <w:bookmarkStart w:id="33" w:name="_Toc21928"/>
      <w:r>
        <w:rPr>
          <w:rFonts w:hint="eastAsia" w:ascii="黑体" w:hAnsi="黑体" w:eastAsia="黑体" w:cs="黑体"/>
          <w:spacing w:val="7"/>
          <w:sz w:val="32"/>
          <w:szCs w:val="32"/>
          <w:lang w:val="en-US" w:eastAsia="zh-CN"/>
        </w:rPr>
        <w:t xml:space="preserve"> </w:t>
      </w:r>
      <w:bookmarkStart w:id="34" w:name="_Toc16096"/>
      <w:r>
        <w:rPr>
          <w:rFonts w:hint="eastAsia" w:ascii="黑体" w:hAnsi="黑体" w:eastAsia="黑体" w:cs="黑体"/>
          <w:spacing w:val="7"/>
          <w:sz w:val="32"/>
          <w:szCs w:val="32"/>
          <w:lang w:val="en-US" w:eastAsia="zh-CN"/>
        </w:rPr>
        <w:t>实施退耕还林还草工程</w:t>
      </w:r>
      <w:bookmarkEnd w:id="34"/>
    </w:p>
    <w:p>
      <w:pPr>
        <w:spacing w:line="404" w:lineRule="auto"/>
        <w:rPr>
          <w:rFonts w:ascii="Arial"/>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稳步推进新一轮退耕还林还草。坚持政策引导与农民自愿相结合，在不突破耕地保有量目标、不涉及永久基本农田、落实制止耕地“非农化”和防止耕地“非粮化”等前提下，对符合国家政策规定的25度以上及重要水源地15—25度非基本农田坡耕地实施还林还草。重点推进易地搬迁腾退耕地、严重污染耕地、重要饮水区耕地、地质灾害区等还林还草。因地制宜发展退耕还林还草后续产业，增强农户造血机能。</w:t>
      </w:r>
    </w:p>
    <w:p>
      <w:pPr>
        <w:pageBreakBefore w:val="0"/>
        <w:widowControl/>
        <w:numPr>
          <w:ilvl w:val="0"/>
          <w:numId w:val="0"/>
        </w:numPr>
        <w:wordWrap/>
        <w:overflowPunct/>
        <w:topLinePunct w:val="0"/>
        <w:bidi w:val="0"/>
        <w:spacing w:line="576" w:lineRule="exact"/>
        <w:ind w:firstLine="660" w:firstLineChars="200"/>
        <w:jc w:val="both"/>
        <w:outlineLvl w:val="1"/>
        <w:rPr>
          <w:rFonts w:hint="eastAsia" w:ascii="仿宋_GB2312" w:hAnsi="仿宋_GB2312" w:eastAsia="仿宋_GB2312" w:cs="仿宋_GB2312"/>
          <w:spacing w:val="5"/>
          <w:sz w:val="32"/>
          <w:szCs w:val="32"/>
          <w:lang w:val="en-US" w:eastAsia="zh-CN"/>
        </w:rPr>
      </w:pPr>
      <w:bookmarkStart w:id="35" w:name="_Toc23632"/>
      <w:r>
        <w:rPr>
          <w:rFonts w:hint="eastAsia" w:ascii="仿宋_GB2312" w:hAnsi="仿宋_GB2312" w:eastAsia="仿宋_GB2312" w:cs="仿宋_GB2312"/>
          <w:spacing w:val="5"/>
          <w:sz w:val="32"/>
          <w:szCs w:val="32"/>
          <w:lang w:val="en-US" w:eastAsia="zh-CN"/>
        </w:rPr>
        <w:t>巩固上一轮退耕还林还草成果。推进退耕还林还草提质增效，常态巩固退耕还林还草成果18.55万亩。依法将上一轮退耕还林还草成果纳入森林资源管理，严禁毁林复垦和随意改变林地用途。全面落实前一轮补助期满退耕还林还草支持政策，大力推行联户共管、出资代管、集体统管、大户租管等机制，维护退耕农户切身利益。</w:t>
      </w:r>
      <w:bookmarkEnd w:id="35"/>
      <w:bookmarkStart w:id="36" w:name="_Toc26376"/>
    </w:p>
    <w:p>
      <w:pPr>
        <w:pStyle w:val="2"/>
        <w:rPr>
          <w:rFonts w:hint="eastAsia"/>
          <w:sz w:val="32"/>
          <w:szCs w:val="32"/>
          <w:lang w:val="en-US" w:eastAsia="zh-CN"/>
        </w:rPr>
      </w:pPr>
    </w:p>
    <w:p>
      <w:pPr>
        <w:pageBreakBefore w:val="0"/>
        <w:widowControl/>
        <w:numPr>
          <w:ilvl w:val="0"/>
          <w:numId w:val="0"/>
        </w:numPr>
        <w:wordWrap/>
        <w:overflowPunct/>
        <w:topLinePunct w:val="0"/>
        <w:bidi w:val="0"/>
        <w:spacing w:line="576" w:lineRule="exact"/>
        <w:jc w:val="center"/>
        <w:outlineLvl w:val="1"/>
        <w:rPr>
          <w:rFonts w:hint="eastAsia" w:ascii="黑体" w:hAnsi="黑体" w:eastAsia="黑体" w:cs="黑体"/>
          <w:spacing w:val="9"/>
          <w:sz w:val="32"/>
          <w:szCs w:val="32"/>
          <w:lang w:val="en-US" w:eastAsia="zh-CN"/>
        </w:rPr>
      </w:pPr>
      <w:bookmarkStart w:id="37" w:name="_Toc30472"/>
      <w:r>
        <w:rPr>
          <w:rFonts w:hint="eastAsia" w:ascii="黑体" w:hAnsi="黑体" w:eastAsia="黑体" w:cs="黑体"/>
          <w:spacing w:val="9"/>
          <w:sz w:val="32"/>
          <w:szCs w:val="32"/>
          <w:lang w:val="en-US" w:eastAsia="zh-CN"/>
        </w:rPr>
        <w:t>第三节  实施天然林保护修复</w:t>
      </w:r>
      <w:bookmarkEnd w:id="36"/>
      <w:bookmarkEnd w:id="37"/>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完善天然林保护修复制度体制，确保天然林面积逐步增加，质量持续提高，功能稳步提升。</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pacing w:val="5"/>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一是继续停止天然商品林采伐。二是实施公益林生态效益补偿129.5797万亩，实施天然商品林停伐补助管护581783万亩，实施国有林21.6574万亩管护，选聘5000人次生态护林员，常年管护全县320万亩森林资源。三是封山育林10万亩。四是完成中幼林抚育30万亩，增强森林效益，建设集体商品储备林。五是保障改善民生，完善国有林区职工社会保障和增加收入，提高生态护林员收入。</w:t>
      </w:r>
      <w:bookmarkStart w:id="38" w:name="_bookmark28"/>
      <w:bookmarkEnd w:id="38"/>
    </w:p>
    <w:p>
      <w:pPr>
        <w:spacing w:line="434" w:lineRule="auto"/>
        <w:rPr>
          <w:rFonts w:ascii="Arial"/>
          <w:sz w:val="32"/>
          <w:szCs w:val="32"/>
        </w:rPr>
      </w:pPr>
    </w:p>
    <w:p>
      <w:pPr>
        <w:pageBreakBefore w:val="0"/>
        <w:widowControl/>
        <w:numPr>
          <w:ilvl w:val="0"/>
          <w:numId w:val="0"/>
        </w:numPr>
        <w:wordWrap/>
        <w:overflowPunct/>
        <w:topLinePunct w:val="0"/>
        <w:bidi w:val="0"/>
        <w:spacing w:line="576" w:lineRule="exact"/>
        <w:ind w:left="0" w:leftChars="0" w:right="0" w:rightChars="0" w:firstLine="0" w:firstLineChars="0"/>
        <w:jc w:val="center"/>
        <w:outlineLvl w:val="1"/>
        <w:rPr>
          <w:rFonts w:hint="eastAsia"/>
          <w:sz w:val="32"/>
          <w:szCs w:val="32"/>
          <w:lang w:val="en-US" w:eastAsia="zh-CN"/>
        </w:rPr>
      </w:pPr>
      <w:bookmarkStart w:id="39" w:name="_bookmark14"/>
      <w:bookmarkEnd w:id="39"/>
      <w:bookmarkStart w:id="40" w:name="_Toc22772"/>
      <w:r>
        <w:rPr>
          <w:rFonts w:hint="eastAsia" w:ascii="黑体" w:hAnsi="黑体" w:eastAsia="黑体" w:cs="黑体"/>
          <w:spacing w:val="7"/>
          <w:sz w:val="32"/>
          <w:szCs w:val="32"/>
          <w:lang w:val="en-US" w:eastAsia="zh-CN"/>
        </w:rPr>
        <w:t>第四节  实施森林精准提质工程</w:t>
      </w:r>
      <w:bookmarkEnd w:id="33"/>
      <w:bookmarkEnd w:id="40"/>
    </w:p>
    <w:p>
      <w:pPr>
        <w:pStyle w:val="2"/>
        <w:pageBreakBefore w:val="0"/>
        <w:numPr>
          <w:ilvl w:val="0"/>
          <w:numId w:val="0"/>
        </w:numPr>
        <w:wordWrap/>
        <w:overflowPunct/>
        <w:topLinePunct w:val="0"/>
        <w:bidi w:val="0"/>
        <w:spacing w:line="576" w:lineRule="exact"/>
        <w:ind w:left="0" w:leftChars="0" w:firstLine="640" w:firstLineChars="200"/>
        <w:rPr>
          <w:rFonts w:hint="eastAsia"/>
          <w:sz w:val="32"/>
          <w:szCs w:val="32"/>
          <w:lang w:val="en-US" w:eastAsia="zh-CN"/>
        </w:rPr>
      </w:pPr>
    </w:p>
    <w:p>
      <w:pPr>
        <w:pageBreakBefore w:val="0"/>
        <w:widowControl/>
        <w:numPr>
          <w:ilvl w:val="0"/>
          <w:numId w:val="0"/>
        </w:numPr>
        <w:wordWrap/>
        <w:overflowPunct/>
        <w:topLinePunct w:val="0"/>
        <w:bidi w:val="0"/>
        <w:spacing w:line="576" w:lineRule="exact"/>
        <w:ind w:left="0" w:leftChars="0" w:firstLine="660" w:firstLineChars="200"/>
        <w:jc w:val="both"/>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spacing w:val="5"/>
          <w:sz w:val="32"/>
          <w:szCs w:val="32"/>
          <w:lang w:val="en-US" w:eastAsia="zh-CN"/>
        </w:rPr>
        <w:t>精准提升森林多种功能，打造一批绿化、美化、彩化、香化景观林、康养林及多彩森林带，对城区原绿化带进行提档升级，对旺鼓路、旺宁路、盐鼓路和普木路旅游沿线景观进行打造提升。实施森林经营工程，针对县城栎类及可利用灌木林分的分布情况和特点，科学编制实施森林经营方案，稳步推进低质低效林改造、森林抚育等工程。加大中幼龄林抚育力度，对密度过大的中幼龄林，采取间密留疏、去劣留优的方式，保留珍贵树种和优质树木，优化林分结构；对目的树种密度偏低或者形成天窗、需要进行树种结构调整的中幼龄林，采取补植补造、人工促进天然更新等方式，开展中幼林抚育5万亩。加大低效林改造力度，根据因结构、生长、立地等不同因素造成的低效林，因林制宜采取抚育改造、补植补造、树种更替、土壤改良等措施，完成低质低效林改造5万亩，促进形成稳定、健康、生物丰富多样的森林群落结构，提高森林质量、林地生产力和综合效益，稳步推进森林抚育改造，精准提升森林质量。禁止对天然林实施更替改造，确保到2025年实施森林提质5万亩。</w:t>
      </w:r>
    </w:p>
    <w:p>
      <w:pPr>
        <w:pageBreakBefore w:val="0"/>
        <w:widowControl/>
        <w:numPr>
          <w:ilvl w:val="0"/>
          <w:numId w:val="0"/>
        </w:numPr>
        <w:wordWrap/>
        <w:overflowPunct/>
        <w:topLinePunct w:val="0"/>
        <w:bidi w:val="0"/>
        <w:spacing w:line="576" w:lineRule="exact"/>
        <w:jc w:val="center"/>
        <w:outlineLvl w:val="9"/>
        <w:rPr>
          <w:rFonts w:hint="eastAsia" w:ascii="黑体" w:hAnsi="黑体" w:eastAsia="黑体" w:cs="黑体"/>
          <w:spacing w:val="7"/>
          <w:sz w:val="32"/>
          <w:szCs w:val="32"/>
          <w:lang w:val="en-US" w:eastAsia="zh-CN"/>
        </w:rPr>
      </w:pPr>
    </w:p>
    <w:p>
      <w:pPr>
        <w:pageBreakBefore w:val="0"/>
        <w:widowControl/>
        <w:numPr>
          <w:ilvl w:val="0"/>
          <w:numId w:val="0"/>
        </w:numPr>
        <w:wordWrap/>
        <w:overflowPunct/>
        <w:topLinePunct w:val="0"/>
        <w:bidi w:val="0"/>
        <w:spacing w:line="576" w:lineRule="exact"/>
        <w:jc w:val="center"/>
        <w:outlineLvl w:val="1"/>
        <w:rPr>
          <w:rFonts w:hint="eastAsia" w:ascii="黑体" w:hAnsi="黑体" w:eastAsia="黑体" w:cs="黑体"/>
          <w:spacing w:val="7"/>
          <w:sz w:val="32"/>
          <w:szCs w:val="32"/>
          <w:lang w:val="en-US" w:eastAsia="zh-CN"/>
        </w:rPr>
      </w:pPr>
      <w:bookmarkStart w:id="41" w:name="_Toc8726"/>
      <w:bookmarkStart w:id="42" w:name="_Toc15203"/>
      <w:r>
        <w:rPr>
          <w:rFonts w:hint="eastAsia" w:ascii="黑体" w:hAnsi="黑体" w:eastAsia="黑体" w:cs="黑体"/>
          <w:spacing w:val="7"/>
          <w:sz w:val="32"/>
          <w:szCs w:val="32"/>
          <w:lang w:val="en-US" w:eastAsia="zh-CN"/>
        </w:rPr>
        <w:t>第五节 实施森林资源保护工程</w:t>
      </w:r>
      <w:bookmarkEnd w:id="41"/>
      <w:bookmarkEnd w:id="42"/>
    </w:p>
    <w:p>
      <w:pPr>
        <w:pStyle w:val="2"/>
        <w:pageBreakBefore w:val="0"/>
        <w:numPr>
          <w:ilvl w:val="0"/>
          <w:numId w:val="0"/>
        </w:numPr>
        <w:wordWrap/>
        <w:overflowPunct/>
        <w:topLinePunct w:val="0"/>
        <w:bidi w:val="0"/>
        <w:spacing w:line="576" w:lineRule="exact"/>
        <w:ind w:left="0" w:leftChars="0" w:firstLine="660" w:firstLineChars="200"/>
        <w:rPr>
          <w:rFonts w:hint="eastAsia" w:ascii="仿宋_GB2312" w:hAnsi="仿宋_GB2312" w:eastAsia="仿宋_GB2312" w:cs="仿宋_GB2312"/>
          <w:snapToGrid w:val="0"/>
          <w:color w:val="000000"/>
          <w:spacing w:val="5"/>
          <w:kern w:val="0"/>
          <w:sz w:val="32"/>
          <w:szCs w:val="32"/>
          <w:lang w:val="en-US" w:eastAsia="zh-CN"/>
        </w:rPr>
      </w:pPr>
    </w:p>
    <w:p>
      <w:pPr>
        <w:pageBreakBefore w:val="0"/>
        <w:widowControl/>
        <w:numPr>
          <w:ilvl w:val="0"/>
          <w:numId w:val="0"/>
        </w:numPr>
        <w:wordWrap/>
        <w:overflowPunct/>
        <w:topLinePunct w:val="0"/>
        <w:bidi w:val="0"/>
        <w:spacing w:line="576" w:lineRule="exact"/>
        <w:ind w:left="0" w:leftChars="0" w:firstLine="660" w:firstLineChars="200"/>
        <w:jc w:val="left"/>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完成森林资源二类清查、林地变更调查，严格执行《林地保护利用规划》，划定森林和林地保护红线，分类分级严格林地用途管制，规范使用林地审核审批程序，严格采伐限额监督检查，规范木材运输和加工管理。坚持依法治林，严厉打击乱砍滥伐、乱捕滥猎、毁林开垦、非法使用林地等违法行为。</w:t>
      </w:r>
    </w:p>
    <w:p>
      <w:pPr>
        <w:pStyle w:val="2"/>
        <w:pageBreakBefore w:val="0"/>
        <w:wordWrap/>
        <w:overflowPunct/>
        <w:topLinePunct w:val="0"/>
        <w:bidi w:val="0"/>
        <w:spacing w:line="576" w:lineRule="exact"/>
        <w:rPr>
          <w:rFonts w:hint="eastAsia"/>
          <w:sz w:val="32"/>
          <w:szCs w:val="32"/>
          <w:lang w:val="en-US" w:eastAsia="zh-CN"/>
        </w:rPr>
      </w:pPr>
    </w:p>
    <w:p>
      <w:pPr>
        <w:keepNext w:val="0"/>
        <w:keepLines w:val="0"/>
        <w:pageBreakBefore w:val="0"/>
        <w:widowControl w:val="0"/>
        <w:numPr>
          <w:ilvl w:val="0"/>
          <w:numId w:val="0"/>
        </w:numPr>
        <w:wordWrap/>
        <w:overflowPunct/>
        <w:topLinePunct w:val="0"/>
        <w:bidi w:val="0"/>
        <w:spacing w:line="576" w:lineRule="exact"/>
        <w:ind w:right="0" w:rightChars="0"/>
        <w:jc w:val="center"/>
        <w:outlineLvl w:val="0"/>
        <w:rPr>
          <w:rFonts w:hint="eastAsia" w:ascii="黑体" w:hAnsi="黑体" w:eastAsia="黑体" w:cs="黑体"/>
          <w:spacing w:val="12"/>
          <w:sz w:val="32"/>
          <w:szCs w:val="32"/>
          <w:highlight w:val="none"/>
          <w:lang w:val="en-US" w:eastAsia="zh-CN"/>
        </w:rPr>
      </w:pPr>
      <w:bookmarkStart w:id="43" w:name="_Toc6856"/>
      <w:bookmarkStart w:id="44" w:name="_Toc24627"/>
      <w:r>
        <w:rPr>
          <w:rFonts w:hint="eastAsia" w:ascii="黑体" w:hAnsi="黑体" w:eastAsia="黑体" w:cs="黑体"/>
          <w:spacing w:val="12"/>
          <w:sz w:val="32"/>
          <w:szCs w:val="32"/>
          <w:lang w:val="en-US" w:eastAsia="zh-CN"/>
        </w:rPr>
        <w:t xml:space="preserve">第四章 </w:t>
      </w:r>
      <w:r>
        <w:rPr>
          <w:rFonts w:hint="eastAsia" w:ascii="黑体" w:hAnsi="黑体" w:eastAsia="黑体" w:cs="黑体"/>
          <w:spacing w:val="12"/>
          <w:sz w:val="32"/>
          <w:szCs w:val="32"/>
          <w:highlight w:val="none"/>
          <w:lang w:val="en-US" w:eastAsia="zh-CN"/>
        </w:rPr>
        <w:t xml:space="preserve"> 壮大林业产业发展</w:t>
      </w:r>
      <w:bookmarkEnd w:id="43"/>
      <w:bookmarkEnd w:id="44"/>
    </w:p>
    <w:p>
      <w:pPr>
        <w:pStyle w:val="2"/>
        <w:pageBreakBefore w:val="0"/>
        <w:numPr>
          <w:ilvl w:val="0"/>
          <w:numId w:val="0"/>
        </w:numPr>
        <w:wordWrap/>
        <w:overflowPunct/>
        <w:topLinePunct w:val="0"/>
        <w:bidi w:val="0"/>
        <w:spacing w:line="576" w:lineRule="exact"/>
        <w:rPr>
          <w:rFonts w:hint="default"/>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充分发挥资源禀赋优势，坚持生态产业化和产业生态化理念，探索林业生态产品价值实现机制。大力推动以核桃为主的木本油料产业提质增效，</w:t>
      </w:r>
      <w:r>
        <w:rPr>
          <w:rFonts w:hint="default" w:ascii="仿宋_GB2312" w:hAnsi="仿宋_GB2312" w:eastAsia="仿宋_GB2312" w:cs="仿宋_GB2312"/>
          <w:snapToGrid w:val="0"/>
          <w:color w:val="000000"/>
          <w:spacing w:val="5"/>
          <w:kern w:val="0"/>
          <w:sz w:val="32"/>
          <w:szCs w:val="32"/>
          <w:lang w:val="en-US" w:eastAsia="zh-CN"/>
        </w:rPr>
        <w:t>以朝天核桃为品牌，稳定发展以旺核2号为主的50万亩优质核桃，配套林下种植中药材5万亩</w:t>
      </w:r>
      <w:r>
        <w:rPr>
          <w:rFonts w:hint="eastAsia" w:ascii="仿宋_GB2312" w:hAnsi="仿宋_GB2312" w:eastAsia="仿宋_GB2312" w:cs="仿宋_GB2312"/>
          <w:snapToGrid w:val="0"/>
          <w:color w:val="000000"/>
          <w:spacing w:val="5"/>
          <w:kern w:val="0"/>
          <w:sz w:val="32"/>
          <w:szCs w:val="32"/>
          <w:lang w:val="en-US" w:eastAsia="zh-CN"/>
        </w:rPr>
        <w:t>。全面加强基地建设、全面完善营销体系、全面加强技术攻关。加快发展森林蔬菜(笋用竹)、花卉和珍稀林木、森林康养旅游等林业特色产业；强力推进现代林业园区建设，积极推进林业碳汇高质量发展，促进林业三次产业融合，打造林业产业发展“升级版”，实现绿色富民。</w:t>
      </w:r>
      <w:r>
        <w:rPr>
          <w:rFonts w:hint="default" w:ascii="仿宋_GB2312" w:hAnsi="仿宋_GB2312" w:eastAsia="仿宋_GB2312" w:cs="仿宋_GB2312"/>
          <w:snapToGrid w:val="0"/>
          <w:color w:val="000000"/>
          <w:spacing w:val="5"/>
          <w:kern w:val="0"/>
          <w:sz w:val="32"/>
          <w:szCs w:val="32"/>
          <w:lang w:val="en-US" w:eastAsia="zh-CN"/>
        </w:rPr>
        <w:t>到2025年，</w:t>
      </w:r>
      <w:r>
        <w:rPr>
          <w:rFonts w:hint="eastAsia" w:ascii="仿宋_GB2312" w:hAnsi="仿宋_GB2312" w:eastAsia="仿宋_GB2312" w:cs="仿宋_GB2312"/>
          <w:snapToGrid w:val="0"/>
          <w:color w:val="000000"/>
          <w:spacing w:val="5"/>
          <w:kern w:val="0"/>
          <w:sz w:val="32"/>
          <w:szCs w:val="32"/>
          <w:lang w:val="en-US" w:eastAsia="zh-CN"/>
        </w:rPr>
        <w:t>全县巩固提升核桃基地50万亩，建成笋用竹基地4万亩，建成具有区域特色、全国知名的省级以上森林康养示范基地1个；</w:t>
      </w:r>
      <w:r>
        <w:rPr>
          <w:rFonts w:hint="default" w:ascii="仿宋_GB2312" w:hAnsi="仿宋_GB2312" w:eastAsia="仿宋_GB2312" w:cs="仿宋_GB2312"/>
          <w:snapToGrid w:val="0"/>
          <w:color w:val="000000"/>
          <w:spacing w:val="5"/>
          <w:kern w:val="0"/>
          <w:sz w:val="32"/>
          <w:szCs w:val="32"/>
          <w:lang w:val="en-US" w:eastAsia="zh-CN"/>
        </w:rPr>
        <w:t>引进培育年加工能力200吨的核桃精深加工企业1家，培育10个小型初加工厂，培育省级以上核桃示范专合社5家。争创省级核桃现代林业园区1个，建成市级林业园区3个；培育核桃示范乡镇1万亩以上10个、5千亩以上10个、50个千亩以上示范村。全县核桃优势特色产业综合产值达到12亿元，一产业产值达到10亿元，二三产业产值达到2亿元，农民人均林业收入达到1000元。</w:t>
      </w: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旺苍县国营苗圃十四五期间建设以旺核2号为主的核桃林木良种基地。完善相关配套设施设备。旺苍县林产有限公司“十四五”期间大力发展林下经济种植业，建立苗木、花卉基地，加大生态旅游投入，全力打造盐井河大峡谷。旺苍县国有林场重点管护好16.01万亩森林资源，永续利用经营商品林30000亩，发展林下经济种养业，积极完善国有林区基础设施，探索利用信息化监管模式，打造智慧林区。</w:t>
      </w:r>
    </w:p>
    <w:p>
      <w:pPr>
        <w:keepNext w:val="0"/>
        <w:keepLines w:val="0"/>
        <w:pageBreakBefore w:val="0"/>
        <w:widowControl w:val="0"/>
        <w:wordWrap/>
        <w:overflowPunct/>
        <w:topLinePunct w:val="0"/>
        <w:bidi w:val="0"/>
        <w:spacing w:line="576" w:lineRule="exact"/>
        <w:ind w:left="0" w:leftChars="0" w:right="0" w:firstLine="676" w:firstLineChars="200"/>
        <w:jc w:val="center"/>
        <w:outlineLvl w:val="9"/>
        <w:rPr>
          <w:rFonts w:ascii="黑体" w:hAnsi="黑体" w:eastAsia="黑体" w:cs="黑体"/>
          <w:spacing w:val="9"/>
          <w:sz w:val="32"/>
          <w:szCs w:val="32"/>
        </w:rPr>
      </w:pPr>
    </w:p>
    <w:p>
      <w:pPr>
        <w:pageBreakBefore w:val="0"/>
        <w:widowControl/>
        <w:numPr>
          <w:ilvl w:val="0"/>
          <w:numId w:val="0"/>
        </w:numPr>
        <w:wordWrap/>
        <w:overflowPunct/>
        <w:topLinePunct w:val="0"/>
        <w:bidi w:val="0"/>
        <w:spacing w:line="576" w:lineRule="exact"/>
        <w:jc w:val="center"/>
        <w:outlineLvl w:val="0"/>
        <w:rPr>
          <w:rFonts w:hint="eastAsia" w:ascii="黑体" w:hAnsi="黑体" w:eastAsia="黑体" w:cs="黑体"/>
          <w:spacing w:val="9"/>
          <w:sz w:val="32"/>
          <w:szCs w:val="32"/>
          <w:lang w:val="en-US" w:eastAsia="zh-CN"/>
        </w:rPr>
      </w:pPr>
      <w:bookmarkStart w:id="45" w:name="_Toc7595"/>
      <w:bookmarkStart w:id="46" w:name="_Toc8031"/>
      <w:r>
        <w:rPr>
          <w:rFonts w:hint="eastAsia" w:ascii="黑体" w:hAnsi="黑体" w:eastAsia="黑体" w:cs="黑体"/>
          <w:spacing w:val="9"/>
          <w:sz w:val="32"/>
          <w:szCs w:val="32"/>
          <w:lang w:val="en-US" w:eastAsia="zh-CN"/>
        </w:rPr>
        <w:t>第五章  持续推进乡村振兴</w:t>
      </w:r>
      <w:bookmarkEnd w:id="45"/>
      <w:bookmarkEnd w:id="46"/>
    </w:p>
    <w:p>
      <w:pPr>
        <w:pageBreakBefore w:val="0"/>
        <w:widowControl/>
        <w:numPr>
          <w:ilvl w:val="0"/>
          <w:numId w:val="0"/>
        </w:numPr>
        <w:wordWrap/>
        <w:overflowPunct/>
        <w:topLinePunct w:val="0"/>
        <w:bidi w:val="0"/>
        <w:spacing w:line="576" w:lineRule="exact"/>
        <w:jc w:val="left"/>
        <w:rPr>
          <w:rFonts w:hint="eastAsia" w:ascii="仿宋_GB2312" w:hAnsi="仿宋_GB2312" w:eastAsia="仿宋_GB2312" w:cs="仿宋_GB2312"/>
          <w:b w:val="0"/>
          <w:bCs w:val="0"/>
          <w:color w:val="auto"/>
          <w:kern w:val="0"/>
          <w:sz w:val="32"/>
          <w:szCs w:val="32"/>
          <w:highlight w:val="none"/>
          <w:lang w:eastAsia="zh-CN"/>
        </w:rPr>
      </w:pPr>
    </w:p>
    <w:p>
      <w:pPr>
        <w:pageBreakBefore w:val="0"/>
        <w:widowControl/>
        <w:numPr>
          <w:ilvl w:val="0"/>
          <w:numId w:val="0"/>
        </w:numPr>
        <w:wordWrap/>
        <w:overflowPunct/>
        <w:topLinePunct w:val="0"/>
        <w:bidi w:val="0"/>
        <w:spacing w:line="576" w:lineRule="exact"/>
        <w:jc w:val="center"/>
        <w:outlineLvl w:val="1"/>
        <w:rPr>
          <w:rFonts w:hint="eastAsia" w:ascii="黑体" w:hAnsi="黑体" w:eastAsia="黑体" w:cs="黑体"/>
          <w:spacing w:val="7"/>
          <w:sz w:val="32"/>
          <w:szCs w:val="32"/>
          <w:lang w:eastAsia="zh-CN"/>
        </w:rPr>
      </w:pPr>
      <w:bookmarkStart w:id="47" w:name="_Toc2285"/>
      <w:bookmarkStart w:id="48" w:name="_Toc25397"/>
      <w:r>
        <w:rPr>
          <w:rFonts w:hint="eastAsia" w:ascii="黑体" w:hAnsi="黑体" w:eastAsia="黑体" w:cs="黑体"/>
          <w:spacing w:val="7"/>
          <w:sz w:val="32"/>
          <w:szCs w:val="32"/>
          <w:lang w:val="en-US" w:eastAsia="zh-CN"/>
        </w:rPr>
        <w:t xml:space="preserve">第一节 </w:t>
      </w:r>
      <w:r>
        <w:rPr>
          <w:rFonts w:hint="eastAsia" w:ascii="黑体" w:hAnsi="黑体" w:eastAsia="黑体" w:cs="黑体"/>
          <w:spacing w:val="7"/>
          <w:sz w:val="32"/>
          <w:szCs w:val="32"/>
          <w:lang w:eastAsia="zh-CN"/>
        </w:rPr>
        <w:t>实施产业绿化富民增收工程</w:t>
      </w:r>
      <w:bookmarkEnd w:id="47"/>
      <w:bookmarkEnd w:id="48"/>
    </w:p>
    <w:p>
      <w:pPr>
        <w:pStyle w:val="2"/>
        <w:pageBreakBefore w:val="0"/>
        <w:wordWrap/>
        <w:overflowPunct/>
        <w:topLinePunct w:val="0"/>
        <w:bidi w:val="0"/>
        <w:spacing w:line="576" w:lineRule="exact"/>
        <w:ind w:left="0" w:leftChars="0" w:firstLine="640" w:firstLineChars="200"/>
        <w:rPr>
          <w:rFonts w:hint="eastAsia"/>
          <w:sz w:val="32"/>
          <w:szCs w:val="32"/>
          <w:lang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推进产业园区建设。按照“规模集中成片、产业特色突出、设施基本完善、示范作用明显、综合效益显著”的标准，围绕产业规划，助力乡村振兴，新栽核桃10万亩，改造现有低效核桃林15万亩，建设现代核桃产业基地乡镇18个，确保优质核桃基地面积达到30万亩，产量达到6万吨。着力打造白水至东河、高阳至燕子至万家、正源至鼓城、三江至水磨至金溪、普济至九龙至黄洋至枣林等5个核桃产业示范带。大力改造现有低产低效杜仲林，提高杜仲生长率，缩短开发利用周期，从根本上提升产品品质，降低生产成本。完成新栽油茶0.5万亩、笋用竹1万亩，综合管护笋用竹（包括巴山木竹）5万亩。</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培育特色产业基地。坚持“生态产业化、产业生态化、全域景观化”的思路，助力乡村振兴。突出主导产业，重点围绕木竹加工、木本油料、花卉苗木、中药材、森林旅游、森林食品、野生动植物开发利用7大产业，优化区域布局，充分发挥财政资金的导向作用，积极调整产业结构，通过3—5年的努力，培育一批特色鲜明的林业产业和优质林产品，促进农民增收。采取“公司+基地+农户”的方式，积极培育林业龙头企业、专业合作社、家庭林场、森林康养基地等新型林业经营主体。对各类林业产业基地开展山、水、田、林、路综合治理，并按照建立优势产业带的要求，大力发展经济林，推广产品附加值高、经济效益好的优良品种，加强先进适用技术的集成推广示范，建成一批高标准、高质量的产业基地，每年新建和改造林业产业基地2万亩。在确保不造成新的水土流失的前提下，积极发展以林下种植、林下养殖、林产品采集加工和森林景观利用为主要内容的林下经济。充分利用林地资源和林下空间，因地制宜开展林果、林药、林菌、林禽、林畜、林花、林草、林菜、林蜂等多种形式的经营，建成适度规模的林下经济示范基地。</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snapToGrid w:val="0"/>
          <w:color w:val="000000"/>
          <w:spacing w:val="5"/>
          <w:kern w:val="0"/>
          <w:sz w:val="32"/>
          <w:szCs w:val="32"/>
          <w:lang w:val="en-US" w:eastAsia="zh-CN"/>
        </w:rPr>
        <w:t>发展森林旅游康养产业。坚持林旅融合发展，以建设森林生态旅游示范景点和省级森林生态康养基地为引领，积极推进乡村旅游发展，进一步推进盐井河峡谷创4A建设。推动新建及认证青林山、木门寺、鼓城山等15处森林人家，新扩（改）建木门寺、旺鼓路、旺宁路等沿线等生态旅游示范景点。</w:t>
      </w:r>
    </w:p>
    <w:p>
      <w:pPr>
        <w:pStyle w:val="2"/>
        <w:pageBreakBefore w:val="0"/>
        <w:wordWrap/>
        <w:overflowPunct/>
        <w:topLinePunct w:val="0"/>
        <w:bidi w:val="0"/>
        <w:spacing w:line="576" w:lineRule="exact"/>
        <w:ind w:left="0" w:leftChars="0" w:firstLine="640" w:firstLineChars="200"/>
        <w:rPr>
          <w:rFonts w:hint="eastAsia"/>
          <w:sz w:val="32"/>
          <w:szCs w:val="32"/>
          <w:lang w:eastAsia="zh-CN"/>
        </w:rPr>
      </w:pPr>
    </w:p>
    <w:p>
      <w:pPr>
        <w:pageBreakBefore w:val="0"/>
        <w:widowControl/>
        <w:numPr>
          <w:ilvl w:val="0"/>
          <w:numId w:val="0"/>
        </w:numPr>
        <w:wordWrap/>
        <w:overflowPunct/>
        <w:topLinePunct w:val="0"/>
        <w:bidi w:val="0"/>
        <w:spacing w:line="576" w:lineRule="exact"/>
        <w:jc w:val="center"/>
        <w:outlineLvl w:val="1"/>
        <w:rPr>
          <w:rFonts w:hint="eastAsia" w:ascii="黑体" w:hAnsi="黑体" w:eastAsia="黑体" w:cs="黑体"/>
          <w:spacing w:val="7"/>
          <w:sz w:val="32"/>
          <w:szCs w:val="32"/>
          <w:lang w:val="en-US" w:eastAsia="zh-CN"/>
        </w:rPr>
      </w:pPr>
      <w:bookmarkStart w:id="49" w:name="_Toc13590"/>
      <w:bookmarkStart w:id="50" w:name="_Toc25046"/>
      <w:r>
        <w:rPr>
          <w:rFonts w:hint="eastAsia" w:ascii="黑体" w:hAnsi="黑体" w:eastAsia="黑体" w:cs="黑体"/>
          <w:spacing w:val="7"/>
          <w:sz w:val="32"/>
          <w:szCs w:val="32"/>
          <w:lang w:val="en-US" w:eastAsia="zh-CN"/>
        </w:rPr>
        <w:t>第二节  实施集镇村庄绿化工程</w:t>
      </w:r>
      <w:bookmarkEnd w:id="49"/>
      <w:bookmarkEnd w:id="50"/>
    </w:p>
    <w:p>
      <w:pPr>
        <w:pStyle w:val="2"/>
        <w:pageBreakBefore w:val="0"/>
        <w:wordWrap/>
        <w:overflowPunct/>
        <w:topLinePunct w:val="0"/>
        <w:bidi w:val="0"/>
        <w:spacing w:line="576" w:lineRule="exact"/>
        <w:ind w:left="0" w:leftChars="0" w:firstLine="640" w:firstLineChars="200"/>
        <w:rPr>
          <w:rFonts w:hint="eastAsia"/>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开展集镇绿化靓化。以集镇区主要出入通道、出入口节点等绿化为重点，充分利用集镇自然景观和“四旁”资源，以乡土树种为主，开展进出道路和小区（庭院）绿化，形成层次分明、错落有致、亲切宜人的绿化空间，重点建制乡镇所在地应建有不少于5亩的游憩生态场所，以改善场镇人居环境，确保到2025年全县80%的乡镇绿化水平达到市级园林式新村的绿化考核标准，建成米仓山、国华、东河等市级以上绿化示范乡镇5个，三江、五权等县级绿化示范乡镇10个。</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开展村庄绿化美化。坚持产村相融，结合聚居点和幸福美丽新村建设，积极推进村庄绿化美化，重点开展新村聚居点绿化、绿色通道、绿色产业和绿色庭院建设，对新村及聚居点基础设施建设和新建工程引起的创面、矿区废弃地，采取“谁破坏谁治理”和“同步规划、同步设计、同步施工、同步验收”相结合的办法，边开采边治理，边开挖边恢复，做到工程建设结束植被恢复到位。积极打造田园风光型、庭院林果型和旅游观光型等多种类型的村庄，建成和平、三合等市级以上绿化美化示范村庄，云峰、榆钱、鹿渡等县级以上绿化美化示范村庄。</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p>
    <w:p>
      <w:pPr>
        <w:keepNext w:val="0"/>
        <w:keepLines w:val="0"/>
        <w:pageBreakBefore w:val="0"/>
        <w:widowControl w:val="0"/>
        <w:wordWrap/>
        <w:overflowPunct/>
        <w:topLinePunct w:val="0"/>
        <w:bidi w:val="0"/>
        <w:spacing w:line="576" w:lineRule="exact"/>
        <w:ind w:right="0"/>
        <w:jc w:val="center"/>
        <w:outlineLvl w:val="0"/>
        <w:rPr>
          <w:rFonts w:ascii="黑体" w:hAnsi="黑体" w:eastAsia="黑体" w:cs="黑体"/>
          <w:sz w:val="32"/>
          <w:szCs w:val="32"/>
        </w:rPr>
      </w:pPr>
      <w:bookmarkStart w:id="51" w:name="_Toc17143"/>
      <w:bookmarkStart w:id="52" w:name="_Toc25533"/>
      <w:r>
        <w:rPr>
          <w:rFonts w:ascii="黑体" w:hAnsi="黑体" w:eastAsia="黑体" w:cs="黑体"/>
          <w:spacing w:val="8"/>
          <w:sz w:val="32"/>
          <w:szCs w:val="32"/>
        </w:rPr>
        <w:t>第六章  加强资源保护管理</w:t>
      </w:r>
      <w:bookmarkEnd w:id="51"/>
      <w:bookmarkEnd w:id="52"/>
    </w:p>
    <w:p>
      <w:pPr>
        <w:keepNext w:val="0"/>
        <w:keepLines w:val="0"/>
        <w:pageBreakBefore w:val="0"/>
        <w:widowControl w:val="0"/>
        <w:wordWrap/>
        <w:overflowPunct/>
        <w:topLinePunct w:val="0"/>
        <w:bidi w:val="0"/>
        <w:spacing w:line="576" w:lineRule="exact"/>
        <w:ind w:left="0" w:leftChars="0" w:right="0" w:firstLine="640" w:firstLineChars="200"/>
        <w:jc w:val="both"/>
        <w:rPr>
          <w:rFonts w:ascii="Arial"/>
          <w:sz w:val="32"/>
          <w:szCs w:val="32"/>
        </w:rPr>
      </w:pPr>
    </w:p>
    <w:p>
      <w:pPr>
        <w:pageBreakBefore w:val="0"/>
        <w:widowControl/>
        <w:numPr>
          <w:ilvl w:val="0"/>
          <w:numId w:val="0"/>
        </w:numPr>
        <w:wordWrap/>
        <w:overflowPunct/>
        <w:topLinePunct w:val="0"/>
        <w:bidi w:val="0"/>
        <w:spacing w:line="576" w:lineRule="exact"/>
        <w:jc w:val="center"/>
        <w:outlineLvl w:val="1"/>
        <w:rPr>
          <w:rFonts w:hint="eastAsia" w:ascii="黑体" w:hAnsi="黑体" w:eastAsia="黑体" w:cs="黑体"/>
          <w:spacing w:val="7"/>
          <w:sz w:val="32"/>
          <w:szCs w:val="32"/>
          <w:lang w:val="en-US" w:eastAsia="zh-CN"/>
        </w:rPr>
      </w:pPr>
      <w:bookmarkStart w:id="53" w:name="_Toc25107"/>
      <w:bookmarkStart w:id="54" w:name="_Toc15281"/>
      <w:r>
        <w:rPr>
          <w:rFonts w:hint="eastAsia" w:ascii="黑体" w:hAnsi="黑体" w:eastAsia="黑体" w:cs="黑体"/>
          <w:spacing w:val="7"/>
          <w:sz w:val="32"/>
          <w:szCs w:val="32"/>
          <w:lang w:val="en-US" w:eastAsia="zh-CN"/>
        </w:rPr>
        <w:t>第一节  加强自然保护地建设</w:t>
      </w:r>
      <w:bookmarkEnd w:id="53"/>
      <w:bookmarkEnd w:id="54"/>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拟对现有8个自然保护地：四川米仓山国家级自然保护区、四川汉王山东河湿地省级自然保护区、米仓山大峡谷国家级风景名胜区、鼓城山—七里峡省级风景名胜区、四川省鼓城山森林公园、四川省旺苍大峡谷森林公园、松米山森林公园、米仓山省级自然与文化遗产（未批复）进行优化整合。整合后保留4个自然保护地，即米仓山国家级自然保护区、四川省旺苍大峡谷森林自然公园、米仓山大峡谷风景名胜区、四川汉王山东河省级湿地保护区。解决多个保护地重叠，管理难等问题，更好地保护生态系统及野生动植物，在水源涵养、水土保持、调节气候及保护生物多样性等多方面发挥功能。</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不断完善国家级自然保护区基础设施建设（管理局（处）及保护站（点）业务用房，科研、宣教及监测用房，巡护和防火设施，办公、监测、巡护、防火、科研及宣教设备，野生动植物生境恢复与改造，信息管理系统建设，自然灾害治理等、自然保护区的生态保护、修复与治理，特种救护、保护设施设备购置和维护，专项调查和监测，宣传教育，以及保护管理机构聘用临时管护人员所需的劳务补助等支出。）、林业自然保护区建设及野生动植物保护（主要用于省级林业自然保护区、湿地保护区和森林公园的生态保护、保护站及附属设施的标准化建设、修复与治理、特种救护、保护设施设备购置和维护、科学研究、专项调查和监测、宣传教育等）。</w:t>
      </w:r>
    </w:p>
    <w:p>
      <w:pPr>
        <w:pageBreakBefore w:val="0"/>
        <w:wordWrap/>
        <w:overflowPunct/>
        <w:topLinePunct w:val="0"/>
        <w:bidi w:val="0"/>
        <w:spacing w:line="576" w:lineRule="exact"/>
        <w:ind w:left="0" w:leftChars="0" w:firstLine="640" w:firstLineChars="200"/>
        <w:rPr>
          <w:rFonts w:hint="eastAsia" w:ascii="仿宋" w:hAnsi="仿宋" w:eastAsia="仿宋_GB2312" w:cs="Times New Roman"/>
          <w:snapToGrid/>
          <w:color w:val="000000"/>
          <w:kern w:val="0"/>
          <w:sz w:val="32"/>
          <w:szCs w:val="32"/>
          <w:lang w:val="en-US" w:eastAsia="zh-CN"/>
        </w:rPr>
      </w:pPr>
    </w:p>
    <w:p>
      <w:pPr>
        <w:pageBreakBefore w:val="0"/>
        <w:widowControl/>
        <w:numPr>
          <w:ilvl w:val="0"/>
          <w:numId w:val="0"/>
        </w:numPr>
        <w:wordWrap/>
        <w:overflowPunct/>
        <w:topLinePunct w:val="0"/>
        <w:bidi w:val="0"/>
        <w:spacing w:line="576" w:lineRule="exact"/>
        <w:jc w:val="center"/>
        <w:outlineLvl w:val="1"/>
        <w:rPr>
          <w:rFonts w:hint="eastAsia" w:ascii="黑体" w:hAnsi="黑体" w:eastAsia="黑体" w:cs="黑体"/>
          <w:spacing w:val="7"/>
          <w:sz w:val="32"/>
          <w:szCs w:val="32"/>
          <w:lang w:val="en-US" w:eastAsia="zh-CN"/>
        </w:rPr>
      </w:pPr>
      <w:bookmarkStart w:id="55" w:name="_Toc7457"/>
      <w:bookmarkStart w:id="56" w:name="_Toc9118"/>
      <w:r>
        <w:rPr>
          <w:rFonts w:hint="eastAsia" w:ascii="黑体" w:hAnsi="黑体" w:eastAsia="黑体" w:cs="黑体"/>
          <w:spacing w:val="7"/>
          <w:sz w:val="32"/>
          <w:szCs w:val="32"/>
          <w:lang w:val="en-US" w:eastAsia="zh-CN"/>
        </w:rPr>
        <w:t>第二节  完善国有林区基础设施</w:t>
      </w:r>
      <w:bookmarkEnd w:id="55"/>
      <w:bookmarkEnd w:id="56"/>
    </w:p>
    <w:p>
      <w:pPr>
        <w:pStyle w:val="2"/>
        <w:pageBreakBefore w:val="0"/>
        <w:numPr>
          <w:ilvl w:val="0"/>
          <w:numId w:val="0"/>
        </w:numPr>
        <w:wordWrap/>
        <w:overflowPunct/>
        <w:topLinePunct w:val="0"/>
        <w:bidi w:val="0"/>
        <w:spacing w:line="576" w:lineRule="exact"/>
        <w:ind w:leftChars="0" w:firstLine="640" w:firstLineChars="200"/>
        <w:rPr>
          <w:rFonts w:hint="eastAsia"/>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旺苍县国有林场林区道路建设远远落后于乡村道路建设，为改变这一现状，拟纳入乡村道路建设规划，实现互联互通，保障物资供给，提高防火扑救能力。促进林区经济、森林旅游和森林康养业发展。结合林场实际情况，新建林区公路247公里，改造公路136公里。</w:t>
      </w:r>
    </w:p>
    <w:p>
      <w:pPr>
        <w:pStyle w:val="2"/>
        <w:pageBreakBefore w:val="0"/>
        <w:wordWrap/>
        <w:overflowPunct/>
        <w:topLinePunct w:val="0"/>
        <w:bidi w:val="0"/>
        <w:spacing w:line="576" w:lineRule="exact"/>
        <w:ind w:leftChars="0" w:firstLine="640" w:firstLineChars="200"/>
        <w:rPr>
          <w:rFonts w:hint="eastAsia"/>
          <w:sz w:val="32"/>
          <w:szCs w:val="32"/>
          <w:lang w:val="en-US" w:eastAsia="zh-CN"/>
        </w:rPr>
      </w:pPr>
    </w:p>
    <w:p>
      <w:pPr>
        <w:pStyle w:val="2"/>
        <w:pageBreakBefore w:val="0"/>
        <w:numPr>
          <w:ilvl w:val="0"/>
          <w:numId w:val="0"/>
        </w:numPr>
        <w:wordWrap/>
        <w:overflowPunct/>
        <w:topLinePunct w:val="0"/>
        <w:bidi w:val="0"/>
        <w:spacing w:line="576" w:lineRule="exact"/>
        <w:ind w:leftChars="0"/>
        <w:jc w:val="center"/>
        <w:outlineLvl w:val="1"/>
        <w:rPr>
          <w:rFonts w:hint="eastAsia"/>
          <w:lang w:val="en-US" w:eastAsia="zh-CN"/>
        </w:rPr>
      </w:pPr>
      <w:bookmarkStart w:id="57" w:name="_Toc2551"/>
      <w:bookmarkStart w:id="58" w:name="_Toc17207"/>
      <w:r>
        <w:rPr>
          <w:rFonts w:hint="eastAsia" w:ascii="黑体" w:hAnsi="黑体" w:eastAsia="黑体" w:cs="黑体"/>
          <w:snapToGrid w:val="0"/>
          <w:color w:val="000000"/>
          <w:spacing w:val="7"/>
          <w:kern w:val="0"/>
          <w:sz w:val="32"/>
          <w:szCs w:val="32"/>
          <w:lang w:val="en-US" w:eastAsia="zh-CN"/>
        </w:rPr>
        <w:t>第三节  全面保护野生动植物</w:t>
      </w:r>
      <w:bookmarkEnd w:id="57"/>
      <w:bookmarkEnd w:id="58"/>
    </w:p>
    <w:p>
      <w:pPr>
        <w:rPr>
          <w:rFonts w:hint="eastAsia" w:ascii="黑体" w:hAnsi="黑体" w:eastAsia="黑体" w:cs="黑体"/>
          <w:snapToGrid w:val="0"/>
          <w:color w:val="000000"/>
          <w:spacing w:val="7"/>
          <w:kern w:val="0"/>
          <w:sz w:val="32"/>
          <w:szCs w:val="32"/>
          <w:lang w:val="en-US" w:eastAsia="zh-CN"/>
        </w:rPr>
      </w:pPr>
    </w:p>
    <w:p>
      <w:pPr>
        <w:pStyle w:val="2"/>
        <w:rPr>
          <w:rFonts w:hint="eastAsia"/>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科学防治林业有害生物。加强有害生物监测预警、检疫执法、防控减灾体系建设，防止有害生物传播蔓延；强化野生动物疫源疫病防控体系建设，全面提高陆生野生动物疫源疫病监测防控水平。</w:t>
      </w:r>
    </w:p>
    <w:p>
      <w:pPr>
        <w:pStyle w:val="2"/>
        <w:pageBreakBefore w:val="0"/>
        <w:numPr>
          <w:ilvl w:val="0"/>
          <w:numId w:val="0"/>
        </w:numPr>
        <w:wordWrap/>
        <w:overflowPunct/>
        <w:topLinePunct w:val="0"/>
        <w:bidi w:val="0"/>
        <w:spacing w:line="576" w:lineRule="exact"/>
        <w:ind w:left="0" w:leftChars="0" w:firstLine="640" w:firstLineChars="200"/>
        <w:rPr>
          <w:sz w:val="32"/>
          <w:szCs w:val="32"/>
        </w:rPr>
      </w:pPr>
    </w:p>
    <w:p>
      <w:pPr>
        <w:pStyle w:val="2"/>
        <w:pageBreakBefore w:val="0"/>
        <w:numPr>
          <w:ilvl w:val="0"/>
          <w:numId w:val="0"/>
        </w:numPr>
        <w:wordWrap/>
        <w:overflowPunct/>
        <w:topLinePunct w:val="0"/>
        <w:bidi w:val="0"/>
        <w:spacing w:line="576" w:lineRule="exact"/>
        <w:jc w:val="center"/>
        <w:outlineLvl w:val="1"/>
        <w:rPr>
          <w:rFonts w:hint="eastAsia" w:ascii="黑体" w:hAnsi="黑体" w:eastAsia="黑体" w:cs="黑体"/>
          <w:snapToGrid w:val="0"/>
          <w:color w:val="000000"/>
          <w:spacing w:val="7"/>
          <w:kern w:val="0"/>
          <w:sz w:val="32"/>
          <w:szCs w:val="32"/>
          <w:lang w:val="en-US" w:eastAsia="zh-CN"/>
        </w:rPr>
      </w:pPr>
      <w:bookmarkStart w:id="59" w:name="_Toc32570"/>
      <w:bookmarkStart w:id="60" w:name="_Toc7907"/>
      <w:r>
        <w:rPr>
          <w:rFonts w:hint="eastAsia" w:ascii="黑体" w:hAnsi="黑体" w:eastAsia="黑体" w:cs="黑体"/>
          <w:snapToGrid w:val="0"/>
          <w:color w:val="000000"/>
          <w:spacing w:val="7"/>
          <w:kern w:val="0"/>
          <w:sz w:val="32"/>
          <w:szCs w:val="32"/>
          <w:lang w:val="en-US" w:eastAsia="zh-CN"/>
        </w:rPr>
        <w:t>第四节  标本兼治强化森林防火</w:t>
      </w:r>
      <w:bookmarkEnd w:id="59"/>
      <w:bookmarkEnd w:id="60"/>
    </w:p>
    <w:p>
      <w:pPr>
        <w:pageBreakBefore w:val="0"/>
        <w:numPr>
          <w:ilvl w:val="0"/>
          <w:numId w:val="0"/>
        </w:numPr>
        <w:wordWrap/>
        <w:overflowPunct/>
        <w:topLinePunct w:val="0"/>
        <w:bidi w:val="0"/>
        <w:spacing w:line="576" w:lineRule="exact"/>
        <w:ind w:leftChars="0" w:firstLine="640" w:firstLineChars="200"/>
        <w:rPr>
          <w:rFonts w:hint="eastAsia"/>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扎实开展应急预案修编和演练工作：根据上级主管部门的新内容新要求，重新调整、修订各类应急预案，不断提高预案的合理性和可操作性，真正使应急预案成为处置突发事件的方案；根据应急预案，按照“重实战、讲实用、求实效”要求，每年开展不少于1次森林防火专业队伍应急演练和处置突发事件的演练。</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规范化林业系统应急保障机制建设：一是完善林业应急机制建设。利用林区瞭望观测和地面巡护等手段，对林区火灾进行全天候、全方位监测，确保火情早发现、早处置。进一步强化森林防火24小时值班制度和领导带班制度，发生火情按照火灾报告制度迅速报告并做好应急调度工作，确保火情及时报告、处置、信息及时下达。二是加强应急物资保障。加强应急物资储备和管理，依托现有的地震应急避难场所设施，充分发挥林业资源、湿地资源等优势提高应急处置能力，提升林业系统抵御风险能力，保护国有林业资源安全和林业职工的生命安全。购置和维护保养消耗损毁的扑灭火（有害生物防治）机具及装备；修建和维护森林防火瞭望塔、防火检查站点、防灭火物资储备库、消防水池；开展森林防灭火演练、培训、宣传教育。三是加强应急管理干部队伍建设。根据机构改革方案整合资源，加强应急队伍建设，建立应急信息直报制度，重点开展对风险隐患排查治理、应急处置救援能力和保障能力等检查，提升林业系统整体应急处突能力。</w:t>
      </w:r>
    </w:p>
    <w:p>
      <w:pPr>
        <w:pStyle w:val="2"/>
        <w:rPr>
          <w:rFonts w:hint="eastAsia"/>
          <w:sz w:val="32"/>
          <w:szCs w:val="32"/>
          <w:lang w:val="en-US" w:eastAsia="zh-CN"/>
        </w:rPr>
      </w:pPr>
    </w:p>
    <w:p>
      <w:pPr>
        <w:spacing w:before="100" w:line="227" w:lineRule="auto"/>
        <w:ind w:left="2574"/>
        <w:outlineLvl w:val="1"/>
        <w:rPr>
          <w:rFonts w:ascii="黑体" w:hAnsi="黑体" w:eastAsia="黑体" w:cs="黑体"/>
          <w:sz w:val="32"/>
          <w:szCs w:val="32"/>
        </w:rPr>
      </w:pPr>
      <w:bookmarkStart w:id="61" w:name="_Toc24186"/>
      <w:r>
        <w:rPr>
          <w:rFonts w:ascii="黑体" w:hAnsi="黑体" w:eastAsia="黑体" w:cs="黑体"/>
          <w:spacing w:val="13"/>
          <w:sz w:val="32"/>
          <w:szCs w:val="32"/>
        </w:rPr>
        <w:t>第</w:t>
      </w:r>
      <w:r>
        <w:rPr>
          <w:rFonts w:hint="eastAsia" w:ascii="黑体" w:hAnsi="黑体" w:eastAsia="黑体" w:cs="黑体"/>
          <w:spacing w:val="8"/>
          <w:sz w:val="32"/>
          <w:szCs w:val="32"/>
          <w:lang w:eastAsia="zh-CN"/>
        </w:rPr>
        <w:t>五</w:t>
      </w:r>
      <w:r>
        <w:rPr>
          <w:rFonts w:ascii="黑体" w:hAnsi="黑体" w:eastAsia="黑体" w:cs="黑体"/>
          <w:spacing w:val="8"/>
          <w:sz w:val="32"/>
          <w:szCs w:val="32"/>
        </w:rPr>
        <w:t>节 加强古树名木保护</w:t>
      </w:r>
      <w:bookmarkEnd w:id="61"/>
    </w:p>
    <w:p>
      <w:pPr>
        <w:spacing w:line="403" w:lineRule="auto"/>
        <w:rPr>
          <w:rFonts w:ascii="Arial"/>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强化古树名木保护。通过多种措施和渠道加强古树名木生长、病虫害等监测，做好蜀柏毒蛾、云南松毛虫、白蚁等有害生物的防治，运用智慧管理平台，及时向社会发布古树名木保护信息。设置古树名木保护牌，统一挂牌管理，一级古树名木挂牌率达100%。根据实际需要，完善支撑架、保护栏、避雷装置、加固护坡等必要的保护设施，强化保护牌及保护设施保护。严格古树名木移植、采伐审批，严禁大树古树违规进城。加强以蜀道古柏为主的古树名木保护。充分利用古树名木资源，打造一批有知名度的古树群落和森林步道。挖掘古树名木历史文化内涵，组织开展多样化宣传教育活</w:t>
      </w:r>
      <w:bookmarkStart w:id="131" w:name="_GoBack"/>
      <w:bookmarkEnd w:id="131"/>
      <w:r>
        <w:rPr>
          <w:rFonts w:hint="eastAsia" w:ascii="仿宋_GB2312" w:hAnsi="仿宋_GB2312" w:eastAsia="仿宋_GB2312" w:cs="仿宋_GB2312"/>
          <w:snapToGrid w:val="0"/>
          <w:color w:val="000000"/>
          <w:spacing w:val="5"/>
          <w:kern w:val="0"/>
          <w:sz w:val="32"/>
          <w:szCs w:val="32"/>
          <w:lang w:val="en-US" w:eastAsia="zh-CN"/>
        </w:rPr>
        <w:t>动。</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黑体" w:hAnsi="黑体" w:eastAsia="黑体" w:cs="黑体"/>
          <w:spacing w:val="9"/>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加强古树名木养护复壮。推动制定古树名木日常养护方案。强化专业设备配备及人才队伍建设，建立古树名木研究机构，加强古树名木生长势监测、抢救复壮技术、育种扩繁、价值评估、文化推广等科学研究和技术培训。及时排查树体倾斜、腐朽、枯枝、病虫害等问题，古树名木濒危株及衰弱株及时实施抢救复壮。</w:t>
      </w:r>
    </w:p>
    <w:p>
      <w:pPr>
        <w:pageBreakBefore w:val="0"/>
        <w:widowControl/>
        <w:numPr>
          <w:ilvl w:val="0"/>
          <w:numId w:val="0"/>
        </w:numPr>
        <w:wordWrap/>
        <w:overflowPunct/>
        <w:topLinePunct w:val="0"/>
        <w:bidi w:val="0"/>
        <w:spacing w:line="576" w:lineRule="exact"/>
        <w:jc w:val="center"/>
        <w:outlineLvl w:val="9"/>
        <w:rPr>
          <w:rFonts w:hint="eastAsia" w:ascii="黑体" w:hAnsi="黑体" w:eastAsia="黑体" w:cs="黑体"/>
          <w:spacing w:val="9"/>
          <w:sz w:val="32"/>
          <w:szCs w:val="32"/>
          <w:lang w:val="en-US" w:eastAsia="zh-CN"/>
        </w:rPr>
      </w:pPr>
    </w:p>
    <w:p>
      <w:pPr>
        <w:spacing w:before="100" w:line="227" w:lineRule="auto"/>
        <w:ind w:left="2258"/>
        <w:outlineLvl w:val="0"/>
        <w:rPr>
          <w:rFonts w:ascii="黑体" w:hAnsi="黑体" w:eastAsia="黑体" w:cs="黑体"/>
          <w:sz w:val="32"/>
          <w:szCs w:val="32"/>
        </w:rPr>
      </w:pPr>
      <w:bookmarkStart w:id="62" w:name="_Toc7121"/>
      <w:bookmarkStart w:id="63" w:name="_Toc28236"/>
      <w:r>
        <w:rPr>
          <w:rFonts w:ascii="黑体" w:hAnsi="黑体" w:eastAsia="黑体" w:cs="黑体"/>
          <w:spacing w:val="15"/>
          <w:sz w:val="32"/>
          <w:szCs w:val="32"/>
        </w:rPr>
        <w:t>第</w:t>
      </w:r>
      <w:r>
        <w:rPr>
          <w:rFonts w:hint="eastAsia" w:ascii="黑体" w:hAnsi="黑体" w:eastAsia="黑体" w:cs="黑体"/>
          <w:spacing w:val="8"/>
          <w:sz w:val="32"/>
          <w:szCs w:val="32"/>
          <w:lang w:eastAsia="zh-CN"/>
        </w:rPr>
        <w:t>七</w:t>
      </w:r>
      <w:r>
        <w:rPr>
          <w:rFonts w:ascii="黑体" w:hAnsi="黑体" w:eastAsia="黑体" w:cs="黑体"/>
          <w:spacing w:val="8"/>
          <w:sz w:val="32"/>
          <w:szCs w:val="32"/>
        </w:rPr>
        <w:t>章 推进林业产品价值实现</w:t>
      </w:r>
      <w:bookmarkEnd w:id="62"/>
    </w:p>
    <w:p>
      <w:pPr>
        <w:spacing w:line="327" w:lineRule="auto"/>
        <w:rPr>
          <w:rFonts w:ascii="Arial"/>
          <w:sz w:val="32"/>
          <w:szCs w:val="32"/>
        </w:rPr>
      </w:pPr>
    </w:p>
    <w:p>
      <w:pPr>
        <w:spacing w:line="327" w:lineRule="auto"/>
        <w:rPr>
          <w:rFonts w:ascii="Arial"/>
          <w:sz w:val="32"/>
          <w:szCs w:val="32"/>
        </w:rPr>
      </w:pPr>
    </w:p>
    <w:p>
      <w:pPr>
        <w:spacing w:before="101" w:line="226" w:lineRule="auto"/>
        <w:ind w:left="1778"/>
        <w:outlineLvl w:val="1"/>
        <w:rPr>
          <w:rFonts w:ascii="黑体" w:hAnsi="黑体" w:eastAsia="黑体" w:cs="黑体"/>
          <w:sz w:val="32"/>
          <w:szCs w:val="32"/>
        </w:rPr>
      </w:pPr>
      <w:bookmarkStart w:id="64" w:name="_bookmark32"/>
      <w:bookmarkEnd w:id="64"/>
      <w:bookmarkStart w:id="65" w:name="_Toc18936"/>
      <w:r>
        <w:rPr>
          <w:rFonts w:ascii="黑体" w:hAnsi="黑体" w:eastAsia="黑体" w:cs="黑体"/>
          <w:spacing w:val="9"/>
          <w:sz w:val="32"/>
          <w:szCs w:val="32"/>
        </w:rPr>
        <w:t xml:space="preserve">第一节 </w:t>
      </w:r>
      <w:r>
        <w:rPr>
          <w:rFonts w:hint="eastAsia" w:ascii="黑体" w:hAnsi="黑体" w:eastAsia="黑体" w:cs="黑体"/>
          <w:spacing w:val="9"/>
          <w:sz w:val="32"/>
          <w:szCs w:val="32"/>
          <w:lang w:val="en-US" w:eastAsia="zh-CN"/>
        </w:rPr>
        <w:t xml:space="preserve"> </w:t>
      </w:r>
      <w:r>
        <w:rPr>
          <w:rFonts w:ascii="黑体" w:hAnsi="黑体" w:eastAsia="黑体" w:cs="黑体"/>
          <w:spacing w:val="9"/>
          <w:sz w:val="32"/>
          <w:szCs w:val="32"/>
        </w:rPr>
        <w:t>积极推进林业碳汇开发与利</w:t>
      </w:r>
      <w:r>
        <w:rPr>
          <w:rFonts w:ascii="黑体" w:hAnsi="黑体" w:eastAsia="黑体" w:cs="黑体"/>
          <w:spacing w:val="5"/>
          <w:sz w:val="32"/>
          <w:szCs w:val="32"/>
        </w:rPr>
        <w:t>用</w:t>
      </w:r>
      <w:bookmarkEnd w:id="65"/>
    </w:p>
    <w:p>
      <w:pPr>
        <w:spacing w:line="390" w:lineRule="auto"/>
        <w:rPr>
          <w:rFonts w:ascii="Arial"/>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围绕实现国家“3060”碳达峰碳中和目标，着力优化区域发展布局，加强理论研究，创新开发机制，积极推动林草碳汇高质量发展。重点开发森林经营碳汇项目，适度发展竹子造林和经营碳汇项目，培育山地森林生态系统保护林草碳汇品牌。探索建立区域性林业碳汇自愿交易市场。引导国有林经营单位先行先试，采取自主开发、合作开发等多种方式推进林业碳汇项目开发实施。逐步完善林业碳汇项目利益联结机制，推动集体林资源与国有林资源统筹开发。强化与国家、省、市林草碳汇研究机构合作，加强林业碳汇项目管理、市场营销等关键人才培养。组织开展林业碳汇资源本底调查，科学评价全县林业碳汇发展潜力，为各类主体开发林业碳汇项目提供科学依据和咨询服务。</w:t>
      </w:r>
    </w:p>
    <w:p>
      <w:pPr>
        <w:pStyle w:val="2"/>
        <w:rPr>
          <w:rFonts w:hint="eastAsia"/>
          <w:sz w:val="32"/>
          <w:szCs w:val="32"/>
          <w:lang w:val="en-US" w:eastAsia="zh-CN"/>
        </w:rPr>
      </w:pPr>
    </w:p>
    <w:p>
      <w:pPr>
        <w:spacing w:before="100" w:line="227" w:lineRule="auto"/>
        <w:ind w:left="2574"/>
        <w:outlineLvl w:val="1"/>
        <w:rPr>
          <w:rFonts w:hint="eastAsia" w:ascii="黑体" w:hAnsi="黑体" w:eastAsia="黑体" w:cs="黑体"/>
          <w:spacing w:val="8"/>
          <w:sz w:val="32"/>
          <w:szCs w:val="32"/>
          <w:lang w:val="en-US" w:eastAsia="zh-CN"/>
        </w:rPr>
      </w:pPr>
      <w:bookmarkStart w:id="66" w:name="_bookmark33"/>
      <w:bookmarkEnd w:id="66"/>
      <w:bookmarkStart w:id="67" w:name="_Toc26289"/>
      <w:r>
        <w:rPr>
          <w:rFonts w:hint="eastAsia" w:ascii="黑体" w:hAnsi="黑体" w:eastAsia="黑体" w:cs="黑体"/>
          <w:spacing w:val="8"/>
          <w:sz w:val="32"/>
          <w:szCs w:val="32"/>
          <w:lang w:val="en-US" w:eastAsia="zh-CN"/>
        </w:rPr>
        <w:t>第二节  大力建设国家储备林</w:t>
      </w:r>
      <w:bookmarkEnd w:id="67"/>
    </w:p>
    <w:p>
      <w:pPr>
        <w:spacing w:before="100" w:line="227" w:lineRule="auto"/>
        <w:ind w:left="2574"/>
        <w:outlineLvl w:val="1"/>
        <w:rPr>
          <w:rFonts w:hint="eastAsia" w:ascii="黑体" w:hAnsi="黑体" w:eastAsia="黑体" w:cs="黑体"/>
          <w:spacing w:val="8"/>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left"/>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围绕长江经济带建设、主动融入成渝地区双城经济圈、乡村振兴、国土绿化等重大战略，谋划包装、储备项目并实现开工建设国家储备林建设项目，以“增加森林蓄积、保障木材安全”为目标，以国有企业、国有林场等国有森林经营单位为主体，采取集约人工林栽培、现有林改培和中幼林抚育等方式开展储备林建设。建议县委县政府将国家储备林建设融入国民经济发展规划。鼓励扶持、培育和引进项目实施主体，充分利用政策性开发性金融工具、地方政府专项债券、国际组织贷款，推动储备林项目落地开工。支持采用“龙头企业+林业合作社+林农”、企业自主经营等模式推进储备林建设。着重培育杜仲、柏木、杉木、水青冈等大径级用材。</w:t>
      </w:r>
    </w:p>
    <w:p>
      <w:pPr>
        <w:keepNext w:val="0"/>
        <w:keepLines w:val="0"/>
        <w:pageBreakBefore w:val="0"/>
        <w:widowControl w:val="0"/>
        <w:wordWrap/>
        <w:overflowPunct/>
        <w:topLinePunct w:val="0"/>
        <w:bidi w:val="0"/>
        <w:spacing w:line="576" w:lineRule="exact"/>
        <w:ind w:left="0" w:leftChars="0" w:right="0" w:firstLine="660" w:firstLineChars="200"/>
        <w:jc w:val="left"/>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集约培育人工林。水热立地条件好的荒山荒地、采伐迹地和火烧迹地等宜林地，优先使用通过审(认)定的林木良种、无性系培育的壮苗，定向培育工业原料林、珍稀树种和大径级用材林0.5万亩。</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科学改培现有林。采取林冠下造林、补植补造等经营措施，适当将纯林逐步调整为复层异龄混交林。重点改培立地条件好、生产潜力没有充分发挥的林分，结构简单且生长已呈现下降的林分，目的树种不明确、林分结构简单、错过抚育经营时机的人工林或利用价值较高的林分9.5万亩。</w:t>
      </w: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定向抚育中幼林。对现有林中有培育前途、增产潜力较大的中幼林，采取间伐、修枝、除草割灌、施肥等抚育活动，砍劣留优，调整树种结构和林分密度。改善林木生长发育条件，平衡土壤养分与水分循环，提高木材蓄积量，加快林木生长速度，缩短森林培育周期，加快培育目标树种优质高效多功能森林。</w:t>
      </w:r>
    </w:p>
    <w:p>
      <w:pPr>
        <w:pageBreakBefore w:val="0"/>
        <w:widowControl/>
        <w:numPr>
          <w:ilvl w:val="0"/>
          <w:numId w:val="0"/>
        </w:numPr>
        <w:wordWrap/>
        <w:overflowPunct/>
        <w:topLinePunct w:val="0"/>
        <w:bidi w:val="0"/>
        <w:spacing w:line="576" w:lineRule="exact"/>
        <w:jc w:val="center"/>
        <w:outlineLvl w:val="0"/>
        <w:rPr>
          <w:rFonts w:hint="eastAsia" w:ascii="黑体" w:hAnsi="黑体" w:eastAsia="黑体" w:cs="黑体"/>
          <w:spacing w:val="9"/>
          <w:sz w:val="32"/>
          <w:szCs w:val="32"/>
          <w:lang w:val="en-US" w:eastAsia="zh-CN"/>
        </w:rPr>
      </w:pPr>
      <w:bookmarkStart w:id="68" w:name="_Toc19943"/>
      <w:r>
        <w:rPr>
          <w:rFonts w:hint="eastAsia" w:ascii="黑体" w:hAnsi="黑体" w:eastAsia="黑体" w:cs="黑体"/>
          <w:spacing w:val="9"/>
          <w:sz w:val="32"/>
          <w:szCs w:val="32"/>
          <w:lang w:val="en-US" w:eastAsia="zh-CN"/>
        </w:rPr>
        <w:t>第八章  深化林业改革</w:t>
      </w:r>
      <w:bookmarkEnd w:id="63"/>
      <w:bookmarkEnd w:id="68"/>
    </w:p>
    <w:p>
      <w:pPr>
        <w:pStyle w:val="2"/>
        <w:pageBreakBefore w:val="0"/>
        <w:numPr>
          <w:ilvl w:val="0"/>
          <w:numId w:val="0"/>
        </w:numPr>
        <w:wordWrap/>
        <w:overflowPunct/>
        <w:topLinePunct w:val="0"/>
        <w:bidi w:val="0"/>
        <w:spacing w:line="576" w:lineRule="exact"/>
        <w:ind w:left="0" w:leftChars="0" w:firstLine="640" w:firstLineChars="200"/>
        <w:rPr>
          <w:rFonts w:hint="default"/>
          <w:sz w:val="32"/>
          <w:szCs w:val="32"/>
          <w:lang w:val="en-US" w:eastAsia="zh-CN"/>
        </w:rPr>
      </w:pPr>
    </w:p>
    <w:p>
      <w:pPr>
        <w:pageBreakBefore w:val="0"/>
        <w:widowControl/>
        <w:numPr>
          <w:ilvl w:val="0"/>
          <w:numId w:val="0"/>
        </w:numPr>
        <w:wordWrap/>
        <w:overflowPunct/>
        <w:topLinePunct w:val="0"/>
        <w:bidi w:val="0"/>
        <w:spacing w:line="576" w:lineRule="exact"/>
        <w:ind w:left="0" w:leftChars="0" w:firstLine="668" w:firstLineChars="200"/>
        <w:jc w:val="center"/>
        <w:outlineLvl w:val="1"/>
        <w:rPr>
          <w:rFonts w:hint="default" w:ascii="黑体" w:hAnsi="黑体" w:eastAsia="黑体" w:cs="黑体"/>
          <w:spacing w:val="7"/>
          <w:sz w:val="32"/>
          <w:szCs w:val="32"/>
          <w:lang w:val="en-US" w:eastAsia="zh-CN"/>
        </w:rPr>
      </w:pPr>
      <w:bookmarkStart w:id="69" w:name="_Toc1878"/>
      <w:bookmarkStart w:id="70" w:name="_Toc9694"/>
      <w:r>
        <w:rPr>
          <w:rFonts w:hint="eastAsia" w:ascii="黑体" w:hAnsi="黑体" w:eastAsia="黑体" w:cs="黑体"/>
          <w:spacing w:val="7"/>
          <w:sz w:val="32"/>
          <w:szCs w:val="32"/>
          <w:lang w:val="en-US" w:eastAsia="zh-CN"/>
        </w:rPr>
        <w:t xml:space="preserve">第一节  </w:t>
      </w:r>
      <w:r>
        <w:rPr>
          <w:rFonts w:hint="default" w:ascii="黑体" w:hAnsi="黑体" w:eastAsia="黑体" w:cs="黑体"/>
          <w:spacing w:val="7"/>
          <w:sz w:val="32"/>
          <w:szCs w:val="32"/>
          <w:lang w:val="en-US" w:eastAsia="zh-CN"/>
        </w:rPr>
        <w:t>推进集体林地“三权分置”改革</w:t>
      </w:r>
      <w:bookmarkEnd w:id="69"/>
      <w:bookmarkEnd w:id="70"/>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在“明晰产权承包到户”集体林权制度主体改革的基础上，依法依规整改集体林权流转存在的主要问题，妥善处理集体林地承包经营权纠纷，加强林权流转合同管理；探索“预流转+履约保证保险”模式，用市场手段化解林地流转中的问题。围绕落实农村集体林地所有权、稳定农户承包权、放活林地经营权，推进林权流转法制建设、平台建设、信息建设，引导农民依法采取转包、出租、互换、转让及入股等方式流转林地经营权，促进林地适度规模经营。按照《旺苍县经济林木（果）权登记管理办法》《旺苍县林地经营权流转证登记管理办法》《旺苍县经济林木（果）权流转管理办法》和《旺苍县经济林木（果）权抵押登记管理办法》“四个办法”全面推开“两证一社”林权抵押贷款工作，经承包方书面同意，并向本集体经济组织备案，受让方可以再流转土地经营权，也可以用土地经营权向金融机构融资担保。</w:t>
      </w:r>
    </w:p>
    <w:p>
      <w:pPr>
        <w:pStyle w:val="2"/>
        <w:pageBreakBefore w:val="0"/>
        <w:wordWrap/>
        <w:overflowPunct/>
        <w:topLinePunct w:val="0"/>
        <w:bidi w:val="0"/>
        <w:spacing w:line="576" w:lineRule="exact"/>
        <w:ind w:left="0" w:leftChars="0" w:firstLine="640" w:firstLineChars="200"/>
        <w:rPr>
          <w:rFonts w:hint="default"/>
          <w:sz w:val="32"/>
          <w:szCs w:val="32"/>
          <w:lang w:val="en-US" w:eastAsia="zh-CN"/>
        </w:rPr>
      </w:pPr>
    </w:p>
    <w:p>
      <w:pPr>
        <w:pageBreakBefore w:val="0"/>
        <w:widowControl/>
        <w:numPr>
          <w:ilvl w:val="0"/>
          <w:numId w:val="0"/>
        </w:numPr>
        <w:wordWrap/>
        <w:overflowPunct/>
        <w:topLinePunct w:val="0"/>
        <w:bidi w:val="0"/>
        <w:spacing w:line="576" w:lineRule="exact"/>
        <w:ind w:left="0" w:leftChars="0" w:firstLine="668" w:firstLineChars="200"/>
        <w:jc w:val="center"/>
        <w:outlineLvl w:val="1"/>
        <w:rPr>
          <w:rFonts w:hint="default" w:ascii="黑体" w:hAnsi="黑体" w:eastAsia="黑体" w:cs="黑体"/>
          <w:spacing w:val="7"/>
          <w:sz w:val="32"/>
          <w:szCs w:val="32"/>
          <w:lang w:val="en-US" w:eastAsia="zh-CN"/>
        </w:rPr>
      </w:pPr>
      <w:bookmarkStart w:id="71" w:name="_Toc4537"/>
      <w:bookmarkStart w:id="72" w:name="_Toc22600"/>
      <w:r>
        <w:rPr>
          <w:rFonts w:hint="eastAsia" w:ascii="黑体" w:hAnsi="黑体" w:eastAsia="黑体" w:cs="黑体"/>
          <w:spacing w:val="7"/>
          <w:sz w:val="32"/>
          <w:szCs w:val="32"/>
          <w:lang w:val="en-US" w:eastAsia="zh-CN"/>
        </w:rPr>
        <w:t xml:space="preserve">第二节  </w:t>
      </w:r>
      <w:r>
        <w:rPr>
          <w:rFonts w:hint="default" w:ascii="黑体" w:hAnsi="黑体" w:eastAsia="黑体" w:cs="黑体"/>
          <w:spacing w:val="7"/>
          <w:sz w:val="32"/>
          <w:szCs w:val="32"/>
          <w:lang w:val="en-US" w:eastAsia="zh-CN"/>
        </w:rPr>
        <w:t>完善集体林发展支持体系</w:t>
      </w:r>
      <w:bookmarkEnd w:id="71"/>
      <w:bookmarkEnd w:id="72"/>
    </w:p>
    <w:p>
      <w:pPr>
        <w:pStyle w:val="2"/>
        <w:pageBreakBefore w:val="0"/>
        <w:wordWrap/>
        <w:overflowPunct/>
        <w:topLinePunct w:val="0"/>
        <w:bidi w:val="0"/>
        <w:spacing w:line="576" w:lineRule="exact"/>
        <w:ind w:left="0" w:leftChars="0" w:firstLine="640" w:firstLineChars="200"/>
        <w:rPr>
          <w:rFonts w:hint="default"/>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紧盯“高质量筑牢嘉陵江上游生态屏障、高质量建设林业经济强县”两大目标，突出林业“生态、经济、社会”三大效益，构建“生态安全、自然保护、绿色产业、支撑保障”四大体系。以市场需求为导向，以合作互助为纽带，鼓励林业专业合作社、家庭林场等经营主体发展，引导分散林农通过一定组织形式联合起来，提高经营水平和组织化程度。同时，探索在林权流转交易、森林资源评估、林权抵押担保、林业科技等方面建立服务平台，对推进林业规模经营提供保障支撑。创新经营模式，引导工商资本依法投资经营林业。推广“林业共营制”模式，实现集体、承包农户、新型经营主体对林地权利的共享，实现农民、主体、政府多方“共营共赢共生”。完善政策性森林保险政策，健全林业社会化服务体系。</w:t>
      </w: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p>
    <w:p>
      <w:pPr>
        <w:pageBreakBefore w:val="0"/>
        <w:widowControl/>
        <w:numPr>
          <w:ilvl w:val="0"/>
          <w:numId w:val="0"/>
        </w:numPr>
        <w:wordWrap/>
        <w:overflowPunct/>
        <w:topLinePunct w:val="0"/>
        <w:bidi w:val="0"/>
        <w:spacing w:line="576" w:lineRule="exact"/>
        <w:ind w:left="0" w:leftChars="0" w:firstLine="668" w:firstLineChars="200"/>
        <w:jc w:val="center"/>
        <w:outlineLvl w:val="1"/>
        <w:rPr>
          <w:rFonts w:hint="default" w:ascii="黑体" w:hAnsi="黑体" w:eastAsia="黑体" w:cs="黑体"/>
          <w:spacing w:val="7"/>
          <w:sz w:val="32"/>
          <w:szCs w:val="32"/>
          <w:lang w:val="en-US" w:eastAsia="zh-CN"/>
        </w:rPr>
      </w:pPr>
      <w:bookmarkStart w:id="73" w:name="_Toc20066"/>
      <w:bookmarkStart w:id="74" w:name="_Toc26206"/>
      <w:r>
        <w:rPr>
          <w:rFonts w:hint="eastAsia" w:ascii="黑体" w:hAnsi="黑体" w:eastAsia="黑体" w:cs="黑体"/>
          <w:spacing w:val="7"/>
          <w:sz w:val="32"/>
          <w:szCs w:val="32"/>
          <w:lang w:val="en-US" w:eastAsia="zh-CN"/>
        </w:rPr>
        <w:t xml:space="preserve">第三节  </w:t>
      </w:r>
      <w:r>
        <w:rPr>
          <w:rFonts w:hint="default" w:ascii="黑体" w:hAnsi="黑体" w:eastAsia="黑体" w:cs="黑体"/>
          <w:spacing w:val="7"/>
          <w:sz w:val="32"/>
          <w:szCs w:val="32"/>
          <w:lang w:val="en-US" w:eastAsia="zh-CN"/>
        </w:rPr>
        <w:t>深化国有林场（苗圃）林区改革</w:t>
      </w:r>
      <w:bookmarkEnd w:id="73"/>
      <w:bookmarkEnd w:id="74"/>
    </w:p>
    <w:p>
      <w:pPr>
        <w:pageBreakBefore w:val="0"/>
        <w:widowControl/>
        <w:numPr>
          <w:ilvl w:val="0"/>
          <w:numId w:val="0"/>
        </w:numPr>
        <w:wordWrap/>
        <w:overflowPunct/>
        <w:topLinePunct w:val="0"/>
        <w:bidi w:val="0"/>
        <w:spacing w:line="576" w:lineRule="exact"/>
        <w:ind w:left="0" w:leftChars="0" w:firstLine="668" w:firstLineChars="200"/>
        <w:jc w:val="both"/>
        <w:rPr>
          <w:rFonts w:hint="default" w:ascii="黑体" w:hAnsi="黑体" w:eastAsia="黑体" w:cs="黑体"/>
          <w:spacing w:val="7"/>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建立健全科学规范、政策保障有力的国有林区管理新机制，强化森林资源管理保护、监督、生态环境建设等职责，提高生态指标考核约束力。科学编制和实施森林经营规划和经营方案，加强森林资源培育和抚育经营。国有林管理机构采取政府购买服务方式，将森林管护、公益林建设、森林抚育等部分森林经营事务交由企业承接，搭建林业职工就业平台。鼓励林区职工利用国有森林资源发展林下经济、森林康养、森林旅游等特色产业。积极培育林木良种、花卉苗木、中药材、珍稀树种。保障林区职工工资性收入，提高林区职工素质和社会文明程度。国有林区纳入“三农”金融扶持范围。加快国有林区供电、饮水、道路、管护站点用房等基础设施建设，与地方同步投入、同步建设，提高与城镇发展的融合度，提高林区生活质量，提升职工生活幸福指数。</w:t>
      </w:r>
    </w:p>
    <w:p>
      <w:pPr>
        <w:pageBreakBefore w:val="0"/>
        <w:widowControl/>
        <w:numPr>
          <w:ilvl w:val="0"/>
          <w:numId w:val="0"/>
        </w:numPr>
        <w:wordWrap/>
        <w:overflowPunct/>
        <w:topLinePunct w:val="0"/>
        <w:bidi w:val="0"/>
        <w:spacing w:line="576" w:lineRule="exact"/>
        <w:ind w:left="0" w:leftChars="0" w:firstLine="640" w:firstLineChars="200"/>
        <w:jc w:val="both"/>
        <w:rPr>
          <w:rFonts w:hint="default" w:ascii="仿宋_GB2312" w:hAnsi="仿宋_GB2312" w:eastAsia="仿宋_GB2312" w:cs="仿宋_GB2312"/>
          <w:b w:val="0"/>
          <w:bCs w:val="0"/>
          <w:color w:val="auto"/>
          <w:kern w:val="0"/>
          <w:sz w:val="32"/>
          <w:szCs w:val="32"/>
          <w:highlight w:val="none"/>
          <w:lang w:val="en-US" w:eastAsia="zh-CN"/>
        </w:rPr>
      </w:pPr>
    </w:p>
    <w:p>
      <w:pPr>
        <w:pageBreakBefore w:val="0"/>
        <w:widowControl/>
        <w:numPr>
          <w:ilvl w:val="0"/>
          <w:numId w:val="0"/>
        </w:numPr>
        <w:wordWrap/>
        <w:overflowPunct/>
        <w:topLinePunct w:val="0"/>
        <w:bidi w:val="0"/>
        <w:spacing w:line="576" w:lineRule="exact"/>
        <w:ind w:left="0" w:leftChars="0" w:firstLine="668" w:firstLineChars="200"/>
        <w:jc w:val="center"/>
        <w:outlineLvl w:val="1"/>
        <w:rPr>
          <w:rFonts w:hint="default" w:ascii="黑体" w:hAnsi="黑体" w:eastAsia="黑体" w:cs="黑体"/>
          <w:spacing w:val="7"/>
          <w:sz w:val="32"/>
          <w:szCs w:val="32"/>
          <w:lang w:val="en-US" w:eastAsia="zh-CN"/>
        </w:rPr>
      </w:pPr>
      <w:bookmarkStart w:id="75" w:name="_Toc20280"/>
      <w:bookmarkStart w:id="76" w:name="_Toc28669"/>
      <w:r>
        <w:rPr>
          <w:rFonts w:hint="eastAsia" w:ascii="黑体" w:hAnsi="黑体" w:eastAsia="黑体" w:cs="黑体"/>
          <w:spacing w:val="7"/>
          <w:sz w:val="32"/>
          <w:szCs w:val="32"/>
          <w:lang w:val="en-US" w:eastAsia="zh-CN"/>
        </w:rPr>
        <w:t xml:space="preserve">第四节  </w:t>
      </w:r>
      <w:r>
        <w:rPr>
          <w:rFonts w:hint="default" w:ascii="黑体" w:hAnsi="黑体" w:eastAsia="黑体" w:cs="黑体"/>
          <w:spacing w:val="7"/>
          <w:sz w:val="32"/>
          <w:szCs w:val="32"/>
          <w:lang w:val="en-US" w:eastAsia="zh-CN"/>
        </w:rPr>
        <w:t>建立国有森林资源有偿使用制度</w:t>
      </w:r>
      <w:bookmarkEnd w:id="75"/>
      <w:bookmarkEnd w:id="76"/>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为有效发挥国有森林资源在生态功能、维护生态安全中不可替代的作用，严格森林资源保护政策，国有天然林和公益林、国家公园、自然保护区、风景名胜区的国有林地和林木资源资产不得出让。确需经营利用的森林资源资产应确定有偿使用的范围、期限、条件</w:t>
      </w:r>
      <w:r>
        <w:rPr>
          <w:rFonts w:hint="eastAsia" w:ascii="仿宋_GB2312" w:hAnsi="仿宋_GB2312" w:eastAsia="仿宋_GB2312" w:cs="仿宋_GB2312"/>
          <w:snapToGrid w:val="0"/>
          <w:color w:val="000000"/>
          <w:spacing w:val="5"/>
          <w:kern w:val="0"/>
          <w:sz w:val="32"/>
          <w:szCs w:val="32"/>
          <w:lang w:val="en-US" w:eastAsia="zh-CN"/>
        </w:rPr>
        <w:t>、</w:t>
      </w:r>
      <w:r>
        <w:rPr>
          <w:rFonts w:hint="default" w:ascii="仿宋_GB2312" w:hAnsi="仿宋_GB2312" w:eastAsia="仿宋_GB2312" w:cs="仿宋_GB2312"/>
          <w:snapToGrid w:val="0"/>
          <w:color w:val="000000"/>
          <w:spacing w:val="5"/>
          <w:kern w:val="0"/>
          <w:sz w:val="32"/>
          <w:szCs w:val="32"/>
          <w:lang w:val="en-US" w:eastAsia="zh-CN"/>
        </w:rPr>
        <w:t>程序和方式。科学规划空间开发格局，合理配置资源，提高利用效率，实现最大的资源利用效益；要摸清森林资源底数，完善有偿使用措施；要制定价格收费标准，坚持使用资源付费和谁污染环境、谁破坏生态谁付费的原则，规范森林资源利用行为，推进国有林区生态文明建设；要建立健全森林资源管理制度和生态补偿、修复机制，不断健全和完善森林资源有偿使用的收、支、管、用办法，实行收支两条线管理，收入全额上缴财政，再由财政返还，用于国有林区森林资源保护培育和生态修复。</w:t>
      </w:r>
    </w:p>
    <w:p>
      <w:pPr>
        <w:pStyle w:val="2"/>
        <w:pageBreakBefore w:val="0"/>
        <w:wordWrap/>
        <w:overflowPunct/>
        <w:topLinePunct w:val="0"/>
        <w:bidi w:val="0"/>
        <w:spacing w:line="576" w:lineRule="exact"/>
        <w:ind w:leftChars="0" w:firstLine="640" w:firstLineChars="200"/>
        <w:rPr>
          <w:rFonts w:hint="default"/>
          <w:sz w:val="32"/>
          <w:szCs w:val="32"/>
          <w:lang w:val="en-US" w:eastAsia="zh-CN"/>
        </w:rPr>
      </w:pPr>
    </w:p>
    <w:p>
      <w:pPr>
        <w:keepNext w:val="0"/>
        <w:keepLines w:val="0"/>
        <w:pageBreakBefore w:val="0"/>
        <w:widowControl w:val="0"/>
        <w:numPr>
          <w:ilvl w:val="0"/>
          <w:numId w:val="0"/>
        </w:numPr>
        <w:wordWrap/>
        <w:overflowPunct/>
        <w:topLinePunct w:val="0"/>
        <w:bidi w:val="0"/>
        <w:spacing w:line="576" w:lineRule="exact"/>
        <w:ind w:right="0" w:rightChars="0"/>
        <w:jc w:val="center"/>
        <w:outlineLvl w:val="1"/>
        <w:rPr>
          <w:rFonts w:hint="eastAsia" w:ascii="黑体" w:hAnsi="黑体" w:eastAsia="黑体" w:cs="黑体"/>
          <w:spacing w:val="7"/>
          <w:sz w:val="32"/>
          <w:szCs w:val="32"/>
          <w:lang w:val="en-US" w:eastAsia="zh-CN"/>
        </w:rPr>
      </w:pPr>
      <w:bookmarkStart w:id="77" w:name="_Toc3050"/>
      <w:bookmarkStart w:id="78" w:name="_Toc2427"/>
      <w:r>
        <w:rPr>
          <w:rFonts w:hint="eastAsia" w:ascii="黑体" w:hAnsi="黑体" w:eastAsia="黑体" w:cs="黑体"/>
          <w:spacing w:val="7"/>
          <w:sz w:val="32"/>
          <w:szCs w:val="32"/>
          <w:lang w:val="en-US" w:eastAsia="zh-CN"/>
        </w:rPr>
        <w:t>第五节  持续深化林长制改革</w:t>
      </w:r>
      <w:bookmarkEnd w:id="77"/>
      <w:bookmarkEnd w:id="78"/>
    </w:p>
    <w:p>
      <w:pPr>
        <w:pStyle w:val="2"/>
        <w:pageBreakBefore w:val="0"/>
        <w:wordWrap/>
        <w:overflowPunct/>
        <w:topLinePunct w:val="0"/>
        <w:bidi w:val="0"/>
        <w:spacing w:line="576" w:lineRule="exact"/>
        <w:ind w:left="0" w:leftChars="0" w:firstLine="640" w:firstLineChars="200"/>
        <w:rPr>
          <w:rFonts w:hint="eastAsia"/>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设立县、镇、村（国有林单位）三级林长。</w:t>
      </w:r>
      <w:r>
        <w:rPr>
          <w:rFonts w:hint="default" w:ascii="仿宋_GB2312" w:hAnsi="仿宋_GB2312" w:eastAsia="仿宋_GB2312" w:cs="仿宋_GB2312"/>
          <w:snapToGrid w:val="0"/>
          <w:color w:val="000000"/>
          <w:spacing w:val="5"/>
          <w:kern w:val="0"/>
          <w:sz w:val="32"/>
          <w:szCs w:val="32"/>
          <w:lang w:val="en-US" w:eastAsia="zh-CN"/>
        </w:rPr>
        <w:t>县</w:t>
      </w:r>
      <w:r>
        <w:rPr>
          <w:rFonts w:hint="eastAsia" w:ascii="仿宋_GB2312" w:hAnsi="仿宋_GB2312" w:eastAsia="仿宋_GB2312" w:cs="仿宋_GB2312"/>
          <w:snapToGrid w:val="0"/>
          <w:color w:val="000000"/>
          <w:spacing w:val="5"/>
          <w:kern w:val="0"/>
          <w:sz w:val="32"/>
          <w:szCs w:val="32"/>
          <w:lang w:val="en-US" w:eastAsia="zh-CN"/>
        </w:rPr>
        <w:t>、</w:t>
      </w:r>
      <w:r>
        <w:rPr>
          <w:rFonts w:hint="default" w:ascii="仿宋_GB2312" w:hAnsi="仿宋_GB2312" w:eastAsia="仿宋_GB2312" w:cs="仿宋_GB2312"/>
          <w:snapToGrid w:val="0"/>
          <w:color w:val="000000"/>
          <w:spacing w:val="5"/>
          <w:kern w:val="0"/>
          <w:sz w:val="32"/>
          <w:szCs w:val="32"/>
          <w:lang w:val="en-US" w:eastAsia="zh-CN"/>
        </w:rPr>
        <w:t>乡镇</w:t>
      </w:r>
      <w:r>
        <w:rPr>
          <w:rFonts w:hint="eastAsia" w:ascii="仿宋_GB2312" w:hAnsi="仿宋_GB2312" w:eastAsia="仿宋_GB2312" w:cs="仿宋_GB2312"/>
          <w:snapToGrid w:val="0"/>
          <w:color w:val="000000"/>
          <w:spacing w:val="5"/>
          <w:kern w:val="0"/>
          <w:sz w:val="32"/>
          <w:szCs w:val="32"/>
          <w:lang w:val="en-US" w:eastAsia="zh-CN"/>
        </w:rPr>
        <w:t>（</w:t>
      </w:r>
      <w:r>
        <w:rPr>
          <w:rFonts w:hint="default" w:ascii="仿宋_GB2312" w:hAnsi="仿宋_GB2312" w:eastAsia="仿宋_GB2312" w:cs="仿宋_GB2312"/>
          <w:snapToGrid w:val="0"/>
          <w:color w:val="000000"/>
          <w:spacing w:val="5"/>
          <w:kern w:val="0"/>
          <w:sz w:val="32"/>
          <w:szCs w:val="32"/>
          <w:lang w:val="en-US" w:eastAsia="zh-CN"/>
        </w:rPr>
        <w:t>街道</w:t>
      </w:r>
      <w:r>
        <w:rPr>
          <w:rFonts w:hint="eastAsia" w:ascii="仿宋_GB2312" w:hAnsi="仿宋_GB2312" w:eastAsia="仿宋_GB2312" w:cs="仿宋_GB2312"/>
          <w:snapToGrid w:val="0"/>
          <w:color w:val="000000"/>
          <w:spacing w:val="5"/>
          <w:kern w:val="0"/>
          <w:sz w:val="32"/>
          <w:szCs w:val="32"/>
          <w:lang w:val="en-US" w:eastAsia="zh-CN"/>
        </w:rPr>
        <w:t>）</w:t>
      </w:r>
      <w:r>
        <w:rPr>
          <w:rFonts w:hint="default" w:ascii="仿宋_GB2312" w:hAnsi="仿宋_GB2312" w:eastAsia="仿宋_GB2312" w:cs="仿宋_GB2312"/>
          <w:snapToGrid w:val="0"/>
          <w:color w:val="000000"/>
          <w:spacing w:val="5"/>
          <w:kern w:val="0"/>
          <w:sz w:val="32"/>
          <w:szCs w:val="32"/>
          <w:lang w:val="en-US" w:eastAsia="zh-CN"/>
        </w:rPr>
        <w:t>逐级设林长、副林长，同级党委和政府主要负责同志任“双林长”</w:t>
      </w:r>
      <w:r>
        <w:rPr>
          <w:rFonts w:hint="eastAsia" w:ascii="仿宋_GB2312" w:hAnsi="仿宋_GB2312" w:eastAsia="仿宋_GB2312" w:cs="仿宋_GB2312"/>
          <w:snapToGrid w:val="0"/>
          <w:color w:val="000000"/>
          <w:spacing w:val="5"/>
          <w:kern w:val="0"/>
          <w:sz w:val="32"/>
          <w:szCs w:val="32"/>
          <w:lang w:val="en-US" w:eastAsia="zh-CN"/>
        </w:rPr>
        <w:t>，</w:t>
      </w:r>
      <w:r>
        <w:rPr>
          <w:rFonts w:hint="default" w:ascii="仿宋_GB2312" w:hAnsi="仿宋_GB2312" w:eastAsia="仿宋_GB2312" w:cs="仿宋_GB2312"/>
          <w:snapToGrid w:val="0"/>
          <w:color w:val="000000"/>
          <w:spacing w:val="5"/>
          <w:kern w:val="0"/>
          <w:sz w:val="32"/>
          <w:szCs w:val="32"/>
          <w:lang w:val="en-US" w:eastAsia="zh-CN"/>
        </w:rPr>
        <w:t>相关负责同志任副林长。村级林长由党组织书记担任。自然保护地、国有林场、国有林区等国有森林草原保护经营单位设林长、副林长。构建党政同责、属地负责、部门协同、源头治理、全域覆盖的长效机制。</w:t>
      </w: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分级明确林长职责。县林长组织完成森林资源保护发展任务，组织实施森林工程项目，预防和处置森林灾害。乡镇</w:t>
      </w:r>
      <w:r>
        <w:rPr>
          <w:rFonts w:hint="eastAsia" w:ascii="仿宋_GB2312" w:hAnsi="仿宋_GB2312" w:eastAsia="仿宋_GB2312" w:cs="仿宋_GB2312"/>
          <w:snapToGrid w:val="0"/>
          <w:color w:val="000000"/>
          <w:spacing w:val="5"/>
          <w:kern w:val="0"/>
          <w:sz w:val="32"/>
          <w:szCs w:val="32"/>
          <w:lang w:val="en-US" w:eastAsia="zh-CN"/>
        </w:rPr>
        <w:t>（</w:t>
      </w:r>
      <w:r>
        <w:rPr>
          <w:rFonts w:hint="default" w:ascii="仿宋_GB2312" w:hAnsi="仿宋_GB2312" w:eastAsia="仿宋_GB2312" w:cs="仿宋_GB2312"/>
          <w:snapToGrid w:val="0"/>
          <w:color w:val="000000"/>
          <w:spacing w:val="5"/>
          <w:kern w:val="0"/>
          <w:sz w:val="32"/>
          <w:szCs w:val="32"/>
          <w:lang w:val="en-US" w:eastAsia="zh-CN"/>
        </w:rPr>
        <w:t>街道</w:t>
      </w:r>
      <w:r>
        <w:rPr>
          <w:rFonts w:hint="eastAsia" w:ascii="仿宋_GB2312" w:hAnsi="仿宋_GB2312" w:eastAsia="仿宋_GB2312" w:cs="仿宋_GB2312"/>
          <w:snapToGrid w:val="0"/>
          <w:color w:val="000000"/>
          <w:spacing w:val="5"/>
          <w:kern w:val="0"/>
          <w:sz w:val="32"/>
          <w:szCs w:val="32"/>
          <w:lang w:val="en-US" w:eastAsia="zh-CN"/>
        </w:rPr>
        <w:t>）</w:t>
      </w:r>
      <w:r>
        <w:rPr>
          <w:rFonts w:hint="default" w:ascii="仿宋_GB2312" w:hAnsi="仿宋_GB2312" w:eastAsia="仿宋_GB2312" w:cs="仿宋_GB2312"/>
          <w:snapToGrid w:val="0"/>
          <w:color w:val="000000"/>
          <w:spacing w:val="5"/>
          <w:kern w:val="0"/>
          <w:sz w:val="32"/>
          <w:szCs w:val="32"/>
          <w:lang w:val="en-US" w:eastAsia="zh-CN"/>
        </w:rPr>
        <w:t>林长负责森林资源保护发展网格化管理，制止并配合查处违法犯罪，做好灾害预防和处置相关工作。村级林长负责开展日常巡护和宣传，落实网格化管理措施。建立部门协作机制，科学确定林长责任区域。</w:t>
      </w: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明确林长保护发展林业资源任务。负责保护管理森林资源，加强生态保护，严守生态保护红线。负责发展利用森林资源，科学划定生态用地，实施生态系统保护修复重大工程，推进生态产业化和产业生态化。负责维护森林资源安全，严控野外火源，科学组织火灾扑救，加强外来物种管控和治理，加强野生动物疫源疫病监测防控，强化森林执法。负责强化森林支撑保障，深化集体林权制度改革，巩固国有林场林区改革成果，加强林业科技攻关和技术推广，加强基层人员管理。</w:t>
      </w:r>
    </w:p>
    <w:p>
      <w:pPr>
        <w:keepNext w:val="0"/>
        <w:keepLines w:val="0"/>
        <w:pageBreakBefore w:val="0"/>
        <w:widowControl w:val="0"/>
        <w:wordWrap/>
        <w:overflowPunct/>
        <w:topLinePunct w:val="0"/>
        <w:bidi w:val="0"/>
        <w:spacing w:line="576" w:lineRule="exact"/>
        <w:ind w:left="0" w:leftChars="0" w:right="0" w:firstLine="660" w:firstLineChars="200"/>
        <w:jc w:val="both"/>
        <w:rPr>
          <w:rFonts w:hint="default" w:ascii="仿宋_GB2312" w:hAnsi="仿宋_GB2312" w:eastAsia="仿宋_GB2312" w:cs="仿宋_GB2312"/>
          <w:snapToGrid w:val="0"/>
          <w:color w:val="000000"/>
          <w:spacing w:val="5"/>
          <w:kern w:val="0"/>
          <w:sz w:val="32"/>
          <w:szCs w:val="32"/>
          <w:lang w:val="en-US" w:eastAsia="zh-CN"/>
        </w:rPr>
      </w:pPr>
      <w:r>
        <w:rPr>
          <w:rFonts w:hint="default" w:ascii="仿宋_GB2312" w:hAnsi="仿宋_GB2312" w:eastAsia="仿宋_GB2312" w:cs="仿宋_GB2312"/>
          <w:snapToGrid w:val="0"/>
          <w:color w:val="000000"/>
          <w:spacing w:val="5"/>
          <w:kern w:val="0"/>
          <w:sz w:val="32"/>
          <w:szCs w:val="32"/>
          <w:lang w:val="en-US" w:eastAsia="zh-CN"/>
        </w:rPr>
        <w:t>建立健全林长制配套制度。将森林覆盖率、森林蓄积量等作为重要指标，制定差异化、可量化、可考核的指标体系。林长制考核结果作为有关党政领导干部综合考核评价和自然资源资产离任审计的重要依据。健全生态环境损害赔偿制度</w:t>
      </w:r>
      <w:r>
        <w:rPr>
          <w:rFonts w:hint="eastAsia" w:ascii="仿宋_GB2312" w:hAnsi="仿宋_GB2312" w:eastAsia="仿宋_GB2312" w:cs="仿宋_GB2312"/>
          <w:snapToGrid w:val="0"/>
          <w:color w:val="000000"/>
          <w:spacing w:val="5"/>
          <w:kern w:val="0"/>
          <w:sz w:val="32"/>
          <w:szCs w:val="32"/>
          <w:lang w:val="en-US" w:eastAsia="zh-CN"/>
        </w:rPr>
        <w:t>，支持生态公益诉讼。建</w:t>
      </w:r>
      <w:r>
        <w:rPr>
          <w:rFonts w:hint="default" w:ascii="仿宋_GB2312" w:hAnsi="仿宋_GB2312" w:eastAsia="仿宋_GB2312" w:cs="仿宋_GB2312"/>
          <w:snapToGrid w:val="0"/>
          <w:color w:val="000000"/>
          <w:spacing w:val="5"/>
          <w:kern w:val="0"/>
          <w:sz w:val="32"/>
          <w:szCs w:val="32"/>
          <w:lang w:val="en-US" w:eastAsia="zh-CN"/>
        </w:rPr>
        <w:t>立林长制运行规则、督查制度、信息平台，定期通报森林资源保护发展重点工作，定期通报森林资源保护发展情况。</w:t>
      </w:r>
    </w:p>
    <w:p>
      <w:pPr>
        <w:keepNext w:val="0"/>
        <w:keepLines w:val="0"/>
        <w:pageBreakBefore w:val="0"/>
        <w:widowControl w:val="0"/>
        <w:wordWrap/>
        <w:overflowPunct/>
        <w:topLinePunct w:val="0"/>
        <w:bidi w:val="0"/>
        <w:spacing w:line="576" w:lineRule="exact"/>
        <w:ind w:left="0" w:leftChars="0" w:right="0" w:firstLine="640" w:firstLineChars="200"/>
        <w:rPr>
          <w:rFonts w:ascii="Arial"/>
          <w:sz w:val="32"/>
          <w:szCs w:val="32"/>
        </w:rPr>
      </w:pPr>
    </w:p>
    <w:p>
      <w:pPr>
        <w:keepNext w:val="0"/>
        <w:keepLines w:val="0"/>
        <w:pageBreakBefore w:val="0"/>
        <w:widowControl w:val="0"/>
        <w:wordWrap/>
        <w:overflowPunct/>
        <w:topLinePunct w:val="0"/>
        <w:bidi w:val="0"/>
        <w:spacing w:line="576" w:lineRule="exact"/>
        <w:ind w:right="0"/>
        <w:jc w:val="center"/>
        <w:outlineLvl w:val="0"/>
        <w:rPr>
          <w:rFonts w:hint="default" w:ascii="Arial" w:eastAsia="宋体"/>
          <w:sz w:val="32"/>
          <w:szCs w:val="32"/>
          <w:lang w:val="en-US" w:eastAsia="zh-CN"/>
        </w:rPr>
      </w:pPr>
      <w:bookmarkStart w:id="79" w:name="_bookmark39"/>
      <w:bookmarkEnd w:id="79"/>
      <w:bookmarkStart w:id="80" w:name="_Toc12755"/>
      <w:bookmarkStart w:id="81" w:name="_Toc24440"/>
      <w:r>
        <w:rPr>
          <w:rFonts w:hint="eastAsia" w:ascii="黑体" w:hAnsi="黑体" w:eastAsia="黑体" w:cs="黑体"/>
          <w:spacing w:val="13"/>
          <w:sz w:val="32"/>
          <w:szCs w:val="32"/>
          <w:lang w:val="en-US" w:eastAsia="zh-CN"/>
        </w:rPr>
        <w:t xml:space="preserve">第九章  </w:t>
      </w:r>
      <w:r>
        <w:rPr>
          <w:rFonts w:ascii="黑体" w:hAnsi="黑体" w:eastAsia="黑体" w:cs="黑体"/>
          <w:spacing w:val="8"/>
          <w:sz w:val="32"/>
          <w:szCs w:val="32"/>
        </w:rPr>
        <w:t>加强科技攻关和应用</w:t>
      </w:r>
      <w:bookmarkEnd w:id="80"/>
      <w:bookmarkEnd w:id="81"/>
    </w:p>
    <w:p>
      <w:pPr>
        <w:keepNext w:val="0"/>
        <w:keepLines w:val="0"/>
        <w:pageBreakBefore w:val="0"/>
        <w:widowControl w:val="0"/>
        <w:wordWrap/>
        <w:overflowPunct/>
        <w:topLinePunct w:val="0"/>
        <w:bidi w:val="0"/>
        <w:spacing w:line="576" w:lineRule="exact"/>
        <w:ind w:left="0" w:leftChars="0" w:right="0" w:firstLine="684" w:firstLineChars="200"/>
        <w:jc w:val="center"/>
        <w:outlineLvl w:val="9"/>
        <w:rPr>
          <w:rFonts w:ascii="黑体" w:hAnsi="黑体" w:eastAsia="黑体" w:cs="黑体"/>
          <w:spacing w:val="11"/>
          <w:sz w:val="32"/>
          <w:szCs w:val="32"/>
        </w:rPr>
      </w:pPr>
      <w:bookmarkStart w:id="82" w:name="_bookmark41"/>
      <w:bookmarkEnd w:id="82"/>
      <w:bookmarkStart w:id="83" w:name="_bookmark40"/>
      <w:bookmarkEnd w:id="83"/>
    </w:p>
    <w:p>
      <w:pPr>
        <w:keepNext w:val="0"/>
        <w:keepLines w:val="0"/>
        <w:pageBreakBefore w:val="0"/>
        <w:widowControl w:val="0"/>
        <w:wordWrap/>
        <w:overflowPunct/>
        <w:topLinePunct w:val="0"/>
        <w:bidi w:val="0"/>
        <w:spacing w:line="576" w:lineRule="exact"/>
        <w:ind w:right="0"/>
        <w:jc w:val="center"/>
        <w:outlineLvl w:val="1"/>
        <w:rPr>
          <w:rFonts w:hint="eastAsia" w:ascii="仿宋_GB2312" w:hAnsi="仿宋_GB2312" w:eastAsia="仿宋_GB2312" w:cs="仿宋_GB2312"/>
          <w:b/>
          <w:bCs w:val="0"/>
          <w:color w:val="auto"/>
          <w:sz w:val="32"/>
          <w:szCs w:val="32"/>
          <w:lang w:val="en-US" w:eastAsia="zh-CN"/>
        </w:rPr>
      </w:pPr>
      <w:bookmarkStart w:id="84" w:name="_Toc14781"/>
      <w:bookmarkStart w:id="85" w:name="_Toc19219"/>
      <w:bookmarkStart w:id="86" w:name="_Toc8352"/>
      <w:r>
        <w:rPr>
          <w:rFonts w:hint="eastAsia" w:ascii="黑体" w:hAnsi="黑体" w:eastAsia="黑体" w:cs="黑体"/>
          <w:spacing w:val="8"/>
          <w:sz w:val="32"/>
          <w:szCs w:val="32"/>
          <w:lang w:val="en-US" w:eastAsia="zh-CN"/>
        </w:rPr>
        <w:t>第一节 健全林业科技推广体系</w:t>
      </w:r>
      <w:bookmarkEnd w:id="84"/>
      <w:bookmarkEnd w:id="85"/>
    </w:p>
    <w:p>
      <w:pPr>
        <w:keepNext w:val="0"/>
        <w:keepLines w:val="0"/>
        <w:pageBreakBefore w:val="0"/>
        <w:widowControl w:val="0"/>
        <w:wordWrap/>
        <w:overflowPunct/>
        <w:topLinePunct w:val="0"/>
        <w:bidi w:val="0"/>
        <w:spacing w:line="576" w:lineRule="exact"/>
        <w:ind w:left="0" w:leftChars="0" w:right="0" w:firstLine="640" w:firstLineChars="200"/>
        <w:jc w:val="left"/>
        <w:outlineLvl w:val="9"/>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bookmarkStart w:id="87" w:name="_Toc2898"/>
      <w:bookmarkStart w:id="88" w:name="_Toc78"/>
      <w:r>
        <w:rPr>
          <w:rFonts w:hint="eastAsia" w:ascii="仿宋_GB2312" w:hAnsi="仿宋_GB2312" w:eastAsia="仿宋_GB2312" w:cs="仿宋_GB2312"/>
          <w:snapToGrid w:val="0"/>
          <w:color w:val="000000"/>
          <w:spacing w:val="5"/>
          <w:kern w:val="0"/>
          <w:sz w:val="32"/>
          <w:szCs w:val="32"/>
          <w:lang w:val="en-US" w:eastAsia="zh-CN"/>
        </w:rPr>
        <w:t>继续依托旺苍县林业科技推广服务中心为主导的林业科技推广服务体系，强化乡镇林业站科技推广职能，做到有机构、有编制、有人员、有经费、有示范基地，形成完善的县、乡林业科技推广服务体系。</w:t>
      </w:r>
      <w:bookmarkEnd w:id="86"/>
      <w:bookmarkEnd w:id="87"/>
      <w:bookmarkEnd w:id="88"/>
    </w:p>
    <w:p>
      <w:pPr>
        <w:pStyle w:val="2"/>
        <w:rPr>
          <w:rFonts w:hint="eastAsia"/>
          <w:sz w:val="32"/>
          <w:szCs w:val="32"/>
          <w:lang w:val="en-US" w:eastAsia="zh-CN"/>
        </w:rPr>
      </w:pPr>
    </w:p>
    <w:p>
      <w:pPr>
        <w:keepNext w:val="0"/>
        <w:keepLines w:val="0"/>
        <w:pageBreakBefore w:val="0"/>
        <w:widowControl w:val="0"/>
        <w:wordWrap/>
        <w:overflowPunct/>
        <w:topLinePunct w:val="0"/>
        <w:bidi w:val="0"/>
        <w:spacing w:line="576" w:lineRule="exact"/>
        <w:ind w:right="0"/>
        <w:jc w:val="center"/>
        <w:outlineLvl w:val="1"/>
        <w:rPr>
          <w:rFonts w:hint="eastAsia" w:ascii="仿宋_GB2312" w:hAnsi="仿宋_GB2312" w:eastAsia="仿宋_GB2312" w:cs="仿宋_GB2312"/>
          <w:b/>
          <w:bCs w:val="0"/>
          <w:color w:val="auto"/>
          <w:sz w:val="32"/>
          <w:szCs w:val="32"/>
          <w:lang w:val="en-US" w:eastAsia="zh-CN"/>
        </w:rPr>
      </w:pPr>
      <w:bookmarkStart w:id="89" w:name="_Toc16744"/>
      <w:bookmarkStart w:id="90" w:name="_Toc6099"/>
      <w:bookmarkStart w:id="91" w:name="_Toc23142"/>
      <w:r>
        <w:rPr>
          <w:rFonts w:hint="eastAsia" w:ascii="黑体" w:hAnsi="黑体" w:eastAsia="黑体" w:cs="黑体"/>
          <w:spacing w:val="8"/>
          <w:sz w:val="32"/>
          <w:szCs w:val="32"/>
          <w:lang w:val="en-US" w:eastAsia="zh-CN"/>
        </w:rPr>
        <w:t>第二节 加快成果转化和园区建设</w:t>
      </w:r>
      <w:bookmarkEnd w:id="89"/>
      <w:bookmarkEnd w:id="90"/>
    </w:p>
    <w:p>
      <w:pPr>
        <w:keepNext w:val="0"/>
        <w:keepLines w:val="0"/>
        <w:pageBreakBefore w:val="0"/>
        <w:widowControl w:val="0"/>
        <w:wordWrap/>
        <w:overflowPunct/>
        <w:topLinePunct w:val="0"/>
        <w:bidi w:val="0"/>
        <w:spacing w:line="576" w:lineRule="exact"/>
        <w:ind w:left="0" w:leftChars="0" w:right="0" w:firstLine="643" w:firstLineChars="200"/>
        <w:jc w:val="left"/>
        <w:outlineLvl w:val="9"/>
        <w:rPr>
          <w:rFonts w:hint="eastAsia" w:ascii="仿宋_GB2312" w:hAnsi="仿宋_GB2312" w:eastAsia="仿宋_GB2312" w:cs="仿宋_GB2312"/>
          <w:b/>
          <w:bCs w:val="0"/>
          <w:color w:val="auto"/>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bookmarkStart w:id="92" w:name="_Toc18245"/>
      <w:bookmarkStart w:id="93" w:name="_Toc7413"/>
      <w:r>
        <w:rPr>
          <w:rFonts w:hint="eastAsia" w:ascii="仿宋_GB2312" w:hAnsi="仿宋_GB2312" w:eastAsia="仿宋_GB2312" w:cs="仿宋_GB2312"/>
          <w:snapToGrid w:val="0"/>
          <w:color w:val="000000"/>
          <w:spacing w:val="5"/>
          <w:kern w:val="0"/>
          <w:sz w:val="32"/>
          <w:szCs w:val="32"/>
          <w:lang w:val="en-US" w:eastAsia="zh-CN"/>
        </w:rPr>
        <w:t>加强林业技术和科技成果供需对接，继续开展院县、院企、院产联动合作，通过产学研合作推进科技成果转移转化；向各乡镇、专业合作社、企业派驻林业科技特派员，建立点对点精准扶贫示范典型，建设科技示范户或家庭林场，提高技术的入户率和到位率，推动林业科技成果进入企业；通过集中授课、专题讲座、现场示范指导等多种形式开展技术培训，普及林业科技知识，提高林业科技水平，培养一批活跃在林农身边的“看得见、问得着、留得住”的乡土人才；因地制宜地推广核桃、杜仲、板栗等名优经济林品种和高效栽培技术，推广台湾水青冈、桦木、日本落叶松、杉木等速生用材林高效培育技术，推广林下种植养殖、特色资源林复合经营、病虫害防治等实用技术，增加林农收入；结合林业产业园区建设，组织林业科技成果转化落地。围绕核桃、杜仲、林下经济等优势特色产业，着力建设嘉川西河、英萃镇新房新建、普济镇黄花山三个市级现代林业园区，持续巩固提升白水镇水峰村、三江镇华山村、五权镇铜钱村、九龙镇文星村等核桃基地，力争</w:t>
      </w:r>
      <w:r>
        <w:rPr>
          <w:rFonts w:hint="eastAsia" w:ascii="仿宋_GB2312" w:hAnsi="仿宋_GB2312" w:eastAsia="仿宋_GB2312" w:cs="仿宋_GB2312"/>
          <w:snapToGrid w:val="0"/>
          <w:color w:val="000000"/>
          <w:spacing w:val="5"/>
          <w:kern w:val="0"/>
          <w:sz w:val="32"/>
          <w:szCs w:val="32"/>
          <w:lang w:val="en-US" w:eastAsia="zh-CN"/>
        </w:rPr>
        <w:t>创建1个省级核桃现代林业园区，建设一批林业科技试验示范基地</w:t>
      </w:r>
      <w:bookmarkEnd w:id="91"/>
      <w:bookmarkEnd w:id="92"/>
      <w:bookmarkEnd w:id="93"/>
      <w:r>
        <w:rPr>
          <w:rFonts w:hint="eastAsia" w:ascii="仿宋_GB2312" w:hAnsi="仿宋_GB2312" w:eastAsia="仿宋_GB2312" w:cs="仿宋_GB2312"/>
          <w:snapToGrid w:val="0"/>
          <w:color w:val="000000"/>
          <w:spacing w:val="5"/>
          <w:kern w:val="0"/>
          <w:sz w:val="32"/>
          <w:szCs w:val="32"/>
          <w:lang w:val="en-US" w:eastAsia="zh-CN"/>
        </w:rPr>
        <w:t>。</w:t>
      </w:r>
    </w:p>
    <w:p>
      <w:pPr>
        <w:keepNext w:val="0"/>
        <w:keepLines w:val="0"/>
        <w:pageBreakBefore w:val="0"/>
        <w:widowControl w:val="0"/>
        <w:wordWrap/>
        <w:overflowPunct/>
        <w:topLinePunct w:val="0"/>
        <w:bidi w:val="0"/>
        <w:spacing w:line="576" w:lineRule="exact"/>
        <w:ind w:left="0" w:leftChars="0" w:right="0" w:firstLine="643" w:firstLineChars="200"/>
        <w:jc w:val="left"/>
        <w:outlineLvl w:val="9"/>
        <w:rPr>
          <w:rFonts w:hint="eastAsia" w:ascii="仿宋_GB2312" w:hAnsi="仿宋_GB2312" w:eastAsia="仿宋_GB2312" w:cs="仿宋_GB2312"/>
          <w:b/>
          <w:bCs w:val="0"/>
          <w:color w:val="auto"/>
          <w:sz w:val="32"/>
          <w:szCs w:val="32"/>
          <w:lang w:val="en-US" w:eastAsia="zh-CN"/>
        </w:rPr>
      </w:pPr>
      <w:bookmarkStart w:id="94" w:name="_Toc13286"/>
    </w:p>
    <w:p>
      <w:pPr>
        <w:keepNext w:val="0"/>
        <w:keepLines w:val="0"/>
        <w:pageBreakBefore w:val="0"/>
        <w:widowControl w:val="0"/>
        <w:wordWrap/>
        <w:overflowPunct/>
        <w:topLinePunct w:val="0"/>
        <w:bidi w:val="0"/>
        <w:spacing w:line="576" w:lineRule="exact"/>
        <w:ind w:right="0"/>
        <w:jc w:val="center"/>
        <w:outlineLvl w:val="1"/>
        <w:rPr>
          <w:rFonts w:hint="eastAsia" w:ascii="仿宋_GB2312" w:hAnsi="仿宋_GB2312" w:eastAsia="仿宋_GB2312" w:cs="仿宋_GB2312"/>
          <w:b w:val="0"/>
          <w:bCs/>
          <w:color w:val="auto"/>
          <w:sz w:val="32"/>
          <w:szCs w:val="32"/>
          <w:lang w:val="en-US" w:eastAsia="zh-CN"/>
        </w:rPr>
      </w:pPr>
      <w:bookmarkStart w:id="95" w:name="_Toc27998"/>
      <w:bookmarkStart w:id="96" w:name="_Toc28672"/>
      <w:r>
        <w:rPr>
          <w:rFonts w:hint="eastAsia" w:ascii="黑体" w:hAnsi="黑体" w:eastAsia="黑体" w:cs="黑体"/>
          <w:spacing w:val="8"/>
          <w:sz w:val="32"/>
          <w:szCs w:val="32"/>
          <w:lang w:val="en-US" w:eastAsia="zh-CN"/>
        </w:rPr>
        <w:t>第三节 加强林木种质资源收集保存</w:t>
      </w:r>
      <w:bookmarkEnd w:id="95"/>
      <w:bookmarkEnd w:id="96"/>
    </w:p>
    <w:p>
      <w:pPr>
        <w:keepNext w:val="0"/>
        <w:keepLines w:val="0"/>
        <w:pageBreakBefore w:val="0"/>
        <w:widowControl w:val="0"/>
        <w:wordWrap/>
        <w:overflowPunct/>
        <w:topLinePunct w:val="0"/>
        <w:bidi w:val="0"/>
        <w:spacing w:line="576" w:lineRule="exact"/>
        <w:ind w:left="0" w:leftChars="0" w:right="0" w:firstLine="640" w:firstLineChars="200"/>
        <w:jc w:val="left"/>
        <w:outlineLvl w:val="9"/>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bookmarkStart w:id="97" w:name="_Toc28361"/>
      <w:bookmarkStart w:id="98" w:name="_Toc20766"/>
      <w:r>
        <w:rPr>
          <w:rFonts w:hint="eastAsia" w:ascii="仿宋_GB2312" w:hAnsi="仿宋_GB2312" w:eastAsia="仿宋_GB2312" w:cs="仿宋_GB2312"/>
          <w:snapToGrid w:val="0"/>
          <w:color w:val="000000"/>
          <w:spacing w:val="5"/>
          <w:kern w:val="0"/>
          <w:sz w:val="32"/>
          <w:szCs w:val="32"/>
          <w:lang w:val="en-US" w:eastAsia="zh-CN"/>
        </w:rPr>
        <w:t>依托旺苍县国营苗圃、旺苍县国有林场在旺苍县松米山省级核桃良种基地和旺苍县国有林场省级台湾水青冈种质资源库的基础上，大力开展林木良种定向选育，加快种苗结构性调整，开展珍贵用材树种、优良速生乡土树种、木本粮油植物、乡土变色彩叶树种、森林食品与药材、林下经济动植物等良种选育和新品种培育，收集、保存桦木、杜仲等种质资源，建立省级以上桦木、杜仲种质资源库。</w:t>
      </w:r>
      <w:bookmarkEnd w:id="94"/>
      <w:bookmarkEnd w:id="97"/>
      <w:bookmarkEnd w:id="98"/>
    </w:p>
    <w:p>
      <w:pPr>
        <w:pStyle w:val="2"/>
        <w:keepNext w:val="0"/>
        <w:keepLines w:val="0"/>
        <w:pageBreakBefore w:val="0"/>
        <w:widowControl w:val="0"/>
        <w:wordWrap/>
        <w:overflowPunct/>
        <w:topLinePunct w:val="0"/>
        <w:bidi w:val="0"/>
        <w:spacing w:line="576" w:lineRule="exact"/>
        <w:ind w:left="0" w:leftChars="0" w:firstLine="640" w:firstLineChars="200"/>
        <w:rPr>
          <w:sz w:val="32"/>
          <w:szCs w:val="32"/>
        </w:rPr>
      </w:pPr>
    </w:p>
    <w:p>
      <w:pPr>
        <w:keepNext w:val="0"/>
        <w:keepLines w:val="0"/>
        <w:pageBreakBefore w:val="0"/>
        <w:widowControl w:val="0"/>
        <w:numPr>
          <w:ilvl w:val="0"/>
          <w:numId w:val="0"/>
        </w:numPr>
        <w:wordWrap/>
        <w:overflowPunct/>
        <w:topLinePunct w:val="0"/>
        <w:bidi w:val="0"/>
        <w:spacing w:line="576" w:lineRule="exact"/>
        <w:ind w:right="0" w:rightChars="0"/>
        <w:jc w:val="center"/>
        <w:outlineLvl w:val="0"/>
        <w:rPr>
          <w:rFonts w:ascii="黑体" w:hAnsi="黑体" w:eastAsia="黑体" w:cs="黑体"/>
          <w:spacing w:val="8"/>
          <w:sz w:val="32"/>
          <w:szCs w:val="32"/>
        </w:rPr>
      </w:pPr>
      <w:bookmarkStart w:id="99" w:name="_Toc32012"/>
      <w:bookmarkStart w:id="100" w:name="_Toc27888"/>
      <w:r>
        <w:rPr>
          <w:rFonts w:hint="eastAsia" w:ascii="黑体" w:hAnsi="黑体" w:eastAsia="黑体" w:cs="黑体"/>
          <w:spacing w:val="8"/>
          <w:sz w:val="32"/>
          <w:szCs w:val="32"/>
          <w:lang w:eastAsia="zh-CN"/>
        </w:rPr>
        <w:t>第</w:t>
      </w:r>
      <w:r>
        <w:rPr>
          <w:rFonts w:hint="eastAsia" w:ascii="黑体" w:hAnsi="黑体" w:eastAsia="黑体" w:cs="黑体"/>
          <w:spacing w:val="8"/>
          <w:sz w:val="32"/>
          <w:szCs w:val="32"/>
          <w:lang w:val="en-US" w:eastAsia="zh-CN"/>
        </w:rPr>
        <w:t>十</w:t>
      </w:r>
      <w:r>
        <w:rPr>
          <w:rFonts w:hint="eastAsia" w:ascii="黑体" w:hAnsi="黑体" w:eastAsia="黑体" w:cs="黑体"/>
          <w:spacing w:val="8"/>
          <w:sz w:val="32"/>
          <w:szCs w:val="32"/>
          <w:lang w:eastAsia="zh-CN"/>
        </w:rPr>
        <w:t>章</w:t>
      </w:r>
      <w:r>
        <w:rPr>
          <w:rFonts w:hint="eastAsia" w:ascii="黑体" w:hAnsi="黑体" w:eastAsia="黑体" w:cs="黑体"/>
          <w:spacing w:val="8"/>
          <w:sz w:val="32"/>
          <w:szCs w:val="32"/>
          <w:lang w:val="en-US" w:eastAsia="zh-CN"/>
        </w:rPr>
        <w:t xml:space="preserve"> </w:t>
      </w:r>
      <w:r>
        <w:rPr>
          <w:rFonts w:ascii="黑体" w:hAnsi="黑体" w:eastAsia="黑体" w:cs="黑体"/>
          <w:spacing w:val="8"/>
          <w:sz w:val="32"/>
          <w:szCs w:val="32"/>
        </w:rPr>
        <w:t xml:space="preserve"> 强化组织实施</w:t>
      </w:r>
      <w:bookmarkEnd w:id="99"/>
      <w:bookmarkEnd w:id="100"/>
    </w:p>
    <w:p>
      <w:pPr>
        <w:pStyle w:val="2"/>
        <w:numPr>
          <w:ilvl w:val="0"/>
          <w:numId w:val="0"/>
        </w:numPr>
        <w:rPr>
          <w:sz w:val="32"/>
          <w:szCs w:val="32"/>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rPr>
        <w:t>本规划是“十四五”时期旺苍林业发展总蓝图，具有战略性、宏观性、政策性和可操作性，是全县林业系统相关规划和实施方案编制的依据。各乡镇、单位要加强与当地国民经济和社会发展“十四五”规划以及相关专项规划的对接，确保纳入当地发展重大建设任务、重大建设工程。加强年度计划与本规划的衔接，确保本规划目标任务落地见效。</w:t>
      </w:r>
    </w:p>
    <w:p>
      <w:pPr>
        <w:pageBreakBefore w:val="0"/>
        <w:widowControl/>
        <w:kinsoku/>
        <w:wordWrap/>
        <w:overflowPunct/>
        <w:topLinePunct w:val="0"/>
        <w:autoSpaceDE/>
        <w:autoSpaceDN/>
        <w:bidi w:val="0"/>
        <w:adjustRightInd/>
        <w:snapToGrid/>
        <w:spacing w:line="576" w:lineRule="exact"/>
        <w:jc w:val="center"/>
        <w:textAlignment w:val="auto"/>
        <w:outlineLvl w:val="9"/>
        <w:rPr>
          <w:rFonts w:ascii="黑体" w:hAnsi="黑体" w:eastAsia="黑体" w:cs="黑体"/>
          <w:spacing w:val="8"/>
          <w:sz w:val="32"/>
          <w:szCs w:val="32"/>
        </w:rPr>
      </w:pPr>
      <w:bookmarkStart w:id="101" w:name="_Toc15798"/>
    </w:p>
    <w:p>
      <w:pPr>
        <w:pageBreakBefore w:val="0"/>
        <w:widowControl/>
        <w:kinsoku/>
        <w:wordWrap/>
        <w:overflowPunct/>
        <w:topLinePunct w:val="0"/>
        <w:autoSpaceDE/>
        <w:autoSpaceDN/>
        <w:bidi w:val="0"/>
        <w:adjustRightInd/>
        <w:snapToGrid/>
        <w:spacing w:line="576" w:lineRule="exact"/>
        <w:jc w:val="center"/>
        <w:textAlignment w:val="auto"/>
        <w:outlineLvl w:val="1"/>
        <w:rPr>
          <w:rFonts w:hint="eastAsia" w:ascii="黑体" w:hAnsi="黑体" w:eastAsia="黑体" w:cs="黑体"/>
          <w:spacing w:val="8"/>
          <w:sz w:val="32"/>
          <w:szCs w:val="32"/>
          <w:lang w:val="en-US" w:eastAsia="zh-CN"/>
        </w:rPr>
      </w:pPr>
      <w:bookmarkStart w:id="102" w:name="_Toc4610"/>
      <w:bookmarkStart w:id="103" w:name="_Toc4778"/>
      <w:r>
        <w:rPr>
          <w:rFonts w:ascii="黑体" w:hAnsi="黑体" w:eastAsia="黑体" w:cs="黑体"/>
          <w:spacing w:val="8"/>
          <w:sz w:val="32"/>
          <w:szCs w:val="32"/>
        </w:rPr>
        <w:t xml:space="preserve">第一节 </w:t>
      </w:r>
      <w:r>
        <w:rPr>
          <w:rFonts w:hint="eastAsia" w:ascii="黑体" w:hAnsi="黑体" w:eastAsia="黑体" w:cs="黑体"/>
          <w:spacing w:val="8"/>
          <w:sz w:val="32"/>
          <w:szCs w:val="32"/>
          <w:lang w:val="en-US" w:eastAsia="zh-CN"/>
        </w:rPr>
        <w:t>加强领导，落实责任</w:t>
      </w:r>
      <w:bookmarkEnd w:id="101"/>
      <w:bookmarkEnd w:id="102"/>
      <w:bookmarkEnd w:id="103"/>
      <w:bookmarkStart w:id="104" w:name="_Toc3550"/>
    </w:p>
    <w:p>
      <w:pPr>
        <w:pStyle w:val="2"/>
        <w:rPr>
          <w:rFonts w:hint="eastAsia"/>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bookmarkStart w:id="105" w:name="_Toc9960"/>
      <w:bookmarkStart w:id="106" w:name="_Toc20956"/>
      <w:r>
        <w:rPr>
          <w:rFonts w:hint="eastAsia" w:ascii="仿宋_GB2312" w:hAnsi="仿宋_GB2312" w:eastAsia="仿宋_GB2312" w:cs="仿宋_GB2312"/>
          <w:snapToGrid w:val="0"/>
          <w:color w:val="000000"/>
          <w:spacing w:val="5"/>
          <w:kern w:val="0"/>
          <w:sz w:val="32"/>
          <w:szCs w:val="32"/>
          <w:lang w:val="en-US" w:eastAsia="zh-CN"/>
        </w:rPr>
        <w:t>建立各级政府保护和发展森林资源责任制，把林业的改革与发展纳入全县国民经济和社会发展总体规划，进一步健全和完善林业建设任预期目标管理责任制，对林业建设的主要指标，实行任期目标管理，严格考核、严格奖惩。</w:t>
      </w:r>
      <w:bookmarkEnd w:id="104"/>
      <w:bookmarkEnd w:id="105"/>
      <w:bookmarkEnd w:id="106"/>
    </w:p>
    <w:p>
      <w:pPr>
        <w:pageBreakBefore w:val="0"/>
        <w:widowControl/>
        <w:kinsoku/>
        <w:wordWrap/>
        <w:overflowPunct/>
        <w:topLinePunct w:val="0"/>
        <w:autoSpaceDE/>
        <w:autoSpaceDN/>
        <w:bidi w:val="0"/>
        <w:adjustRightInd/>
        <w:snapToGrid/>
        <w:spacing w:line="576" w:lineRule="exact"/>
        <w:jc w:val="center"/>
        <w:textAlignment w:val="auto"/>
        <w:outlineLvl w:val="9"/>
        <w:rPr>
          <w:rFonts w:hint="eastAsia" w:ascii="黑体" w:hAnsi="黑体" w:eastAsia="黑体" w:cs="黑体"/>
          <w:spacing w:val="8"/>
          <w:sz w:val="32"/>
          <w:szCs w:val="32"/>
          <w:lang w:val="en-US" w:eastAsia="zh-CN"/>
        </w:rPr>
      </w:pPr>
      <w:bookmarkStart w:id="107" w:name="_Toc29585"/>
    </w:p>
    <w:p>
      <w:pPr>
        <w:pageBreakBefore w:val="0"/>
        <w:widowControl/>
        <w:kinsoku/>
        <w:wordWrap/>
        <w:overflowPunct/>
        <w:topLinePunct w:val="0"/>
        <w:autoSpaceDE/>
        <w:autoSpaceDN/>
        <w:bidi w:val="0"/>
        <w:adjustRightInd/>
        <w:snapToGrid/>
        <w:spacing w:line="576" w:lineRule="exact"/>
        <w:jc w:val="center"/>
        <w:textAlignment w:val="auto"/>
        <w:outlineLvl w:val="1"/>
        <w:rPr>
          <w:rFonts w:hint="eastAsia" w:ascii="黑体" w:hAnsi="黑体" w:eastAsia="黑体" w:cs="黑体"/>
          <w:spacing w:val="8"/>
          <w:sz w:val="32"/>
          <w:szCs w:val="32"/>
          <w:lang w:val="en-US" w:eastAsia="zh-CN"/>
        </w:rPr>
      </w:pPr>
      <w:bookmarkStart w:id="108" w:name="_Toc19216"/>
      <w:bookmarkStart w:id="109" w:name="_Toc4179"/>
      <w:r>
        <w:rPr>
          <w:rFonts w:hint="eastAsia" w:ascii="黑体" w:hAnsi="黑体" w:eastAsia="黑体" w:cs="黑体"/>
          <w:spacing w:val="8"/>
          <w:sz w:val="32"/>
          <w:szCs w:val="32"/>
          <w:lang w:val="en-US" w:eastAsia="zh-CN"/>
        </w:rPr>
        <w:t>第二节 科技兴林，技术强林</w:t>
      </w:r>
      <w:bookmarkEnd w:id="107"/>
      <w:bookmarkEnd w:id="108"/>
      <w:bookmarkEnd w:id="109"/>
      <w:bookmarkStart w:id="110" w:name="_Toc23974"/>
    </w:p>
    <w:p>
      <w:pPr>
        <w:pStyle w:val="2"/>
        <w:rPr>
          <w:rFonts w:hint="eastAsia"/>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bookmarkStart w:id="111" w:name="_Toc29335"/>
      <w:bookmarkStart w:id="112" w:name="_Toc31036"/>
      <w:r>
        <w:rPr>
          <w:rFonts w:hint="eastAsia" w:ascii="仿宋_GB2312" w:hAnsi="仿宋_GB2312" w:eastAsia="仿宋_GB2312" w:cs="仿宋_GB2312"/>
          <w:snapToGrid w:val="0"/>
          <w:color w:val="000000"/>
          <w:spacing w:val="5"/>
          <w:kern w:val="0"/>
          <w:sz w:val="32"/>
          <w:szCs w:val="32"/>
          <w:lang w:val="en-US" w:eastAsia="zh-CN"/>
        </w:rPr>
        <w:t>依托旺苍县林业科技推广服务中心，紧紧围绕核桃、杜仲、森林食品等林业产业，推进林业实用技术引进、消化、吸收、推广，顺应新形势下林业产业健康发展的需要。围绕森林培育、林产工业、资源开发等关键性技术，大力开展科技创新，通过院企联合、技术交流、专题研讨、岗位培训，以及“请进来”“走出去”等多元化方式，加快科技人才培养和引进，建立培养和吸引人才长效机制，增强林业科技创新能力，为林业产业提供强有力的人才保障和技术支撑。</w:t>
      </w:r>
      <w:bookmarkEnd w:id="110"/>
      <w:bookmarkEnd w:id="111"/>
      <w:bookmarkEnd w:id="112"/>
    </w:p>
    <w:p>
      <w:pPr>
        <w:pageBreakBefore w:val="0"/>
        <w:widowControl/>
        <w:kinsoku/>
        <w:wordWrap/>
        <w:overflowPunct/>
        <w:topLinePunct w:val="0"/>
        <w:autoSpaceDE/>
        <w:autoSpaceDN/>
        <w:bidi w:val="0"/>
        <w:adjustRightInd/>
        <w:snapToGrid/>
        <w:spacing w:line="576" w:lineRule="exact"/>
        <w:jc w:val="center"/>
        <w:textAlignment w:val="auto"/>
        <w:outlineLvl w:val="9"/>
        <w:rPr>
          <w:rFonts w:hint="eastAsia" w:ascii="黑体" w:hAnsi="黑体" w:eastAsia="黑体" w:cs="黑体"/>
          <w:spacing w:val="8"/>
          <w:sz w:val="32"/>
          <w:szCs w:val="32"/>
          <w:lang w:val="en-US" w:eastAsia="zh-CN"/>
        </w:rPr>
      </w:pPr>
      <w:bookmarkStart w:id="113" w:name="_Toc13519"/>
    </w:p>
    <w:p>
      <w:pPr>
        <w:pageBreakBefore w:val="0"/>
        <w:widowControl/>
        <w:kinsoku/>
        <w:wordWrap/>
        <w:overflowPunct/>
        <w:topLinePunct w:val="0"/>
        <w:autoSpaceDE/>
        <w:autoSpaceDN/>
        <w:bidi w:val="0"/>
        <w:adjustRightInd/>
        <w:snapToGrid/>
        <w:spacing w:line="576" w:lineRule="exact"/>
        <w:jc w:val="center"/>
        <w:textAlignment w:val="auto"/>
        <w:outlineLvl w:val="1"/>
        <w:rPr>
          <w:rFonts w:hint="eastAsia" w:ascii="黑体" w:hAnsi="黑体" w:eastAsia="黑体" w:cs="黑体"/>
          <w:spacing w:val="8"/>
          <w:sz w:val="32"/>
          <w:szCs w:val="32"/>
          <w:lang w:val="en-US" w:eastAsia="zh-CN"/>
        </w:rPr>
      </w:pPr>
      <w:bookmarkStart w:id="114" w:name="_Toc18503"/>
      <w:bookmarkStart w:id="115" w:name="_Toc11336"/>
      <w:r>
        <w:rPr>
          <w:rFonts w:hint="eastAsia" w:ascii="黑体" w:hAnsi="黑体" w:eastAsia="黑体" w:cs="黑体"/>
          <w:spacing w:val="8"/>
          <w:sz w:val="32"/>
          <w:szCs w:val="32"/>
          <w:lang w:val="en-US" w:eastAsia="zh-CN"/>
        </w:rPr>
        <w:t>第三节 积极筹资，</w:t>
      </w:r>
      <w:bookmarkEnd w:id="113"/>
      <w:bookmarkStart w:id="116" w:name="_Toc31304"/>
      <w:r>
        <w:rPr>
          <w:rFonts w:hint="eastAsia" w:ascii="黑体" w:hAnsi="黑体" w:eastAsia="黑体" w:cs="黑体"/>
          <w:spacing w:val="8"/>
          <w:sz w:val="32"/>
          <w:szCs w:val="32"/>
          <w:lang w:val="en-US" w:eastAsia="zh-CN"/>
        </w:rPr>
        <w:t>保障投入</w:t>
      </w:r>
      <w:bookmarkEnd w:id="114"/>
      <w:bookmarkEnd w:id="115"/>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bookmarkStart w:id="117" w:name="_Toc6594"/>
      <w:bookmarkStart w:id="118" w:name="_Toc15401"/>
      <w:r>
        <w:rPr>
          <w:rFonts w:hint="eastAsia" w:ascii="仿宋_GB2312" w:hAnsi="仿宋_GB2312" w:eastAsia="仿宋_GB2312" w:cs="仿宋_GB2312"/>
          <w:snapToGrid w:val="0"/>
          <w:color w:val="000000"/>
          <w:spacing w:val="5"/>
          <w:kern w:val="0"/>
          <w:sz w:val="32"/>
          <w:szCs w:val="32"/>
          <w:lang w:val="en-US" w:eastAsia="zh-CN"/>
        </w:rPr>
        <w:t>鼓励各级政府（单位）或民营企业多渠道争取、筹措林业建设资金，确保我县林业生态体系建设的顺利进行。林业产业体系建设按照“谁开发，谁投资，谁受益”的原则，加强政策引导，建立多元投入机制，吸引民间资本或外资投入林业产业开发建设，增强林业产业建设的动力和活力。</w:t>
      </w:r>
      <w:bookmarkEnd w:id="116"/>
      <w:bookmarkEnd w:id="117"/>
      <w:bookmarkEnd w:id="118"/>
    </w:p>
    <w:p>
      <w:pPr>
        <w:pageBreakBefore w:val="0"/>
        <w:widowControl/>
        <w:kinsoku/>
        <w:wordWrap/>
        <w:overflowPunct/>
        <w:topLinePunct w:val="0"/>
        <w:autoSpaceDE/>
        <w:autoSpaceDN/>
        <w:bidi w:val="0"/>
        <w:adjustRightInd/>
        <w:snapToGrid/>
        <w:spacing w:line="576" w:lineRule="exact"/>
        <w:jc w:val="center"/>
        <w:textAlignment w:val="auto"/>
        <w:outlineLvl w:val="9"/>
        <w:rPr>
          <w:rFonts w:hint="eastAsia" w:ascii="黑体" w:hAnsi="黑体" w:eastAsia="黑体" w:cs="黑体"/>
          <w:spacing w:val="8"/>
          <w:sz w:val="32"/>
          <w:szCs w:val="32"/>
          <w:lang w:val="en-US" w:eastAsia="zh-CN"/>
        </w:rPr>
      </w:pPr>
      <w:bookmarkStart w:id="119" w:name="_Toc26477"/>
    </w:p>
    <w:p>
      <w:pPr>
        <w:pageBreakBefore w:val="0"/>
        <w:widowControl/>
        <w:kinsoku/>
        <w:wordWrap/>
        <w:overflowPunct/>
        <w:topLinePunct w:val="0"/>
        <w:autoSpaceDE/>
        <w:autoSpaceDN/>
        <w:bidi w:val="0"/>
        <w:adjustRightInd/>
        <w:snapToGrid/>
        <w:spacing w:line="576" w:lineRule="exact"/>
        <w:jc w:val="center"/>
        <w:textAlignment w:val="auto"/>
        <w:outlineLvl w:val="1"/>
        <w:rPr>
          <w:rFonts w:hint="eastAsia" w:ascii="黑体" w:hAnsi="黑体" w:eastAsia="黑体" w:cs="黑体"/>
          <w:spacing w:val="8"/>
          <w:sz w:val="32"/>
          <w:szCs w:val="32"/>
          <w:lang w:val="en-US" w:eastAsia="zh-CN"/>
        </w:rPr>
      </w:pPr>
      <w:bookmarkStart w:id="120" w:name="_Toc18154"/>
      <w:bookmarkStart w:id="121" w:name="_Toc5546"/>
      <w:r>
        <w:rPr>
          <w:rFonts w:hint="eastAsia" w:ascii="黑体" w:hAnsi="黑体" w:eastAsia="黑体" w:cs="黑体"/>
          <w:spacing w:val="8"/>
          <w:sz w:val="32"/>
          <w:szCs w:val="32"/>
          <w:lang w:val="en-US" w:eastAsia="zh-CN"/>
        </w:rPr>
        <w:t>第四节  依法治林，科学管理</w:t>
      </w:r>
      <w:bookmarkEnd w:id="119"/>
      <w:bookmarkEnd w:id="120"/>
      <w:bookmarkEnd w:id="121"/>
      <w:bookmarkStart w:id="122" w:name="_Toc19450"/>
    </w:p>
    <w:p>
      <w:pPr>
        <w:pageBreakBefore w:val="0"/>
        <w:widowControl/>
        <w:kinsoku/>
        <w:wordWrap/>
        <w:overflowPunct/>
        <w:topLinePunct w:val="0"/>
        <w:autoSpaceDE/>
        <w:autoSpaceDN/>
        <w:bidi w:val="0"/>
        <w:adjustRightInd/>
        <w:snapToGrid/>
        <w:spacing w:line="576" w:lineRule="exact"/>
        <w:ind w:left="0" w:leftChars="0" w:firstLine="640" w:firstLineChars="200"/>
        <w:jc w:val="left"/>
        <w:textAlignment w:val="auto"/>
        <w:outlineLvl w:val="9"/>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hint="eastAsia" w:ascii="仿宋_GB2312" w:hAnsi="仿宋_GB2312" w:eastAsia="仿宋_GB2312" w:cs="仿宋_GB2312"/>
          <w:snapToGrid w:val="0"/>
          <w:color w:val="000000"/>
          <w:spacing w:val="5"/>
          <w:kern w:val="0"/>
          <w:sz w:val="32"/>
          <w:szCs w:val="32"/>
          <w:lang w:val="en-US" w:eastAsia="zh-CN"/>
        </w:rPr>
      </w:pPr>
      <w:bookmarkStart w:id="123" w:name="_Toc3161"/>
      <w:bookmarkStart w:id="124" w:name="_Toc10834"/>
      <w:r>
        <w:rPr>
          <w:rFonts w:hint="eastAsia" w:ascii="仿宋_GB2312" w:hAnsi="仿宋_GB2312" w:eastAsia="仿宋_GB2312" w:cs="仿宋_GB2312"/>
          <w:snapToGrid w:val="0"/>
          <w:color w:val="000000"/>
          <w:spacing w:val="5"/>
          <w:kern w:val="0"/>
          <w:sz w:val="32"/>
          <w:szCs w:val="32"/>
          <w:lang w:val="en-US" w:eastAsia="zh-CN"/>
        </w:rPr>
        <w:t>切实推进依法治林进程，严厉打击乱砍滥伐林木、乱捕滥猎野生动物、乱批滥占林地、乱采滥挖古树名木等违法犯罪活动。推进林业行政执法规范化，自觉接受社会各界和舆论对林业执法工作的监督。加强执法队伍建设，加强法制培训，增强综合素质，做到有法必依，执法必严，违法必究，不断提高执法管理水平，巩固生态环境建设成果。</w:t>
      </w:r>
      <w:bookmarkEnd w:id="122"/>
      <w:bookmarkEnd w:id="123"/>
      <w:bookmarkEnd w:id="124"/>
    </w:p>
    <w:p>
      <w:pPr>
        <w:keepNext w:val="0"/>
        <w:keepLines w:val="0"/>
        <w:pageBreakBefore w:val="0"/>
        <w:widowControl w:val="0"/>
        <w:wordWrap/>
        <w:overflowPunct/>
        <w:topLinePunct w:val="0"/>
        <w:bidi w:val="0"/>
        <w:spacing w:line="576" w:lineRule="exact"/>
        <w:ind w:left="0" w:leftChars="0" w:right="0" w:firstLine="672" w:firstLineChars="200"/>
        <w:jc w:val="left"/>
        <w:outlineLvl w:val="9"/>
        <w:rPr>
          <w:rFonts w:hint="eastAsia" w:ascii="黑体" w:hAnsi="黑体" w:eastAsia="黑体" w:cs="黑体"/>
          <w:spacing w:val="8"/>
          <w:sz w:val="32"/>
          <w:szCs w:val="32"/>
          <w:lang w:val="en-US" w:eastAsia="zh-CN"/>
        </w:rPr>
      </w:pPr>
      <w:bookmarkStart w:id="125" w:name="_Toc11344"/>
    </w:p>
    <w:p>
      <w:pPr>
        <w:keepNext w:val="0"/>
        <w:keepLines w:val="0"/>
        <w:pageBreakBefore w:val="0"/>
        <w:widowControl w:val="0"/>
        <w:wordWrap/>
        <w:overflowPunct/>
        <w:topLinePunct w:val="0"/>
        <w:bidi w:val="0"/>
        <w:spacing w:line="576" w:lineRule="exact"/>
        <w:ind w:right="0"/>
        <w:jc w:val="center"/>
        <w:outlineLvl w:val="1"/>
        <w:rPr>
          <w:rFonts w:hint="eastAsia" w:ascii="黑体" w:hAnsi="黑体" w:eastAsia="黑体" w:cs="黑体"/>
          <w:spacing w:val="8"/>
          <w:sz w:val="32"/>
          <w:szCs w:val="32"/>
          <w:lang w:val="en-US" w:eastAsia="zh-CN"/>
        </w:rPr>
      </w:pPr>
      <w:bookmarkStart w:id="126" w:name="_Toc20950"/>
      <w:bookmarkStart w:id="127" w:name="_Toc30405"/>
      <w:r>
        <w:rPr>
          <w:rFonts w:hint="eastAsia" w:ascii="黑体" w:hAnsi="黑体" w:eastAsia="黑体" w:cs="黑体"/>
          <w:spacing w:val="8"/>
          <w:sz w:val="32"/>
          <w:szCs w:val="32"/>
          <w:lang w:val="en-US" w:eastAsia="zh-CN"/>
        </w:rPr>
        <w:t>第五节  加强干部队伍能力建设</w:t>
      </w:r>
      <w:bookmarkEnd w:id="125"/>
      <w:bookmarkEnd w:id="126"/>
      <w:bookmarkEnd w:id="127"/>
      <w:bookmarkStart w:id="128" w:name="_Toc27528"/>
    </w:p>
    <w:p>
      <w:pPr>
        <w:keepNext w:val="0"/>
        <w:keepLines w:val="0"/>
        <w:pageBreakBefore w:val="0"/>
        <w:widowControl w:val="0"/>
        <w:wordWrap/>
        <w:overflowPunct/>
        <w:topLinePunct w:val="0"/>
        <w:bidi w:val="0"/>
        <w:spacing w:line="576" w:lineRule="exact"/>
        <w:ind w:left="0" w:leftChars="0" w:right="0" w:firstLine="640" w:firstLineChars="200"/>
        <w:jc w:val="left"/>
        <w:outlineLvl w:val="9"/>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wordWrap/>
        <w:overflowPunct/>
        <w:topLinePunct w:val="0"/>
        <w:bidi w:val="0"/>
        <w:spacing w:line="576" w:lineRule="exact"/>
        <w:ind w:left="0" w:leftChars="0" w:right="0" w:firstLine="660" w:firstLineChars="200"/>
        <w:jc w:val="both"/>
        <w:rPr>
          <w:rFonts w:ascii="仿宋" w:hAnsi="仿宋" w:eastAsia="仿宋" w:cs="仿宋"/>
          <w:sz w:val="28"/>
          <w:szCs w:val="28"/>
        </w:rPr>
      </w:pPr>
      <w:bookmarkStart w:id="129" w:name="_Toc31404"/>
      <w:bookmarkStart w:id="130" w:name="_Toc25350"/>
      <w:r>
        <w:rPr>
          <w:rFonts w:hint="eastAsia" w:ascii="仿宋_GB2312" w:hAnsi="仿宋_GB2312" w:eastAsia="仿宋_GB2312" w:cs="仿宋_GB2312"/>
          <w:snapToGrid w:val="0"/>
          <w:color w:val="000000"/>
          <w:spacing w:val="5"/>
          <w:kern w:val="0"/>
          <w:sz w:val="32"/>
          <w:szCs w:val="32"/>
          <w:lang w:val="en-US" w:eastAsia="zh-CN"/>
        </w:rPr>
        <w:t>加强林业干部队伍建设，建立林业干部学习培训长效机制，提升干部队伍综合素质和业务水平；加强机关效能建设，坚持依法行政，深化政务公开，切实转变工作方式，改进工作作风，全面提升管理服务水平；加强林业宣传工作，拓宽载体、创新形式，营造全社会关注林业、支持林业、发展林业的浓厚氛围。</w:t>
      </w:r>
      <w:bookmarkEnd w:id="128"/>
      <w:bookmarkEnd w:id="129"/>
      <w:bookmarkEnd w:id="130"/>
    </w:p>
    <w:sectPr>
      <w:headerReference r:id="rId7" w:type="default"/>
      <w:footerReference r:id="rId8" w:type="default"/>
      <w:pgSz w:w="11906" w:h="16839"/>
      <w:pgMar w:top="2098" w:right="1531" w:bottom="1984" w:left="1587" w:header="850" w:footer="85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D4252"/>
    <w:multiLevelType w:val="singleLevel"/>
    <w:tmpl w:val="D4AD4252"/>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588"/>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Q2NzAxYWI3MDJhZTc2ZmY2MmZhZjY5NWJjOGM0YzEifQ=="/>
  </w:docVars>
  <w:rsids>
    <w:rsidRoot w:val="00000000"/>
    <w:rsid w:val="01BB5A85"/>
    <w:rsid w:val="020E2058"/>
    <w:rsid w:val="02F32D85"/>
    <w:rsid w:val="03E2577F"/>
    <w:rsid w:val="0490144A"/>
    <w:rsid w:val="05404C1F"/>
    <w:rsid w:val="06693D01"/>
    <w:rsid w:val="070103DE"/>
    <w:rsid w:val="086E7B7B"/>
    <w:rsid w:val="08E478CA"/>
    <w:rsid w:val="09376227"/>
    <w:rsid w:val="09554A11"/>
    <w:rsid w:val="0BCB275B"/>
    <w:rsid w:val="0C191D25"/>
    <w:rsid w:val="0C8A2C23"/>
    <w:rsid w:val="0C9E047D"/>
    <w:rsid w:val="0D156991"/>
    <w:rsid w:val="0DB00467"/>
    <w:rsid w:val="1001086F"/>
    <w:rsid w:val="11604906"/>
    <w:rsid w:val="116972AB"/>
    <w:rsid w:val="131B140D"/>
    <w:rsid w:val="13B63079"/>
    <w:rsid w:val="14681A9C"/>
    <w:rsid w:val="14C80144"/>
    <w:rsid w:val="15C37197"/>
    <w:rsid w:val="169923E1"/>
    <w:rsid w:val="16E15B36"/>
    <w:rsid w:val="16F2389F"/>
    <w:rsid w:val="17166A65"/>
    <w:rsid w:val="189270E7"/>
    <w:rsid w:val="191D5610"/>
    <w:rsid w:val="1B965141"/>
    <w:rsid w:val="1E3D7AF5"/>
    <w:rsid w:val="1E543091"/>
    <w:rsid w:val="1E544E3F"/>
    <w:rsid w:val="1E8C45D9"/>
    <w:rsid w:val="1F4E5D32"/>
    <w:rsid w:val="1F6966C8"/>
    <w:rsid w:val="1F947BE9"/>
    <w:rsid w:val="1FA3607E"/>
    <w:rsid w:val="20DD111C"/>
    <w:rsid w:val="22D96667"/>
    <w:rsid w:val="242B6642"/>
    <w:rsid w:val="25566B43"/>
    <w:rsid w:val="26FF274F"/>
    <w:rsid w:val="27045E51"/>
    <w:rsid w:val="273A1AE3"/>
    <w:rsid w:val="27545EB0"/>
    <w:rsid w:val="28153891"/>
    <w:rsid w:val="28447CD2"/>
    <w:rsid w:val="28975555"/>
    <w:rsid w:val="2A6B27C4"/>
    <w:rsid w:val="2A8D3BB3"/>
    <w:rsid w:val="2ACB7617"/>
    <w:rsid w:val="2C5C1A8E"/>
    <w:rsid w:val="2CE76844"/>
    <w:rsid w:val="2D485B6F"/>
    <w:rsid w:val="2DBE22D5"/>
    <w:rsid w:val="2E3F3416"/>
    <w:rsid w:val="2E627104"/>
    <w:rsid w:val="2E8C4181"/>
    <w:rsid w:val="2F5527C5"/>
    <w:rsid w:val="2FA554FB"/>
    <w:rsid w:val="2FD22068"/>
    <w:rsid w:val="30DC4F4C"/>
    <w:rsid w:val="31CA5A83"/>
    <w:rsid w:val="338F41E7"/>
    <w:rsid w:val="34B306BA"/>
    <w:rsid w:val="34B63D06"/>
    <w:rsid w:val="35B91D00"/>
    <w:rsid w:val="35E6686D"/>
    <w:rsid w:val="369938DF"/>
    <w:rsid w:val="36A54032"/>
    <w:rsid w:val="36D466C5"/>
    <w:rsid w:val="38A10972"/>
    <w:rsid w:val="396E3B09"/>
    <w:rsid w:val="3D7A7FC6"/>
    <w:rsid w:val="3DE90CA8"/>
    <w:rsid w:val="3F010273"/>
    <w:rsid w:val="40D6510A"/>
    <w:rsid w:val="43476B9D"/>
    <w:rsid w:val="436A4639"/>
    <w:rsid w:val="43866F99"/>
    <w:rsid w:val="44DB18B1"/>
    <w:rsid w:val="456B006A"/>
    <w:rsid w:val="490C7F41"/>
    <w:rsid w:val="4A6C6EE9"/>
    <w:rsid w:val="4C0F476B"/>
    <w:rsid w:val="4D2A47B7"/>
    <w:rsid w:val="4E2D4277"/>
    <w:rsid w:val="4E3E294A"/>
    <w:rsid w:val="4FB56C3C"/>
    <w:rsid w:val="537F043F"/>
    <w:rsid w:val="53855ACA"/>
    <w:rsid w:val="53E431A4"/>
    <w:rsid w:val="54180CC3"/>
    <w:rsid w:val="547C241E"/>
    <w:rsid w:val="5552013E"/>
    <w:rsid w:val="55A53DD0"/>
    <w:rsid w:val="56B53790"/>
    <w:rsid w:val="57362D58"/>
    <w:rsid w:val="57995095"/>
    <w:rsid w:val="588E2720"/>
    <w:rsid w:val="59D41D91"/>
    <w:rsid w:val="59EC5950"/>
    <w:rsid w:val="5B5261F0"/>
    <w:rsid w:val="5CCC1A69"/>
    <w:rsid w:val="5E23390B"/>
    <w:rsid w:val="5E483371"/>
    <w:rsid w:val="5EA902B4"/>
    <w:rsid w:val="5FC5111D"/>
    <w:rsid w:val="5FE84E0C"/>
    <w:rsid w:val="60AE1BB1"/>
    <w:rsid w:val="613320B7"/>
    <w:rsid w:val="624A76B8"/>
    <w:rsid w:val="63D35B85"/>
    <w:rsid w:val="63FE4BFE"/>
    <w:rsid w:val="64F953C5"/>
    <w:rsid w:val="659D21F5"/>
    <w:rsid w:val="660F30F2"/>
    <w:rsid w:val="668F6557"/>
    <w:rsid w:val="681E586F"/>
    <w:rsid w:val="688D6609"/>
    <w:rsid w:val="691F3421"/>
    <w:rsid w:val="69D63F27"/>
    <w:rsid w:val="6BBE5CBD"/>
    <w:rsid w:val="6BCA186A"/>
    <w:rsid w:val="6C9720E6"/>
    <w:rsid w:val="6C9C6D62"/>
    <w:rsid w:val="6D62566A"/>
    <w:rsid w:val="6E054DDB"/>
    <w:rsid w:val="6E6B7334"/>
    <w:rsid w:val="6F7E34EC"/>
    <w:rsid w:val="6F863CF9"/>
    <w:rsid w:val="70481948"/>
    <w:rsid w:val="707063CD"/>
    <w:rsid w:val="71CF1988"/>
    <w:rsid w:val="72D27981"/>
    <w:rsid w:val="72D37256"/>
    <w:rsid w:val="73155AC0"/>
    <w:rsid w:val="73C02206"/>
    <w:rsid w:val="73C6500C"/>
    <w:rsid w:val="73F456D6"/>
    <w:rsid w:val="740653A9"/>
    <w:rsid w:val="751B06FD"/>
    <w:rsid w:val="75491A51"/>
    <w:rsid w:val="758962F1"/>
    <w:rsid w:val="76CA3A72"/>
    <w:rsid w:val="77AD4519"/>
    <w:rsid w:val="788D434B"/>
    <w:rsid w:val="79116D2A"/>
    <w:rsid w:val="7917676E"/>
    <w:rsid w:val="79987FA3"/>
    <w:rsid w:val="79D55FA9"/>
    <w:rsid w:val="79E47F9A"/>
    <w:rsid w:val="7AC35E02"/>
    <w:rsid w:val="7B1345C4"/>
    <w:rsid w:val="7C896BD7"/>
    <w:rsid w:val="7D41349D"/>
    <w:rsid w:val="7E837D82"/>
    <w:rsid w:val="7EFD5C58"/>
    <w:rsid w:val="7F4E67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2"/>
    <w:next w:val="1"/>
    <w:qFormat/>
    <w:uiPriority w:val="39"/>
    <w:pPr>
      <w:keepNext/>
      <w:keepLines/>
      <w:spacing w:beforeAutospacing="0" w:after="0" w:afterAutospacing="0" w:line="576" w:lineRule="exact"/>
      <w:jc w:val="both"/>
      <w:outlineLvl w:val="9"/>
    </w:pPr>
    <w:rPr>
      <w:rFonts w:ascii="仿宋" w:hAnsi="仿宋" w:eastAsia="仿宋_GB2312" w:cs="Times New Roman"/>
      <w:color w:val="000000"/>
      <w:kern w:val="0"/>
      <w:sz w:val="32"/>
      <w:szCs w:val="32"/>
    </w:rPr>
  </w:style>
  <w:style w:type="paragraph" w:styleId="3">
    <w:name w:val="Salutation"/>
    <w:basedOn w:val="1"/>
    <w:next w:val="1"/>
    <w:qFormat/>
    <w:uiPriority w:val="99"/>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WPSOffice手动目录 1"/>
    <w:qFormat/>
    <w:uiPriority w:val="0"/>
    <w:pPr>
      <w:ind w:leftChars="0"/>
    </w:pPr>
    <w:rPr>
      <w:rFonts w:ascii="Arial" w:hAnsi="Arial" w:eastAsia="Arial" w:cs="Arial"/>
      <w:sz w:val="20"/>
      <w:szCs w:val="20"/>
    </w:rPr>
  </w:style>
  <w:style w:type="paragraph" w:customStyle="1" w:styleId="12">
    <w:name w:val="WPSOffice手动目录 2"/>
    <w:qFormat/>
    <w:uiPriority w:val="0"/>
    <w:pPr>
      <w:ind w:leftChars="2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15362</Words>
  <Characters>15640</Characters>
  <TotalTime>8</TotalTime>
  <ScaleCrop>false</ScaleCrop>
  <LinksUpToDate>false</LinksUpToDate>
  <CharactersWithSpaces>15886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2023-03-01T11:29:00Z</dcterms:created>
  <dc:creator>向晖</dc:creator>
  <cp:lastModifiedBy>WPS_1678282264</cp:lastModifiedBy>
  <cp:lastPrinted>2023-03-09T08:48:00Z</cp:lastPrinted>
  <dcterms:modified xsi:type="dcterms:W3CDTF">2023-03-14T03:01:01Z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2023-03-01T11:31:32Z</vt:filetime>
  </property>
  <property fmtid="{D5CDD505-2E9C-101B-9397-08002B2CF9AE}" pid="4" name="KSOProductBuildVer">
    <vt:lpwstr>2052-11.1.0.13703</vt:lpwstr>
  </property>
  <property fmtid="{D5CDD505-2E9C-101B-9397-08002B2CF9AE}" pid="5" name="ICV">
    <vt:lpwstr>AB3353E023B2437DB024A6BAEFD24FF1</vt:lpwstr>
  </property>
</Properties>
</file>